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Agreement</w:t>
      </w:r>
    </w:p>
    <w:p>
      <w:pPr>
        <w:pStyle w:val="Heading2"/>
      </w:pPr>
      <w:r>
        <w:t>Payment Terms</w:t>
      </w:r>
    </w:p>
    <w:p>
      <w:r>
        <w:t>Invoices are settled within thirty days of receipt. The escalation contact is the account manager on record.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Kickoff</w:t>
            </w:r>
          </w:p>
        </w:tc>
        <w:tc>
          <w:tcPr>
            <w:tcW w:type="dxa" w:w="4320"/>
          </w:tcPr>
          <w:p>
            <w:r>
              <w:t>15000</w:t>
            </w:r>
          </w:p>
        </w:tc>
      </w:tr>
      <w:tr>
        <w:tc>
          <w:tcPr>
            <w:tcW w:type="dxa" w:w="4320"/>
          </w:tcPr>
          <w:p>
            <w:r>
              <w:t>Delivery</w:t>
            </w:r>
          </w:p>
        </w:tc>
        <w:tc>
          <w:tcPr>
            <w:tcW w:type="dxa" w:w="4320"/>
          </w:tcPr>
          <w:p>
            <w:r>
              <w:t>42500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