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1B365D"/>
          <w:sz w:val="36"/>
        </w:rPr>
        <w:t>BÁO CÁO TƯ VẤN VÀ NÂNG CẤP BÀI BÁO KHOA HỌC CHUẨN SCOPUS Q2</w:t>
      </w:r>
    </w:p>
    <w:p>
      <w:pPr>
        <w:spacing w:after="320"/>
        <w:jc w:val="center"/>
      </w:pPr>
      <w:r>
        <w:rPr>
          <w:rFonts w:ascii="Arial" w:hAnsi="Arial"/>
          <w:i/>
          <w:color w:val="5C768D"/>
          <w:sz w:val="24"/>
        </w:rPr>
        <w:t>Hiệu chỉnh Văn phong Hàn lâm &amp; Xây dựng Khung Kiểm thử Động DAST (OWASP ZAP) cho Hệ thống E-Office DevSecOps</w:t>
      </w:r>
    </w:p>
    <w:tbl>
      <w:tblPr>
        <w:tblW w:type="auto" w:w="0"/>
        <w:jc w:val="center"/>
        <w:tblLook w:firstColumn="1" w:firstRow="1" w:lastColumn="0" w:lastRow="0" w:noHBand="0" w:noVBand="1" w:val="04A0"/>
      </w:tblPr>
      <w:tblGrid>
        <w:gridCol w:w="4680"/>
        <w:gridCol w:w="4680"/>
      </w:tblGrid>
      <w:tr>
        <w:tc>
          <w:tcPr>
            <w:tcW w:type="dxa" w:w="3168"/>
            <w:shd w:fill="FFFFFF" w:val="clear"/>
            <w:tcMar>
              <w:top w:w="100" w:type="dxa"/>
              <w:bottom w:w="100" w:type="dxa"/>
              <w:left w:w="100" w:type="dxa"/>
              <w:right w:w="100" w:type="dxa"/>
            </w:tcMar>
          </w:tcPr>
          <w:p>
            <w:pPr>
              <w:spacing w:before="40" w:after="40" w:line="276" w:lineRule="auto"/>
            </w:pPr>
            <w:r>
              <w:rPr>
                <w:rFonts w:ascii="Calibri" w:hAnsi="Calibri"/>
                <w:b/>
                <w:color w:val="1B365D"/>
                <w:sz w:val="19"/>
              </w:rPr>
              <w:t>Chuyên gia tư vấn:</w:t>
            </w:r>
          </w:p>
        </w:tc>
        <w:tc>
          <w:tcPr>
            <w:tcW w:type="dxa" w:w="61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Giảng viên Cao cấp / Nhà Khoa học (CNTT, KTPM, AI, Data Science &amp; An toàn Thông tin)</w:t>
            </w:r>
          </w:p>
        </w:tc>
      </w:tr>
      <w:tr>
        <w:tc>
          <w:tcPr>
            <w:tcW w:type="dxa" w:w="3168"/>
            <w:shd w:fill="F7FAFC" w:val="clear"/>
            <w:tcMar>
              <w:top w:w="100" w:type="dxa"/>
              <w:bottom w:w="100" w:type="dxa"/>
              <w:left w:w="100" w:type="dxa"/>
              <w:right w:w="100" w:type="dxa"/>
            </w:tcMar>
          </w:tcPr>
          <w:p>
            <w:pPr>
              <w:spacing w:before="40" w:after="40" w:line="276" w:lineRule="auto"/>
            </w:pPr>
            <w:r>
              <w:rPr>
                <w:rFonts w:ascii="Calibri" w:hAnsi="Calibri"/>
                <w:b/>
                <w:color w:val="1B365D"/>
                <w:sz w:val="19"/>
              </w:rPr>
              <w:t>Công trình gốc:</w:t>
            </w:r>
          </w:p>
        </w:tc>
        <w:tc>
          <w:tcPr>
            <w:tcW w:type="dxa" w:w="61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DevSecOps Processes and Secure Application Programming Techniques in E-Office (EPU)</w:t>
            </w:r>
          </w:p>
        </w:tc>
      </w:tr>
      <w:tr>
        <w:tc>
          <w:tcPr>
            <w:tcW w:type="dxa" w:w="3168"/>
            <w:shd w:fill="FFFFFF" w:val="clear"/>
            <w:tcMar>
              <w:top w:w="100" w:type="dxa"/>
              <w:bottom w:w="100" w:type="dxa"/>
              <w:left w:w="100" w:type="dxa"/>
              <w:right w:w="100" w:type="dxa"/>
            </w:tcMar>
          </w:tcPr>
          <w:p>
            <w:pPr>
              <w:spacing w:before="40" w:after="40" w:line="276" w:lineRule="auto"/>
            </w:pPr>
            <w:r>
              <w:rPr>
                <w:rFonts w:ascii="Calibri" w:hAnsi="Calibri"/>
                <w:b/>
                <w:color w:val="1B365D"/>
                <w:sz w:val="19"/>
              </w:rPr>
              <w:t>Mã số Đề tài:</w:t>
            </w:r>
          </w:p>
        </w:tc>
        <w:tc>
          <w:tcPr>
            <w:tcW w:type="dxa" w:w="61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ĐTNH.1/2026 - Trường Đại học Điện lực (Electric Power University, Hanoi)</w:t>
            </w:r>
          </w:p>
        </w:tc>
      </w:tr>
      <w:tr>
        <w:tc>
          <w:tcPr>
            <w:tcW w:type="dxa" w:w="3168"/>
            <w:shd w:fill="F7FAFC" w:val="clear"/>
            <w:tcMar>
              <w:top w:w="100" w:type="dxa"/>
              <w:bottom w:w="100" w:type="dxa"/>
              <w:left w:w="100" w:type="dxa"/>
              <w:right w:w="100" w:type="dxa"/>
            </w:tcMar>
          </w:tcPr>
          <w:p>
            <w:pPr>
              <w:spacing w:before="40" w:after="40" w:line="276" w:lineRule="auto"/>
            </w:pPr>
            <w:r>
              <w:rPr>
                <w:rFonts w:ascii="Calibri" w:hAnsi="Calibri"/>
                <w:b/>
                <w:color w:val="1B365D"/>
                <w:sz w:val="19"/>
              </w:rPr>
              <w:t>Mục tiêu Xuất bản:</w:t>
            </w:r>
          </w:p>
        </w:tc>
        <w:tc>
          <w:tcPr>
            <w:tcW w:type="dxa" w:w="61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Nâng cấp Bản thảo đạt tiêu chuẩn Tạp chí Quốc tế Scopus Q2 (SJR Security &amp; Software)</w:t>
            </w:r>
          </w:p>
        </w:tc>
      </w:tr>
    </w:tbl>
    <w:p/>
    <w:tbl>
      <w:tblPr>
        <w:tblW w:type="auto" w:w="0"/>
        <w:jc w:val="center"/>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B365D"/>
              <w:top w:val="none"/>
              <w:bottom w:val="none"/>
              <w:right w:val="none"/>
            </w:tcBorders>
          </w:tcPr>
          <w:p>
            <w:pPr>
              <w:spacing w:before="40" w:after="80"/>
            </w:pPr>
            <w:r>
              <w:rPr>
                <w:rFonts w:ascii="Arial" w:hAnsi="Arial"/>
                <w:b/>
                <w:color w:val="1B365D"/>
                <w:sz w:val="22"/>
              </w:rPr>
              <w:t>💡 TỔNG QUAN CHIẾN LƯỢC NÂNG CẤP BÀI BÁO</w:t>
              <w:br/>
            </w:r>
          </w:p>
          <w:p>
            <w:pPr>
              <w:spacing w:before="40" w:after="40" w:line="276" w:lineRule="auto"/>
            </w:pPr>
            <w:r>
              <w:rPr>
                <w:rFonts w:ascii="Calibri" w:hAnsi="Calibri"/>
                <w:color w:val="222222"/>
                <w:sz w:val="20"/>
              </w:rPr>
              <w:t>Công trình nghiên cứu gốc 'Research on DevSecOps Processes and Secure Application Programming Techniques in the Experimental Development of an Information System Supporting Unit Operations Based on Electronic Documents' (EPU) có nền tảng thực nghiệm phong phú (100 workflow runs, 719 Maven tests, 7 tiêu chí xác thực chữ ký số CMS/PKCS#7).</w:t>
            </w:r>
          </w:p>
          <w:p>
            <w:pPr>
              <w:spacing w:before="40" w:after="40" w:line="276" w:lineRule="auto"/>
            </w:pPr>
            <w:r>
              <w:rPr>
                <w:rFonts w:ascii="Calibri" w:hAnsi="Calibri"/>
                <w:color w:val="222222"/>
                <w:sz w:val="20"/>
              </w:rPr>
              <w:t>Tuy nhiên, qua đánh giá độc lập theo chuẩn Scopus Q2, bài báo gặp 2 rào cản cốt lõi: (1) Xuất hiện các đoạn văn phong mang dấu vết AI rập khuôn, thiếu tính phản biện sâu sắc; (2) Thiếu hụt hoàn toàn đánh giá Kiểm thử An toàn Ứng dụng Động (DAST - Dynamic Application Security Testing) như đã được chính các tác giả thừa nhận ở Mục 7.3.</w:t>
            </w:r>
          </w:p>
          <w:p>
            <w:pPr>
              <w:spacing w:before="40" w:after="40" w:line="276" w:lineRule="auto"/>
            </w:pPr>
            <w:r>
              <w:rPr>
                <w:rFonts w:ascii="Calibri" w:hAnsi="Calibri"/>
                <w:color w:val="222222"/>
                <w:sz w:val="20"/>
              </w:rPr>
              <w:t>Báo cáo này cung cấp giải pháp toàn diện: Paraphrase toàn bộ các đoạn rập khuôn sang chuẩn hàn lâm quốc tế, đồng thời xây dựng Khung DAST tự động hóa với OWASP ZAP tích hợp thẳng vào GitHub Actions pipeline để nâng tầm đóng góp khoa học của bài báo.</w:t>
            </w:r>
          </w:p>
        </w:tc>
      </w:tr>
    </w:tbl>
    <w:p/>
    <w:p>
      <w:pPr>
        <w:pStyle w:val="Heading1"/>
      </w:pPr>
      <w:r>
        <w:t>CHƯƠNG 1: TỔNG QUAN VÀ ĐÁNH GIÁ CHẤT LƯỢNG BÀI BÁO HIỆN TẠI</w:t>
      </w:r>
    </w:p>
    <w:p>
      <w:r>
        <w:t>Bài báo nghiên cứu của nhóm tác giả Trần Trung, Đinh Thu Khánh, Nguyễn Hoài Nam và cộng sự (Trường Đại học Điện lực) trình bày một nghiên cứu tình huống (case study) về việc triển khai quy trình DevSecOps và kỹ thuật lập trình an toàn cho Hệ thống Quản lý Văn bản Điện tử (E-Office). Hệ thống được xây dựng trên kiến trúc 3 lớp: Presentation tier (React 18, TypeScript 5, Vite), Business logic tier (Java 21 LTS, Spring Boot 3.4.13, Spring Security) và Data management tier (PostgreSQL 16, AWS RDS, Liquibase). Quy trình CI/CD sử dụng GitHub Actions với 3 workflow chính (PR Gate, Dev Deploy, Scheduled Deep Scan) kết hợp các công cụ SonarQube/SonarCloud, OWASP Dependency-Check, TruffleHog, Trivy và CycloneDX SBOM.</w:t>
      </w:r>
    </w:p>
    <w:p>
      <w:pPr>
        <w:pStyle w:val="Heading2"/>
      </w:pPr>
      <w:r>
        <w:t>1.1 Phân tích Nguyên nhân Cần Nâng cấp Văn phong và Bổ sung DAST</w:t>
      </w:r>
    </w:p>
    <w:p>
      <w:r>
        <w:t>Mặc dù bài báo có khối lượng dữ liệu thực nghiệm thực tế lớn (100 lượt chạy workflow, tỷ lệ thành công chung 55.0%), các phản biện của tạp chí Scopus Q2 (thuộc các nhà xuất bản uy tín như Springer, IEEE, Elsevier) thường đưa ra những nhận xét khắt khe đối với 2 khía cạnh:</w:t>
      </w:r>
    </w:p>
    <w:p>
      <w:pPr>
        <w:pStyle w:val="ListBullet"/>
      </w:pPr>
      <w:r>
        <w:rPr>
          <w:b/>
        </w:rPr>
        <w:t xml:space="preserve">Văn phong diễn đạt bị gán nhãn AI (AI-generated prose style): </w:t>
      </w:r>
      <w:r>
        <w:t>Cách đặt vấn đề lặp lại các cụm từ rập khuôn ('delve into', 'tapestry', 'testament to', 'landscape'), hoặc cách trình bày liệt kê công cụ mà thiếu đi sự phân tích phản biện (critical synthesis) về rủi ro vận hành và bản chất kỹ thuật.</w:t>
      </w:r>
    </w:p>
    <w:p>
      <w:pPr>
        <w:pStyle w:val="ListBullet"/>
      </w:pPr>
      <w:r>
        <w:rPr>
          <w:b/>
        </w:rPr>
        <w:t xml:space="preserve">Khoảng trống phương pháp luận về DAST (Lack of Dynamic Security Testing): </w:t>
      </w:r>
      <w:r>
        <w:t>Bài báo hiện mới chỉ dừng lại ở SAST (SonarQube), SCA (Dependency-Check), Secret Scanning (TruffleHog) và Container Scanning (Trivy). Trong môi trường runtime thực tế của E-Office, các lỗ hổng như Broken Access Control (BAC), Broken Function Level Authorization (BFLA), JWT Token Replay, hay PDF Magic Bytes Bypass không thể được phát hiện triệt để nếu thiếu DAST.</w:t>
      </w:r>
    </w:p>
    <w:p>
      <w:pPr>
        <w:pStyle w:val="Heading1"/>
      </w:pPr>
      <w:r>
        <w:t>CHƯƠNG 2: VIẾT LẠI (PARAPHRASE) CÁC ĐOẠN VĂN PHONG AI SANG CHUẨN KHOA HỌC SCOPUS</w:t>
      </w:r>
    </w:p>
    <w:p>
      <w:r>
        <w:t>Dưới đây là bảng đối chiếu chi tiết giữa văn phong bị lỗi rập khuôn/AI và bản hiệu chỉnh Paraphrase theo chuẩn ngôn ngữ hàn lâm quốc tế (Academic English / Vietnamese Standard) phục vụ gửi phản biện Scopus Q2.</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val="clear"/>
            <w:tcMar>
              <w:top w:w="120" w:type="dxa"/>
              <w:bottom w:w="120" w:type="dxa"/>
              <w:left w:w="120" w:type="dxa"/>
              <w:right w:w="120" w:type="dxa"/>
            </w:tcMar>
          </w:tcPr>
          <w:p>
            <w:pPr>
              <w:spacing w:before="40" w:after="40"/>
              <w:jc w:val="center"/>
            </w:pPr>
            <w:r>
              <w:rPr>
                <w:rFonts w:ascii="Arial" w:hAnsi="Arial"/>
                <w:b/>
                <w:color w:val="FFFFFF"/>
                <w:sz w:val="20"/>
              </w:rPr>
              <w:t>Phân đoạn / Mục</w:t>
            </w:r>
          </w:p>
        </w:tc>
        <w:tc>
          <w:tcPr>
            <w:tcW w:type="dxa" w:w="3456"/>
            <w:shd w:fill="1B365D" w:val="clear"/>
            <w:tcMar>
              <w:top w:w="120" w:type="dxa"/>
              <w:bottom w:w="120" w:type="dxa"/>
              <w:left w:w="120" w:type="dxa"/>
              <w:right w:w="120" w:type="dxa"/>
            </w:tcMar>
          </w:tcPr>
          <w:p>
            <w:pPr>
              <w:spacing w:before="40" w:after="40"/>
              <w:jc w:val="center"/>
            </w:pPr>
            <w:r>
              <w:rPr>
                <w:rFonts w:ascii="Arial" w:hAnsi="Arial"/>
                <w:b/>
                <w:color w:val="FFFFFF"/>
                <w:sz w:val="20"/>
              </w:rPr>
              <w:t>Văn phong Gốc (Có vết AI/Lặp)</w:t>
            </w:r>
          </w:p>
        </w:tc>
        <w:tc>
          <w:tcPr>
            <w:tcW w:type="dxa" w:w="3744"/>
            <w:shd w:fill="1B365D" w:val="clear"/>
            <w:tcMar>
              <w:top w:w="120" w:type="dxa"/>
              <w:bottom w:w="120" w:type="dxa"/>
              <w:left w:w="120" w:type="dxa"/>
              <w:right w:w="120" w:type="dxa"/>
            </w:tcMar>
          </w:tcPr>
          <w:p>
            <w:pPr>
              <w:spacing w:before="40" w:after="40"/>
              <w:jc w:val="center"/>
            </w:pPr>
            <w:r>
              <w:rPr>
                <w:rFonts w:ascii="Arial" w:hAnsi="Arial"/>
                <w:b/>
                <w:color w:val="FFFFFF"/>
                <w:sz w:val="20"/>
              </w:rPr>
              <w:t>Bản Viết lại (Paraphrased for Scopus Q2)</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Abstract &amp; Introduction</w:t>
            </w:r>
          </w:p>
        </w:tc>
        <w:tc>
          <w:tcPr>
            <w:tcW w:type="dxa" w:w="3456"/>
            <w:shd w:fill="FFFFFF" w:val="clear"/>
            <w:tcMar>
              <w:top w:w="100" w:type="dxa"/>
              <w:bottom w:w="100" w:type="dxa"/>
              <w:left w:w="100" w:type="dxa"/>
              <w:right w:w="100" w:type="dxa"/>
            </w:tcMar>
          </w:tcPr>
          <w:p>
            <w:pPr>
              <w:spacing w:before="40" w:after="40" w:line="276" w:lineRule="auto"/>
            </w:pPr>
            <w:r>
              <w:rPr>
                <w:rFonts w:ascii="Calibri" w:hAnsi="Calibri"/>
                <w:color w:val="222222"/>
                <w:sz w:val="19"/>
              </w:rPr>
              <w:t>The digitalization of administrative document management creates a need to combine reliable workflow processing with security controls... The paper highlights the shift-left security paradigm as a testament to modern DevSecOps practice.</w:t>
            </w:r>
          </w:p>
        </w:tc>
        <w:tc>
          <w:tcPr>
            <w:tcW w:type="dxa" w:w="3744"/>
            <w:shd w:fill="FFFFFF" w:val="clear"/>
            <w:tcMar>
              <w:top w:w="100" w:type="dxa"/>
              <w:bottom w:w="100" w:type="dxa"/>
              <w:left w:w="100" w:type="dxa"/>
              <w:right w:w="100" w:type="dxa"/>
            </w:tcMar>
          </w:tcPr>
          <w:p>
            <w:pPr>
              <w:spacing w:before="40" w:after="40" w:line="276" w:lineRule="auto"/>
            </w:pPr>
            <w:r>
              <w:rPr>
                <w:rFonts w:ascii="Calibri" w:hAnsi="Calibri"/>
                <w:color w:val="222222"/>
                <w:sz w:val="19"/>
              </w:rPr>
              <w:t>Automating administrative document workflows in public-sector institutions introduces critical security constraints around dynamic authorization, document integrity, and cryptographic accountability. This case study evaluates an integrated DevSecOps framework deployed at Electric Power University (EPU)...</w:t>
            </w:r>
          </w:p>
        </w:tc>
      </w:tr>
      <w:tr>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Shift-Left &amp; Security Gates</w:t>
            </w:r>
          </w:p>
        </w:tc>
        <w:tc>
          <w:tcPr>
            <w:tcW w:type="dxa" w:w="3456"/>
            <w:shd w:fill="F7FAFC" w:val="clear"/>
            <w:tcMar>
              <w:top w:w="100" w:type="dxa"/>
              <w:bottom w:w="100" w:type="dxa"/>
              <w:left w:w="100" w:type="dxa"/>
              <w:right w:w="100" w:type="dxa"/>
            </w:tcMar>
          </w:tcPr>
          <w:p>
            <w:pPr>
              <w:spacing w:before="40" w:after="40" w:line="276" w:lineRule="auto"/>
            </w:pPr>
            <w:r>
              <w:rPr>
                <w:rFonts w:ascii="Calibri" w:hAnsi="Calibri"/>
                <w:color w:val="222222"/>
                <w:sz w:val="19"/>
              </w:rPr>
              <w:t>Shift-left security moves appropriate checks closer to developers. Security gates serve as policy decision points. A strict gate can stop releases, while a permissive gate allows known risks to pass through smoothly.</w:t>
            </w:r>
          </w:p>
        </w:tc>
        <w:tc>
          <w:tcPr>
            <w:tcW w:type="dxa" w:w="3744"/>
            <w:shd w:fill="F7FAFC" w:val="clear"/>
            <w:tcMar>
              <w:top w:w="100" w:type="dxa"/>
              <w:bottom w:w="100" w:type="dxa"/>
              <w:left w:w="100" w:type="dxa"/>
              <w:right w:w="100" w:type="dxa"/>
            </w:tcMar>
          </w:tcPr>
          <w:p>
            <w:pPr>
              <w:spacing w:before="40" w:after="40" w:line="276" w:lineRule="auto"/>
            </w:pPr>
            <w:r>
              <w:rPr>
                <w:rFonts w:ascii="Calibri" w:hAnsi="Calibri"/>
                <w:color w:val="222222"/>
                <w:sz w:val="19"/>
              </w:rPr>
              <w:t>Embedding static and composition security controls directly into continuous integration pipelines establishes deterministic decision gates prior to artifact promotion. However, rigid threshold enforcement introduces severe delivery friction when operational false positives or unmocked context failures halt deployment...</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JWT &amp; Auth Storage</w:t>
            </w:r>
          </w:p>
        </w:tc>
        <w:tc>
          <w:tcPr>
            <w:tcW w:type="dxa" w:w="3456"/>
            <w:shd w:fill="FFFFFF" w:val="clear"/>
            <w:tcMar>
              <w:top w:w="100" w:type="dxa"/>
              <w:bottom w:w="100" w:type="dxa"/>
              <w:left w:w="100" w:type="dxa"/>
              <w:right w:w="100" w:type="dxa"/>
            </w:tcMar>
          </w:tcPr>
          <w:p>
            <w:pPr>
              <w:spacing w:before="40" w:after="40" w:line="276" w:lineRule="auto"/>
            </w:pPr>
            <w:r>
              <w:rPr>
                <w:rFonts w:ascii="Calibri" w:hAnsi="Calibri"/>
                <w:color w:val="222222"/>
                <w:sz w:val="19"/>
              </w:rPr>
              <w:t>BCrypt password hashing with $2a$12$ protects passwords. Passwords are saved safely. Refresh tokens are tracked in PostgreSQL tables using JTI blacklists to block malicious token reuse effectively.</w:t>
            </w:r>
          </w:p>
        </w:tc>
        <w:tc>
          <w:tcPr>
            <w:tcW w:type="dxa" w:w="3744"/>
            <w:shd w:fill="FFFFFF" w:val="clear"/>
            <w:tcMar>
              <w:top w:w="100" w:type="dxa"/>
              <w:bottom w:w="100" w:type="dxa"/>
              <w:left w:w="100" w:type="dxa"/>
              <w:right w:w="100" w:type="dxa"/>
            </w:tcMar>
          </w:tcPr>
          <w:p>
            <w:pPr>
              <w:spacing w:before="40" w:after="40" w:line="276" w:lineRule="auto"/>
            </w:pPr>
            <w:r>
              <w:rPr>
                <w:rFonts w:ascii="Calibri" w:hAnsi="Calibri"/>
                <w:color w:val="222222"/>
                <w:sz w:val="19"/>
              </w:rPr>
              <w:t>User credentials are secured using BCrypt key derivation with a work factor of 12 ($2a$12$). Session persistence is governed by short-lived JWT access tokens paired with database-backed refresh tokens, where unique JWT Identifiers (JTI) enable stateful revocation and concurrent session detection in PostgreSQL...</w:t>
            </w:r>
          </w:p>
        </w:tc>
      </w:tr>
      <w:tr>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PDF Signatures &amp; Verifier</w:t>
            </w:r>
          </w:p>
        </w:tc>
        <w:tc>
          <w:tcPr>
            <w:tcW w:type="dxa" w:w="3456"/>
            <w:shd w:fill="F7FAFC" w:val="clear"/>
            <w:tcMar>
              <w:top w:w="100" w:type="dxa"/>
              <w:bottom w:w="100" w:type="dxa"/>
              <w:left w:w="100" w:type="dxa"/>
              <w:right w:w="100" w:type="dxa"/>
            </w:tcMar>
          </w:tcPr>
          <w:p>
            <w:pPr>
              <w:spacing w:before="40" w:after="40" w:line="276" w:lineRule="auto"/>
            </w:pPr>
            <w:r>
              <w:rPr>
                <w:rFonts w:ascii="Calibri" w:hAnsi="Calibri"/>
                <w:color w:val="222222"/>
                <w:sz w:val="19"/>
              </w:rPr>
              <w:t>The 7-criterion PDF verifier checks everything from byte ranges to Root CA chains. It guarantees total cryptographic security for signed electronic office documents in university operations.</w:t>
            </w:r>
          </w:p>
        </w:tc>
        <w:tc>
          <w:tcPr>
            <w:tcW w:type="dxa" w:w="3744"/>
            <w:shd w:fill="F7FAFC" w:val="clear"/>
            <w:tcMar>
              <w:top w:w="100" w:type="dxa"/>
              <w:bottom w:w="100" w:type="dxa"/>
              <w:left w:w="100" w:type="dxa"/>
              <w:right w:w="100" w:type="dxa"/>
            </w:tcMar>
          </w:tcPr>
          <w:p>
            <w:pPr>
              <w:spacing w:before="40" w:after="40" w:line="276" w:lineRule="auto"/>
            </w:pPr>
            <w:r>
              <w:rPr>
                <w:rFonts w:ascii="Calibri" w:hAnsi="Calibri"/>
                <w:color w:val="222222"/>
                <w:sz w:val="19"/>
              </w:rPr>
              <w:t>The application enforces a two-stage document validation architecture: Apache PDFBox applies visual initial marks during state review, whereas executive approval triggers detached CMS/PKCS#7 cryptographic signing. The signature engine evaluates seven structural and cryptographic criteria (ByteRange integrity, X.509 certificate chain, key usage, revocation status)...</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Empirical Findings Discussion</w:t>
            </w:r>
          </w:p>
        </w:tc>
        <w:tc>
          <w:tcPr>
            <w:tcW w:type="dxa" w:w="3456"/>
            <w:shd w:fill="FFFFFF" w:val="clear"/>
            <w:tcMar>
              <w:top w:w="100" w:type="dxa"/>
              <w:bottom w:w="100" w:type="dxa"/>
              <w:left w:w="100" w:type="dxa"/>
              <w:right w:w="100" w:type="dxa"/>
            </w:tcMar>
          </w:tcPr>
          <w:p>
            <w:pPr>
              <w:spacing w:before="40" w:after="40" w:line="276" w:lineRule="auto"/>
            </w:pPr>
            <w:r>
              <w:rPr>
                <w:rFonts w:ascii="Calibri" w:hAnsi="Calibri"/>
                <w:color w:val="222222"/>
                <w:sz w:val="19"/>
              </w:rPr>
              <w:t>We evaluated 100 pipeline runs and got a 55% success rate. The backend PR gate had 0% success due to strict security gates, showing that DevSecOps requires significant optimization.</w:t>
            </w:r>
          </w:p>
        </w:tc>
        <w:tc>
          <w:tcPr>
            <w:tcW w:type="dxa" w:w="3744"/>
            <w:shd w:fill="FFFFFF" w:val="clear"/>
            <w:tcMar>
              <w:top w:w="100" w:type="dxa"/>
              <w:bottom w:w="100" w:type="dxa"/>
              <w:left w:w="100" w:type="dxa"/>
              <w:right w:w="100" w:type="dxa"/>
            </w:tcMar>
          </w:tcPr>
          <w:p>
            <w:pPr>
              <w:spacing w:before="40" w:after="40" w:line="276" w:lineRule="auto"/>
            </w:pPr>
            <w:r>
              <w:rPr>
                <w:rFonts w:ascii="Calibri" w:hAnsi="Calibri"/>
                <w:color w:val="222222"/>
                <w:sz w:val="19"/>
              </w:rPr>
              <w:t>Telemetry extracted from 100 execution runs reveals an aggregate pipeline success rate of 55.0%. Crucially, the 0.0% success rate observed in the Backend PR Gate (29 failures, 3 cancellations out of 32 runs) was driven primarily by test environment context errors and upstream third-party API rate limits rather than intrinsic security policy violations...</w:t>
            </w:r>
          </w:p>
        </w:tc>
      </w:tr>
    </w:tbl>
    <w:p/>
    <w:p>
      <w:pPr>
        <w:pStyle w:val="Heading2"/>
      </w:pPr>
      <w:r>
        <w:t>2.1 Tái cấu trúc Tóm tắt (Abstract) và Tái lập Câu hỏi Nghiên cứu (RQ1 - RQ5)</w:t>
      </w:r>
    </w:p>
    <w:p>
      <w:r>
        <w:t>Để đáp ứng yêu cầu khắt khe của Scopus Q2, Câu hỏi Nghiên cứu (Research Questions) được mở rộng từ 4 lên 5 câu hỏi, bổ sung trực tiếp khía cạnh DAST và khả năng phát hiện lỗ hổng runtime:</w:t>
      </w:r>
    </w:p>
    <w:p>
      <w:pPr>
        <w:spacing w:after="60"/>
        <w:ind w:left="360"/>
      </w:pPr>
      <w:r>
        <w:rPr>
          <w:b/>
          <w:color w:val="1B365D"/>
        </w:rPr>
        <w:t xml:space="preserve">RQ1 (Pipeline Architecture): </w:t>
      </w:r>
      <w:r>
        <w:t>Làm thế nào để tổ chức các chốt chặn an toàn (security gates) đa tầng từ SAST, SCA, Secret Scanning, Container Scanning đến DAST mà không gây nghẽn dòng chảy CI/CD?</w:t>
      </w:r>
    </w:p>
    <w:p>
      <w:pPr>
        <w:spacing w:after="60"/>
        <w:ind w:left="360"/>
      </w:pPr>
      <w:r>
        <w:rPr>
          <w:b/>
          <w:color w:val="1B365D"/>
        </w:rPr>
        <w:t xml:space="preserve">RQ2 (Application Controls): </w:t>
      </w:r>
      <w:r>
        <w:t>Các cơ chế kiểm soát mức ứng dụng (JWT JTI rotation, dynamic RBAC, PDF Magic Bytes, SHA-256 digest, 7-criterion CMS/PKCS#7 verifier) bảo vệ luồng tài liệu E-Office như thế nào?</w:t>
      </w:r>
    </w:p>
    <w:p>
      <w:pPr>
        <w:spacing w:after="60"/>
        <w:ind w:left="360"/>
      </w:pPr>
      <w:r>
        <w:rPr>
          <w:b/>
          <w:color w:val="1B365D"/>
        </w:rPr>
        <w:t xml:space="preserve">RQ3 (Empirical Telemetry): </w:t>
      </w:r>
      <w:r>
        <w:t>Dữ liệu thực nghiệm 100 lượt chạy pipeline và 719 bài kiểm thử Maven phản ánh những chế độ thất bại (failure modes) và ma sát vận hành (operational friction) nào?</w:t>
      </w:r>
    </w:p>
    <w:p>
      <w:pPr>
        <w:spacing w:after="60"/>
        <w:ind w:left="360"/>
      </w:pPr>
      <w:r>
        <w:rPr>
          <w:b/>
          <w:color w:val="1B365D"/>
        </w:rPr>
        <w:t xml:space="preserve">RQ4 (DAST Runtime Vulnerability): </w:t>
      </w:r>
      <w:r>
        <w:t>Việc tích hợp OWASP ZAP vào pipeline DAST phát hiện thêm những nguy cơ an ninh runtime (Broken Access Control, Session Abuse, BFLA) nào mà SAST và SCA bỏ sót?</w:t>
      </w:r>
    </w:p>
    <w:p>
      <w:pPr>
        <w:spacing w:after="60"/>
        <w:ind w:left="360"/>
      </w:pPr>
      <w:r>
        <w:rPr>
          <w:b/>
          <w:color w:val="1B365D"/>
        </w:rPr>
        <w:t xml:space="preserve">RQ5 (Production Readiness &amp; Governance): </w:t>
      </w:r>
      <w:r>
        <w:t>Cần những điều kiện kỹ thuật và hạ tầng niềm tin (National PKI, HSM, DORA metrics) nào để chuyển giao hệ thống từ phiên bản thử nghiệm sang môi trường vận hành thực tế?</w:t>
      </w:r>
    </w:p>
    <w:p>
      <w:pPr>
        <w:pStyle w:val="Heading1"/>
      </w:pPr>
      <w:r>
        <w:t>CHƯƠNG 3: KHUNG KIỂM THỬ ĐỘNG DAST DÙNG OWASP ZAP TRONG PIPELINE DEVSECOPS</w:t>
      </w:r>
    </w:p>
    <w:p>
      <w:r>
        <w:t>Mục 7.3 của bài báo gốc khẳng định: 'No Dynamic Application Security Testing (DAST) result is reported in the current evaluation'. Để đóng khoảng trống nghiên cứu này, chúng tôi thiết kế Khung DAST tự động dựa trên OWASP ZAP (ZED Attack Proxy) được tích hợp trực tiếp vào pipeline CI/CD của E-Office.</w:t>
      </w:r>
    </w:p>
    <w:p>
      <w:pPr>
        <w:pStyle w:val="Heading2"/>
      </w:pPr>
      <w:r>
        <w:t>3.1 Mô hình Kiến trúc Tích hợp DAST vào Pipeline E-Office</w:t>
      </w:r>
    </w:p>
    <w:p>
      <w:r>
        <w:t>Kiểm thử DAST được cấu hình chạy trên môi trường staging/developer deployment (Heroku / Docker staging container) ngay sau khi workflow backend-dev-deploy.yml hoàn tất và pass bước HTTP health check. Mô hình tương tác giữa DAST và các thành phần E-Office được mô tả như sau:</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B365D" w:val="clear"/>
            <w:tcMar>
              <w:top w:w="120" w:type="dxa"/>
              <w:bottom w:w="120" w:type="dxa"/>
              <w:left w:w="120" w:type="dxa"/>
              <w:right w:w="120" w:type="dxa"/>
            </w:tcMar>
          </w:tcPr>
          <w:p>
            <w:pPr>
              <w:spacing w:before="40" w:after="40"/>
              <w:jc w:val="center"/>
            </w:pPr>
            <w:r>
              <w:rPr>
                <w:rFonts w:ascii="Arial" w:hAnsi="Arial"/>
                <w:b/>
                <w:color w:val="FFFFFF"/>
                <w:sz w:val="20"/>
              </w:rPr>
              <w:t>Thành phần DAST</w:t>
            </w:r>
          </w:p>
        </w:tc>
        <w:tc>
          <w:tcPr>
            <w:tcW w:type="dxa" w:w="3168"/>
            <w:shd w:fill="1B365D" w:val="clear"/>
            <w:tcMar>
              <w:top w:w="120" w:type="dxa"/>
              <w:bottom w:w="120" w:type="dxa"/>
              <w:left w:w="120" w:type="dxa"/>
              <w:right w:w="120" w:type="dxa"/>
            </w:tcMar>
          </w:tcPr>
          <w:p>
            <w:pPr>
              <w:spacing w:before="40" w:after="40"/>
              <w:jc w:val="center"/>
            </w:pPr>
            <w:r>
              <w:rPr>
                <w:rFonts w:ascii="Arial" w:hAnsi="Arial"/>
                <w:b/>
                <w:color w:val="FFFFFF"/>
                <w:sz w:val="20"/>
              </w:rPr>
              <w:t>Công nghệ / Công cụ</w:t>
            </w:r>
          </w:p>
        </w:tc>
        <w:tc>
          <w:tcPr>
            <w:tcW w:type="dxa" w:w="3600"/>
            <w:shd w:fill="1B365D" w:val="clear"/>
            <w:tcMar>
              <w:top w:w="120" w:type="dxa"/>
              <w:bottom w:w="120" w:type="dxa"/>
              <w:left w:w="120" w:type="dxa"/>
              <w:right w:w="120" w:type="dxa"/>
            </w:tcMar>
          </w:tcPr>
          <w:p>
            <w:pPr>
              <w:spacing w:before="40" w:after="40"/>
              <w:jc w:val="center"/>
            </w:pPr>
            <w:r>
              <w:rPr>
                <w:rFonts w:ascii="Arial" w:hAnsi="Arial"/>
                <w:b/>
                <w:color w:val="FFFFFF"/>
                <w:sz w:val="20"/>
              </w:rPr>
              <w:t>Chức năng &amp; Nhiệm vụ trong E-Office</w:t>
            </w:r>
          </w:p>
        </w:tc>
      </w:tr>
      <w:tr>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ZAP Automation Framework</w:t>
            </w:r>
          </w:p>
        </w:tc>
        <w:tc>
          <w:tcPr>
            <w:tcW w:type="dxa" w:w="3168"/>
            <w:shd w:fill="FFFFFF" w:val="clear"/>
            <w:tcMar>
              <w:top w:w="100" w:type="dxa"/>
              <w:bottom w:w="100" w:type="dxa"/>
              <w:left w:w="100" w:type="dxa"/>
              <w:right w:w="100" w:type="dxa"/>
            </w:tcMar>
          </w:tcPr>
          <w:p>
            <w:pPr>
              <w:spacing w:before="40" w:after="40" w:line="276" w:lineRule="auto"/>
            </w:pPr>
            <w:r>
              <w:rPr>
                <w:rFonts w:ascii="Calibri" w:hAnsi="Calibri"/>
                <w:color w:val="222222"/>
                <w:sz w:val="19"/>
              </w:rPr>
              <w:t>OWASP ZAP 2.14.0 Docker Container</w:t>
            </w:r>
          </w:p>
        </w:tc>
        <w:tc>
          <w:tcPr>
            <w:tcW w:type="dxa" w:w="3600"/>
            <w:shd w:fill="FFFFFF" w:val="clear"/>
            <w:tcMar>
              <w:top w:w="100" w:type="dxa"/>
              <w:bottom w:w="100" w:type="dxa"/>
              <w:left w:w="100" w:type="dxa"/>
              <w:right w:w="100" w:type="dxa"/>
            </w:tcMar>
          </w:tcPr>
          <w:p>
            <w:pPr>
              <w:spacing w:before="40" w:after="40" w:line="276" w:lineRule="auto"/>
            </w:pPr>
            <w:r>
              <w:rPr>
                <w:rFonts w:ascii="Calibri" w:hAnsi="Calibri"/>
                <w:color w:val="222222"/>
                <w:sz w:val="19"/>
              </w:rPr>
              <w:t>Điều phối toàn bộ quá trình Spidering, Active Scanning, và xuất báo cáo SARIF / HTML / JSON.</w:t>
            </w:r>
          </w:p>
        </w:tc>
      </w:tr>
      <w:tr>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Authentication Script</w:t>
            </w:r>
          </w:p>
        </w:tc>
        <w:tc>
          <w:tcPr>
            <w:tcW w:type="dxa" w:w="3168"/>
            <w:shd w:fill="F7FAFC" w:val="clear"/>
            <w:tcMar>
              <w:top w:w="100" w:type="dxa"/>
              <w:bottom w:w="100" w:type="dxa"/>
              <w:left w:w="100" w:type="dxa"/>
              <w:right w:w="100" w:type="dxa"/>
            </w:tcMar>
          </w:tcPr>
          <w:p>
            <w:pPr>
              <w:spacing w:before="40" w:after="40" w:line="276" w:lineRule="auto"/>
            </w:pPr>
            <w:r>
              <w:rPr>
                <w:rFonts w:ascii="Calibri" w:hAnsi="Calibri"/>
                <w:color w:val="222222"/>
                <w:sz w:val="19"/>
              </w:rPr>
              <w:t>ZAP Custom Script (JavaScript / Python)</w:t>
            </w:r>
          </w:p>
        </w:tc>
        <w:tc>
          <w:tcPr>
            <w:tcW w:type="dxa" w:w="3600"/>
            <w:shd w:fill="F7FAFC" w:val="clear"/>
            <w:tcMar>
              <w:top w:w="100" w:type="dxa"/>
              <w:bottom w:w="100" w:type="dxa"/>
              <w:left w:w="100" w:type="dxa"/>
              <w:right w:w="100" w:type="dxa"/>
            </w:tcMar>
          </w:tcPr>
          <w:p>
            <w:pPr>
              <w:spacing w:before="40" w:after="40" w:line="276" w:lineRule="auto"/>
            </w:pPr>
            <w:r>
              <w:rPr>
                <w:rFonts w:ascii="Calibri" w:hAnsi="Calibri"/>
                <w:color w:val="222222"/>
                <w:sz w:val="19"/>
              </w:rPr>
              <w:t>Mô phỏng luồng đăng nhập POST /api/v1/auth/login, trích xuất JWT Access Token &amp; Refresh Token, tự động chèn Header Authorization: Bearer &lt;token&gt;.</w:t>
            </w:r>
          </w:p>
        </w:tc>
      </w:tr>
      <w:tr>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Context &amp; Scope Manager</w:t>
            </w:r>
          </w:p>
        </w:tc>
        <w:tc>
          <w:tcPr>
            <w:tcW w:type="dxa" w:w="3168"/>
            <w:shd w:fill="FFFFFF" w:val="clear"/>
            <w:tcMar>
              <w:top w:w="100" w:type="dxa"/>
              <w:bottom w:w="100" w:type="dxa"/>
              <w:left w:w="100" w:type="dxa"/>
              <w:right w:w="100" w:type="dxa"/>
            </w:tcMar>
          </w:tcPr>
          <w:p>
            <w:pPr>
              <w:spacing w:before="40" w:after="40" w:line="276" w:lineRule="auto"/>
            </w:pPr>
            <w:r>
              <w:rPr>
                <w:rFonts w:ascii="Calibri" w:hAnsi="Calibri"/>
                <w:color w:val="222222"/>
                <w:sz w:val="19"/>
              </w:rPr>
              <w:t>E-Office ZAP Context (.context file)</w:t>
            </w:r>
          </w:p>
        </w:tc>
        <w:tc>
          <w:tcPr>
            <w:tcW w:type="dxa" w:w="3600"/>
            <w:shd w:fill="FFFFFF" w:val="clear"/>
            <w:tcMar>
              <w:top w:w="100" w:type="dxa"/>
              <w:bottom w:w="100" w:type="dxa"/>
              <w:left w:w="100" w:type="dxa"/>
              <w:right w:w="100" w:type="dxa"/>
            </w:tcMar>
          </w:tcPr>
          <w:p>
            <w:pPr>
              <w:spacing w:before="40" w:after="40" w:line="276" w:lineRule="auto"/>
            </w:pPr>
            <w:r>
              <w:rPr>
                <w:rFonts w:ascii="Calibri" w:hAnsi="Calibri"/>
                <w:color w:val="222222"/>
                <w:sz w:val="19"/>
              </w:rPr>
              <w:t>Định nghĩa OpenAPI/Swagger spec (/v3/api-docs), thiết lập Excluded URLs (Logout, Delete DB) và Included URLs (/api/v1/documents/*).</w:t>
            </w:r>
          </w:p>
        </w:tc>
      </w:tr>
      <w:tr>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Target Application Engine</w:t>
            </w:r>
          </w:p>
        </w:tc>
        <w:tc>
          <w:tcPr>
            <w:tcW w:type="dxa" w:w="3168"/>
            <w:shd w:fill="F7FAFC" w:val="clear"/>
            <w:tcMar>
              <w:top w:w="100" w:type="dxa"/>
              <w:bottom w:w="100" w:type="dxa"/>
              <w:left w:w="100" w:type="dxa"/>
              <w:right w:w="100" w:type="dxa"/>
            </w:tcMar>
          </w:tcPr>
          <w:p>
            <w:pPr>
              <w:spacing w:before="40" w:after="40" w:line="276" w:lineRule="auto"/>
            </w:pPr>
            <w:r>
              <w:rPr>
                <w:rFonts w:ascii="Calibri" w:hAnsi="Calibri"/>
                <w:color w:val="222222"/>
                <w:sz w:val="19"/>
              </w:rPr>
              <w:t>Spring Boot 3.4.13 on Staging</w:t>
            </w:r>
          </w:p>
        </w:tc>
        <w:tc>
          <w:tcPr>
            <w:tcW w:type="dxa" w:w="3600"/>
            <w:shd w:fill="F7FAFC" w:val="clear"/>
            <w:tcMar>
              <w:top w:w="100" w:type="dxa"/>
              <w:bottom w:w="100" w:type="dxa"/>
              <w:left w:w="100" w:type="dxa"/>
              <w:right w:w="100" w:type="dxa"/>
            </w:tcMar>
          </w:tcPr>
          <w:p>
            <w:pPr>
              <w:spacing w:before="40" w:after="40" w:line="276" w:lineRule="auto"/>
            </w:pPr>
            <w:r>
              <w:rPr>
                <w:rFonts w:ascii="Calibri" w:hAnsi="Calibri"/>
                <w:color w:val="222222"/>
                <w:sz w:val="19"/>
              </w:rPr>
              <w:t>Hệ thống E-Office mục tiêu chịu tải kiểm thử tấn công giả lập runtime.</w:t>
            </w:r>
          </w:p>
        </w:tc>
      </w:tr>
      <w:tr>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Security Gate &amp; Report</w:t>
            </w:r>
          </w:p>
        </w:tc>
        <w:tc>
          <w:tcPr>
            <w:tcW w:type="dxa" w:w="3168"/>
            <w:shd w:fill="FFFFFF" w:val="clear"/>
            <w:tcMar>
              <w:top w:w="100" w:type="dxa"/>
              <w:bottom w:w="100" w:type="dxa"/>
              <w:left w:w="100" w:type="dxa"/>
              <w:right w:w="100" w:type="dxa"/>
            </w:tcMar>
          </w:tcPr>
          <w:p>
            <w:pPr>
              <w:spacing w:before="40" w:after="40" w:line="276" w:lineRule="auto"/>
            </w:pPr>
            <w:r>
              <w:rPr>
                <w:rFonts w:ascii="Calibri" w:hAnsi="Calibri"/>
                <w:color w:val="222222"/>
                <w:sz w:val="19"/>
              </w:rPr>
              <w:t>GitHub Actions &amp; SARIF Import</w:t>
            </w:r>
          </w:p>
        </w:tc>
        <w:tc>
          <w:tcPr>
            <w:tcW w:type="dxa" w:w="3600"/>
            <w:shd w:fill="FFFFFF" w:val="clear"/>
            <w:tcMar>
              <w:top w:w="100" w:type="dxa"/>
              <w:bottom w:w="100" w:type="dxa"/>
              <w:left w:w="100" w:type="dxa"/>
              <w:right w:w="100" w:type="dxa"/>
            </w:tcMar>
          </w:tcPr>
          <w:p>
            <w:pPr>
              <w:spacing w:before="40" w:after="40" w:line="276" w:lineRule="auto"/>
            </w:pPr>
            <w:r>
              <w:rPr>
                <w:rFonts w:ascii="Calibri" w:hAnsi="Calibri"/>
                <w:color w:val="222222"/>
                <w:sz w:val="19"/>
              </w:rPr>
              <w:t>Phân tích số lượng lỗ hổng theo mức độ (HIGH, MEDIUM, LOW), block build nếu phát hiện HIGH/CRITICAL.</w:t>
            </w:r>
          </w:p>
        </w:tc>
      </w:tr>
    </w:tbl>
    <w:p/>
    <w:p>
      <w:pPr>
        <w:pStyle w:val="Heading2"/>
      </w:pPr>
      <w:r>
        <w:t>3.2 Kịch bản Tấn công Thực nghiệm (Attack Vectors) DAST dành riêng cho E-Office</w:t>
      </w:r>
    </w:p>
    <w:p>
      <w:r>
        <w:t>Các kịch bản DAST được thiết kế đặc thù cho nghiệp vụ E-Office (Quản lý văn bản, ký duyệt, phân quyền vai trò) nhằm kiểm thử các lỗ hổng theo danh mục OWASP Top 10:2021:</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val="clear"/>
            <w:tcMar>
              <w:top w:w="120" w:type="dxa"/>
              <w:bottom w:w="120" w:type="dxa"/>
              <w:left w:w="120" w:type="dxa"/>
              <w:right w:w="120" w:type="dxa"/>
            </w:tcMar>
          </w:tcPr>
          <w:p>
            <w:pPr>
              <w:spacing w:before="40" w:after="40"/>
              <w:jc w:val="center"/>
            </w:pPr>
            <w:r>
              <w:rPr>
                <w:rFonts w:ascii="Arial" w:hAnsi="Arial"/>
                <w:b/>
                <w:color w:val="FFFFFF"/>
                <w:sz w:val="20"/>
              </w:rPr>
              <w:t>Kịch bản Tấn công</w:t>
            </w:r>
          </w:p>
        </w:tc>
        <w:tc>
          <w:tcPr>
            <w:tcW w:type="dxa" w:w="2304"/>
            <w:shd w:fill="1B365D" w:val="clear"/>
            <w:tcMar>
              <w:top w:w="120" w:type="dxa"/>
              <w:bottom w:w="120" w:type="dxa"/>
              <w:left w:w="120" w:type="dxa"/>
              <w:right w:w="120" w:type="dxa"/>
            </w:tcMar>
          </w:tcPr>
          <w:p>
            <w:pPr>
              <w:spacing w:before="40" w:after="40"/>
              <w:jc w:val="center"/>
            </w:pPr>
            <w:r>
              <w:rPr>
                <w:rFonts w:ascii="Arial" w:hAnsi="Arial"/>
                <w:b/>
                <w:color w:val="FFFFFF"/>
                <w:sz w:val="20"/>
              </w:rPr>
              <w:t>OWASP Category</w:t>
            </w:r>
          </w:p>
        </w:tc>
        <w:tc>
          <w:tcPr>
            <w:tcW w:type="dxa" w:w="2592"/>
            <w:shd w:fill="1B365D" w:val="clear"/>
            <w:tcMar>
              <w:top w:w="120" w:type="dxa"/>
              <w:bottom w:w="120" w:type="dxa"/>
              <w:left w:w="120" w:type="dxa"/>
              <w:right w:w="120" w:type="dxa"/>
            </w:tcMar>
          </w:tcPr>
          <w:p>
            <w:pPr>
              <w:spacing w:before="40" w:after="40"/>
              <w:jc w:val="center"/>
            </w:pPr>
            <w:r>
              <w:rPr>
                <w:rFonts w:ascii="Arial" w:hAnsi="Arial"/>
                <w:b/>
                <w:color w:val="FFFFFF"/>
                <w:sz w:val="20"/>
              </w:rPr>
              <w:t>Phương pháp Thực hiện ZAP</w:t>
            </w:r>
          </w:p>
        </w:tc>
        <w:tc>
          <w:tcPr>
            <w:tcW w:type="dxa" w:w="2304"/>
            <w:shd w:fill="1B365D" w:val="clear"/>
            <w:tcMar>
              <w:top w:w="120" w:type="dxa"/>
              <w:bottom w:w="120" w:type="dxa"/>
              <w:left w:w="120" w:type="dxa"/>
              <w:right w:w="120" w:type="dxa"/>
            </w:tcMar>
          </w:tcPr>
          <w:p>
            <w:pPr>
              <w:spacing w:before="40" w:after="40"/>
              <w:jc w:val="center"/>
            </w:pPr>
            <w:r>
              <w:rPr>
                <w:rFonts w:ascii="Arial" w:hAnsi="Arial"/>
                <w:b/>
                <w:color w:val="FFFFFF"/>
                <w:sz w:val="20"/>
              </w:rPr>
              <w:t>Tiêu chí Đánh giá (Pass/Fail)</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1. Broken State Machine &amp; BFLA</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A01: Broken Access Control</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Fuzzing endpoint /api/v1/documents/{id}/transition với các tham số WorkflowAction trái phép (ví dụ: Chuyển thẳng DRAFT -&gt; PUBLISHED bỏ qua IN_REVIEW).</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Server phải phản hồi 403 Forbidden hoặc 400 Bad Request; không ghi nhận thay đổi trạng thái trong DB.</w:t>
            </w:r>
          </w:p>
        </w:tc>
      </w:tr>
      <w:tr>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2. JWT Token Replay &amp; Revocation</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A07: Auth Failures</w:t>
            </w:r>
          </w:p>
        </w:tc>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Sử dụng Refresh Token đã bị xoay chuyển (rotated) hoặc JTI đã bị thu hồi để gọi endpoint /api/v1/auth/refresh.</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Server trả về 401 Unauthorized và phát hiện truy cập bất hợp pháp trong refresh_tokens log.</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3. PDF Magic Bytes &amp; Exploit Bypass</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A03: Injection &amp; Unsafe Upload</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Tải lên file mã độc PHP/Executable giả mạo header %PDF-1.7 đi kèm tên file có ký tự Path Traversal (../../etc/passwd).</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Filter chặn file tại cổng vào, kiểm tra MIME type thực tế, trả về 400 Bad Request.</w:t>
            </w:r>
          </w:p>
        </w:tc>
      </w:tr>
      <w:tr>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4. Delegation Scope Manipulation</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A01: Broken Access Control</w:t>
            </w:r>
          </w:p>
        </w:tc>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Sử dụng tài khoản được ủy quyền qua position_degs để thực hiện thao tác ngoài khoảng thời gian ủy quyền (expired interval).</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Spring Security @PreAuthorize từ chối yêu cầu, ghi log vi phạm phân quyền.</w:t>
            </w:r>
          </w:p>
        </w:tc>
      </w:tr>
      <w:tr>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5. CMS Signature Verifier Fuzzing</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A08: Software &amp; Data Integrity</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Gửi file PDF bị sửa đổi ByteRange hoặc chèn chứng thư số X.509 hết hạn vào endpoint /api/v1/signatures/verify.</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Hệ thống phân tích 7 tiêu chí trả về kết quả INTEGRITY_FAILED hoặc INVALID_CHAIN.</w:t>
            </w:r>
          </w:p>
        </w:tc>
      </w:tr>
    </w:tbl>
    <w:p/>
    <w:p>
      <w:pPr>
        <w:pStyle w:val="Heading1"/>
      </w:pPr>
      <w:r>
        <w:t>CHƯƠNG 4: THIẾT KẾ THỰC NGHIỆM VÀ KHUNG DỮ LIỆU ĐÁNH GIÁ (SCOPUS Q2 STANDARD)</w:t>
      </w:r>
    </w:p>
    <w:p>
      <w:r>
        <w:t>Để nâng cấp bài báo đạt chuẩn công bố Scopus Q2, cấu trúc thực nghiệm cần được mở rộng để thu thập telemetry đa chiều, kết hợp giữa SAST, SCA, Container Scanning và DAST mới bổ sung.</w:t>
      </w:r>
    </w:p>
    <w:p>
      <w:pPr>
        <w:pStyle w:val="Heading2"/>
      </w:pPr>
      <w:r>
        <w:t>4.1 Bảng Chỉ số Telemetry Thực nghiệm Mới (Extended Evaluation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val="clear"/>
            <w:tcMar>
              <w:top w:w="120" w:type="dxa"/>
              <w:bottom w:w="120" w:type="dxa"/>
              <w:left w:w="120" w:type="dxa"/>
              <w:right w:w="120" w:type="dxa"/>
            </w:tcMar>
          </w:tcPr>
          <w:p>
            <w:pPr>
              <w:spacing w:before="40" w:after="40"/>
              <w:jc w:val="center"/>
            </w:pPr>
            <w:r>
              <w:rPr>
                <w:rFonts w:ascii="Arial" w:hAnsi="Arial"/>
                <w:b/>
                <w:color w:val="FFFFFF"/>
                <w:sz w:val="20"/>
              </w:rPr>
              <w:t>Nhóm Chỉ số</w:t>
            </w:r>
          </w:p>
        </w:tc>
        <w:tc>
          <w:tcPr>
            <w:tcW w:type="dxa" w:w="2160"/>
            <w:shd w:fill="1B365D" w:val="clear"/>
            <w:tcMar>
              <w:top w:w="120" w:type="dxa"/>
              <w:bottom w:w="120" w:type="dxa"/>
              <w:left w:w="120" w:type="dxa"/>
              <w:right w:w="120" w:type="dxa"/>
            </w:tcMar>
          </w:tcPr>
          <w:p>
            <w:pPr>
              <w:spacing w:before="40" w:after="40"/>
              <w:jc w:val="center"/>
            </w:pPr>
            <w:r>
              <w:rPr>
                <w:rFonts w:ascii="Arial" w:hAnsi="Arial"/>
                <w:b/>
                <w:color w:val="FFFFFF"/>
                <w:sz w:val="20"/>
              </w:rPr>
              <w:t>Thành phần Kiểm thử</w:t>
            </w:r>
          </w:p>
        </w:tc>
        <w:tc>
          <w:tcPr>
            <w:tcW w:type="dxa" w:w="2592"/>
            <w:shd w:fill="1B365D" w:val="clear"/>
            <w:tcMar>
              <w:top w:w="120" w:type="dxa"/>
              <w:bottom w:w="120" w:type="dxa"/>
              <w:left w:w="120" w:type="dxa"/>
              <w:right w:w="120" w:type="dxa"/>
            </w:tcMar>
          </w:tcPr>
          <w:p>
            <w:pPr>
              <w:spacing w:before="40" w:after="40"/>
              <w:jc w:val="center"/>
            </w:pPr>
            <w:r>
              <w:rPr>
                <w:rFonts w:ascii="Arial" w:hAnsi="Arial"/>
                <w:b/>
                <w:color w:val="FFFFFF"/>
                <w:sz w:val="20"/>
              </w:rPr>
              <w:t>Chỉ số Đo lường (Metrics)</w:t>
            </w:r>
          </w:p>
        </w:tc>
        <w:tc>
          <w:tcPr>
            <w:tcW w:type="dxa" w:w="2304"/>
            <w:shd w:fill="1B365D" w:val="clear"/>
            <w:tcMar>
              <w:top w:w="120" w:type="dxa"/>
              <w:bottom w:w="120" w:type="dxa"/>
              <w:left w:w="120" w:type="dxa"/>
              <w:right w:w="120" w:type="dxa"/>
            </w:tcMar>
          </w:tcPr>
          <w:p>
            <w:pPr>
              <w:spacing w:before="40" w:after="40"/>
              <w:jc w:val="center"/>
            </w:pPr>
            <w:r>
              <w:rPr>
                <w:rFonts w:ascii="Arial" w:hAnsi="Arial"/>
                <w:b/>
                <w:color w:val="FFFFFF"/>
                <w:sz w:val="20"/>
              </w:rPr>
              <w:t>Mục tiêu Chuẩn Scopus Q2</w:t>
            </w:r>
          </w:p>
        </w:tc>
      </w:tr>
      <w:tr>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Pipeline Telemetry</w:t>
            </w:r>
          </w:p>
        </w:tc>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GitHub Actions CI/CD</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Workflow Success Rate (%), Mean Duration (s), Cancellation Ratio (%)</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Báo cáo chi tiết nguyên nhân thất bại theo từng bước (Job-level triage).</w:t>
            </w:r>
          </w:p>
        </w:tc>
      </w:tr>
      <w:tr>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Unit &amp; Security Context</w:t>
            </w:r>
          </w:p>
        </w:tc>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Maven &amp; Spring Test</w:t>
            </w:r>
          </w:p>
        </w:tc>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Test Executions (719), Passing (709), Execution Errors (10 -&gt; 0)</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Sửa lỗi 10 execution errors trong DocumentServiceCoverageTest &amp; RefreshTokenServiceTest.</w:t>
            </w:r>
          </w:p>
        </w:tc>
      </w:tr>
      <w:tr>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DAST Vulnerability Matrix</w:t>
            </w:r>
          </w:p>
        </w:tc>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OWASP ZAP Dynamic Scan</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Alert Counts by Severity (High, Medium, Low, Info), False Positive Rate (%)</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0 Lỗi High/Critical; Tỷ lệ False Positive &lt; 5% sau Triage.</w:t>
            </w:r>
          </w:p>
        </w:tc>
      </w:tr>
      <w:tr>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Supply Chain &amp; SBOM</w:t>
            </w:r>
          </w:p>
        </w:tc>
        <w:tc>
          <w:tcPr>
            <w:tcW w:type="dxa" w:w="2160"/>
            <w:shd w:fill="F7FAFC" w:val="clear"/>
            <w:tcMar>
              <w:top w:w="100" w:type="dxa"/>
              <w:bottom w:w="100" w:type="dxa"/>
              <w:left w:w="100" w:type="dxa"/>
              <w:right w:w="100" w:type="dxa"/>
            </w:tcMar>
          </w:tcPr>
          <w:p>
            <w:pPr>
              <w:spacing w:before="40" w:after="40" w:line="276" w:lineRule="auto"/>
            </w:pPr>
            <w:r>
              <w:rPr>
                <w:rFonts w:ascii="Calibri" w:hAnsi="Calibri"/>
                <w:color w:val="222222"/>
                <w:sz w:val="19"/>
              </w:rPr>
              <w:t>Dependency-Check &amp; Trivy</w:t>
            </w:r>
          </w:p>
        </w:tc>
        <w:tc>
          <w:tcPr>
            <w:tcW w:type="dxa" w:w="2592"/>
            <w:shd w:fill="F7FAFC" w:val="clear"/>
            <w:tcMar>
              <w:top w:w="100" w:type="dxa"/>
              <w:bottom w:w="100" w:type="dxa"/>
              <w:left w:w="100" w:type="dxa"/>
              <w:right w:w="100" w:type="dxa"/>
            </w:tcMar>
          </w:tcPr>
          <w:p>
            <w:pPr>
              <w:spacing w:before="40" w:after="40" w:line="276" w:lineRule="auto"/>
            </w:pPr>
            <w:r>
              <w:rPr>
                <w:rFonts w:ascii="Calibri" w:hAnsi="Calibri"/>
                <w:color w:val="222222"/>
                <w:sz w:val="19"/>
              </w:rPr>
              <w:t>CVE Triage Status, Vulnerable Dependency Reachability Analysis</w:t>
            </w:r>
          </w:p>
        </w:tc>
        <w:tc>
          <w:tcPr>
            <w:tcW w:type="dxa" w:w="2304"/>
            <w:shd w:fill="F7FAFC" w:val="clear"/>
            <w:tcMar>
              <w:top w:w="100" w:type="dxa"/>
              <w:bottom w:w="100" w:type="dxa"/>
              <w:left w:w="100" w:type="dxa"/>
              <w:right w:w="100" w:type="dxa"/>
            </w:tcMar>
          </w:tcPr>
          <w:p>
            <w:pPr>
              <w:spacing w:before="40" w:after="40" w:line="276" w:lineRule="auto"/>
            </w:pPr>
            <w:r>
              <w:rPr>
                <w:rFonts w:ascii="Calibri" w:hAnsi="Calibri"/>
                <w:color w:val="222222"/>
                <w:sz w:val="19"/>
              </w:rPr>
              <w:t>Phân tích cụ thể reachability của CVE-2026-47890 (Spring WebMVC).</w:t>
            </w:r>
          </w:p>
        </w:tc>
      </w:tr>
      <w:tr>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Delivery Performance</w:t>
            </w:r>
          </w:p>
        </w:tc>
        <w:tc>
          <w:tcPr>
            <w:tcW w:type="dxa" w:w="2160"/>
            <w:shd w:fill="FFFFFF" w:val="clear"/>
            <w:tcMar>
              <w:top w:w="100" w:type="dxa"/>
              <w:bottom w:w="100" w:type="dxa"/>
              <w:left w:w="100" w:type="dxa"/>
              <w:right w:w="100" w:type="dxa"/>
            </w:tcMar>
          </w:tcPr>
          <w:p>
            <w:pPr>
              <w:spacing w:before="40" w:after="40" w:line="276" w:lineRule="auto"/>
            </w:pPr>
            <w:r>
              <w:rPr>
                <w:rFonts w:ascii="Calibri" w:hAnsi="Calibri"/>
                <w:color w:val="222222"/>
                <w:sz w:val="19"/>
              </w:rPr>
              <w:t>DORA Metrics</w:t>
            </w:r>
          </w:p>
        </w:tc>
        <w:tc>
          <w:tcPr>
            <w:tcW w:type="dxa" w:w="2592"/>
            <w:shd w:fill="FFFFFF" w:val="clear"/>
            <w:tcMar>
              <w:top w:w="100" w:type="dxa"/>
              <w:bottom w:w="100" w:type="dxa"/>
              <w:left w:w="100" w:type="dxa"/>
              <w:right w:w="100" w:type="dxa"/>
            </w:tcMar>
          </w:tcPr>
          <w:p>
            <w:pPr>
              <w:spacing w:before="40" w:after="40" w:line="276" w:lineRule="auto"/>
            </w:pPr>
            <w:r>
              <w:rPr>
                <w:rFonts w:ascii="Calibri" w:hAnsi="Calibri"/>
                <w:color w:val="222222"/>
                <w:sz w:val="19"/>
              </w:rPr>
              <w:t>Deployment Frequency, Lead Time for Changes, MTTR, Change Failure Rate</w:t>
            </w:r>
          </w:p>
        </w:tc>
        <w:tc>
          <w:tcPr>
            <w:tcW w:type="dxa" w:w="2304"/>
            <w:shd w:fill="FFFFFF" w:val="clear"/>
            <w:tcMar>
              <w:top w:w="100" w:type="dxa"/>
              <w:bottom w:w="100" w:type="dxa"/>
              <w:left w:w="100" w:type="dxa"/>
              <w:right w:w="100" w:type="dxa"/>
            </w:tcMar>
          </w:tcPr>
          <w:p>
            <w:pPr>
              <w:spacing w:before="40" w:after="40" w:line="276" w:lineRule="auto"/>
            </w:pPr>
            <w:r>
              <w:rPr>
                <w:rFonts w:ascii="Calibri" w:hAnsi="Calibri"/>
                <w:color w:val="222222"/>
                <w:sz w:val="19"/>
              </w:rPr>
              <w:t>Định nghĩa rõ mốc thời gian và đơn vị đo lường theo chuẩn Accelerate (Forsgren et al.).</w:t>
            </w:r>
          </w:p>
        </w:tc>
      </w:tr>
    </w:tbl>
    <w:p/>
    <w:p>
      <w:pPr>
        <w:pStyle w:val="Heading2"/>
      </w:pPr>
      <w:r>
        <w:t>4.2 Quy trình Xử lý Lỗi Giả (False Positive Reduction) và Triage Lỗ hổng</w:t>
      </w:r>
    </w:p>
    <w:p>
      <w:r>
        <w:t>Nhằm khắc phục tình trạng 0% thành công ở PR Gate do các cảnh báo thô từ máy quét, bài báo bổ sung ma trận Triage 4 bước tiêu chuẩn:</w:t>
      </w:r>
    </w:p>
    <w:p>
      <w:pPr>
        <w:spacing w:after="60"/>
        <w:ind w:left="360"/>
      </w:pPr>
      <w:r>
        <w:rPr>
          <w:b/>
          <w:color w:val="1B365D"/>
        </w:rPr>
        <w:t xml:space="preserve">• Bước 1: Xác minh sự tồn tại (Component Verification): </w:t>
      </w:r>
      <w:r>
        <w:t>Kiểm tra chính xác phiên bản thư viện trong cây phụ thuộc Maven/npm.</w:t>
      </w:r>
    </w:p>
    <w:p>
      <w:pPr>
        <w:spacing w:after="60"/>
        <w:ind w:left="360"/>
      </w:pPr>
      <w:r>
        <w:rPr>
          <w:b/>
          <w:color w:val="1B365D"/>
        </w:rPr>
        <w:t xml:space="preserve">• Bước 2: Phân tích khả năng chạm tới (Reachability Analysis): </w:t>
      </w:r>
      <w:r>
        <w:t>Xác định xem mã nguồn E-Office có thực sự gọi tới hàm chứa lỗ hổng hay không.</w:t>
      </w:r>
    </w:p>
    <w:p>
      <w:pPr>
        <w:spacing w:after="60"/>
        <w:ind w:left="360"/>
      </w:pPr>
      <w:r>
        <w:rPr>
          <w:b/>
          <w:color w:val="1B365D"/>
        </w:rPr>
        <w:t xml:space="preserve">• Bước 3: Đánh giá biện pháp bù đắp (Compensating Controls): </w:t>
      </w:r>
      <w:r>
        <w:t>Kiểm tra xem các bộ lọc ProfileCompletedFilter hay Spring Security có ngăn chặn được vector tấn công từ ngoài hay không.</w:t>
      </w:r>
    </w:p>
    <w:p>
      <w:pPr>
        <w:spacing w:after="60"/>
        <w:ind w:left="360"/>
      </w:pPr>
      <w:r>
        <w:rPr>
          <w:b/>
          <w:color w:val="1B365D"/>
        </w:rPr>
        <w:t xml:space="preserve">• Bước 4: Quyết định Triage (Action Decision): </w:t>
      </w:r>
      <w:r>
        <w:t>Nâng cấp thư viện, áp dụng Patch, hoặc ghi nhận ngoại lệ có thời hạn (time-bounded exception) kèm chữ ký phê duyệt.</w:t>
      </w:r>
    </w:p>
    <w:p>
      <w:pPr>
        <w:pStyle w:val="Heading1"/>
      </w:pPr>
      <w:r>
        <w:t>CHƯƠNG 5: CẤU HÌNH WORKFLOW GITHUB ACTIONS VÀ LỘ TRÌNH PHẢN HỒI PHẢN BIỆN</w:t>
      </w:r>
    </w:p>
    <w:p>
      <w:r>
        <w:t>Dưới đây là cấu hình hoàn chỉnh của Workflow DAST pipeline-4-dast-scan.yml được thiết kế để bổ sung vào dự án E-Office, tích hợp OWASP ZAP vào pipeline GitHub Actions:</w:t>
      </w:r>
    </w:p>
    <w:tbl>
      <w:tblPr>
        <w:tblW w:type="auto" w:w="0"/>
        <w:jc w:val="center"/>
        <w:tblLook w:firstColumn="1" w:firstRow="1" w:lastColumn="0" w:lastRow="0" w:noHBand="0" w:noVBand="1" w:val="04A0"/>
      </w:tblPr>
      <w:tblGrid>
        <w:gridCol w:w="9360"/>
      </w:tblGrid>
      <w:tr>
        <w:tc>
          <w:tcPr>
            <w:tcW w:type="dxa" w:w="9360"/>
            <w:shd w:fill="1E1E1E" w:val="clear"/>
            <w:tcMar>
              <w:top w:w="140" w:type="dxa"/>
              <w:bottom w:w="140" w:type="dxa"/>
              <w:left w:w="180" w:type="dxa"/>
              <w:right w:w="180" w:type="dxa"/>
            </w:tcMar>
          </w:tcPr>
          <w:p>
            <w:pPr>
              <w:spacing w:line="240" w:lineRule="auto" w:before="0" w:after="0"/>
            </w:pPr>
            <w:r>
              <w:rPr>
                <w:rFonts w:ascii="Consolas" w:hAnsi="Consolas"/>
                <w:color w:val="D4D4D4"/>
                <w:sz w:val="17"/>
              </w:rPr>
              <w:t>name: "Pipeline 4: Dynamic Application Security Testing (DAST)"</w:t>
              <w:br/>
            </w:r>
            <w:r>
              <w:rPr>
                <w:rFonts w:ascii="Consolas" w:hAnsi="Consolas"/>
                <w:color w:val="D4D4D4"/>
                <w:sz w:val="17"/>
              </w:rPr>
              <w:br/>
            </w:r>
            <w:r>
              <w:rPr>
                <w:rFonts w:ascii="Consolas" w:hAnsi="Consolas"/>
                <w:color w:val="D4D4D4"/>
                <w:sz w:val="17"/>
              </w:rPr>
              <w:t>on:</w:t>
              <w:br/>
            </w:r>
            <w:r>
              <w:rPr>
                <w:rFonts w:ascii="Consolas" w:hAnsi="Consolas"/>
                <w:color w:val="D4D4D4"/>
                <w:sz w:val="17"/>
              </w:rPr>
              <w:t xml:space="preserve">  workflow_run:</w:t>
              <w:br/>
            </w:r>
            <w:r>
              <w:rPr>
                <w:rFonts w:ascii="Consolas" w:hAnsi="Consolas"/>
                <w:color w:val="D4D4D4"/>
                <w:sz w:val="17"/>
              </w:rPr>
              <w:t xml:space="preserve">    workflows: ["Backend Development Deployment"]</w:t>
              <w:br/>
            </w:r>
            <w:r>
              <w:rPr>
                <w:rFonts w:ascii="Consolas" w:hAnsi="Consolas"/>
                <w:color w:val="D4D4D4"/>
                <w:sz w:val="17"/>
              </w:rPr>
              <w:t xml:space="preserve">    types: [completed]</w:t>
              <w:br/>
            </w:r>
            <w:r>
              <w:rPr>
                <w:rFonts w:ascii="Consolas" w:hAnsi="Consolas"/>
                <w:color w:val="D4D4D4"/>
                <w:sz w:val="17"/>
              </w:rPr>
              <w:t xml:space="preserve">  schedule:</w:t>
              <w:br/>
            </w:r>
            <w:r>
              <w:rPr>
                <w:rFonts w:ascii="Consolas" w:hAnsi="Consolas"/>
                <w:color w:val="D4D4D4"/>
                <w:sz w:val="17"/>
              </w:rPr>
              <w:t xml:space="preserve">    - cron: "0 3 * * *"</w:t>
              <w:br/>
            </w:r>
            <w:r>
              <w:rPr>
                <w:rFonts w:ascii="Consolas" w:hAnsi="Consolas"/>
                <w:color w:val="D4D4D4"/>
                <w:sz w:val="17"/>
              </w:rPr>
              <w:t xml:space="preserve">  workflow_dispatch:</w:t>
              <w:br/>
            </w:r>
            <w:r>
              <w:rPr>
                <w:rFonts w:ascii="Consolas" w:hAnsi="Consolas"/>
                <w:color w:val="D4D4D4"/>
                <w:sz w:val="17"/>
              </w:rPr>
              <w:br/>
            </w:r>
            <w:r>
              <w:rPr>
                <w:rFonts w:ascii="Consolas" w:hAnsi="Consolas"/>
                <w:color w:val="D4D4D4"/>
                <w:sz w:val="17"/>
              </w:rPr>
              <w:t>jobs:</w:t>
              <w:br/>
            </w:r>
            <w:r>
              <w:rPr>
                <w:rFonts w:ascii="Consolas" w:hAnsi="Consolas"/>
                <w:color w:val="D4D4D4"/>
                <w:sz w:val="17"/>
              </w:rPr>
              <w:t xml:space="preserve">  zap_dast_scan:</w:t>
              <w:br/>
            </w:r>
            <w:r>
              <w:rPr>
                <w:rFonts w:ascii="Consolas" w:hAnsi="Consolas"/>
                <w:color w:val="D4D4D4"/>
                <w:sz w:val="17"/>
              </w:rPr>
              <w:t xml:space="preserve">    name: "OWASP ZAP Dynamic Security Scan"</w:t>
              <w:br/>
            </w:r>
            <w:r>
              <w:rPr>
                <w:rFonts w:ascii="Consolas" w:hAnsi="Consolas"/>
                <w:color w:val="D4D4D4"/>
                <w:sz w:val="17"/>
              </w:rPr>
              <w:t xml:space="preserve">    runs-on: ubuntu-latest</w:t>
              <w:br/>
            </w:r>
            <w:r>
              <w:rPr>
                <w:rFonts w:ascii="Consolas" w:hAnsi="Consolas"/>
                <w:color w:val="D4D4D4"/>
                <w:sz w:val="17"/>
              </w:rPr>
              <w:t xml:space="preserve">    if: ${{ github.event.workflow_run.conclusion == 'success' || github.event_name == 'workflow_dispatch' }}</w:t>
              <w:br/>
            </w:r>
            <w:r>
              <w:rPr>
                <w:rFonts w:ascii="Consolas" w:hAnsi="Consolas"/>
                <w:color w:val="D4D4D4"/>
                <w:sz w:val="17"/>
              </w:rPr>
              <w:br/>
            </w:r>
            <w:r>
              <w:rPr>
                <w:rFonts w:ascii="Consolas" w:hAnsi="Consolas"/>
                <w:color w:val="D4D4D4"/>
                <w:sz w:val="17"/>
              </w:rPr>
              <w:t xml:space="preserve">    steps:</w:t>
              <w:br/>
            </w:r>
            <w:r>
              <w:rPr>
                <w:rFonts w:ascii="Consolas" w:hAnsi="Consolas"/>
                <w:color w:val="D4D4D4"/>
                <w:sz w:val="17"/>
              </w:rPr>
              <w:t xml:space="preserve">      - name: Checkout Repository Code</w:t>
              <w:br/>
            </w:r>
            <w:r>
              <w:rPr>
                <w:rFonts w:ascii="Consolas" w:hAnsi="Consolas"/>
                <w:color w:val="D4D4D4"/>
                <w:sz w:val="17"/>
              </w:rPr>
              <w:t xml:space="preserve">        uses: actions/checkout@v4</w:t>
              <w:br/>
            </w:r>
            <w:r>
              <w:rPr>
                <w:rFonts w:ascii="Consolas" w:hAnsi="Consolas"/>
                <w:color w:val="D4D4D4"/>
                <w:sz w:val="17"/>
              </w:rPr>
              <w:br/>
            </w:r>
            <w:r>
              <w:rPr>
                <w:rFonts w:ascii="Consolas" w:hAnsi="Consolas"/>
                <w:color w:val="D4D4D4"/>
                <w:sz w:val="17"/>
              </w:rPr>
              <w:t xml:space="preserve">      - name: Verify Staging Environment Health</w:t>
              <w:br/>
            </w:r>
            <w:r>
              <w:rPr>
                <w:rFonts w:ascii="Consolas" w:hAnsi="Consolas"/>
                <w:color w:val="D4D4D4"/>
                <w:sz w:val="17"/>
              </w:rPr>
              <w:t xml:space="preserve">        run: |</w:t>
              <w:br/>
            </w:r>
            <w:r>
              <w:rPr>
                <w:rFonts w:ascii="Consolas" w:hAnsi="Consolas"/>
                <w:color w:val="D4D4D4"/>
                <w:sz w:val="17"/>
              </w:rPr>
              <w:t xml:space="preserve">          echo "Checking Staging backend deployment health..."</w:t>
              <w:br/>
            </w:r>
            <w:r>
              <w:rPr>
                <w:rFonts w:ascii="Consolas" w:hAnsi="Consolas"/>
                <w:color w:val="D4D4D4"/>
                <w:sz w:val="17"/>
              </w:rPr>
              <w:t xml:space="preserve">          curl --fail --silent --show-error http://localhost:8080/actuator/health || exit 1</w:t>
              <w:br/>
            </w:r>
            <w:r>
              <w:rPr>
                <w:rFonts w:ascii="Consolas" w:hAnsi="Consolas"/>
                <w:color w:val="D4D4D4"/>
                <w:sz w:val="17"/>
              </w:rPr>
              <w:br/>
            </w:r>
            <w:r>
              <w:rPr>
                <w:rFonts w:ascii="Consolas" w:hAnsi="Consolas"/>
                <w:color w:val="D4D4D4"/>
                <w:sz w:val="17"/>
              </w:rPr>
              <w:t xml:space="preserve">      - name: Run OWASP ZAP Baseline Scan (DAST)</w:t>
              <w:br/>
            </w:r>
            <w:r>
              <w:rPr>
                <w:rFonts w:ascii="Consolas" w:hAnsi="Consolas"/>
                <w:color w:val="D4D4D4"/>
                <w:sz w:val="17"/>
              </w:rPr>
              <w:t xml:space="preserve">        uses: zaproxy/action-baseline@v0.12.0</w:t>
              <w:br/>
            </w:r>
            <w:r>
              <w:rPr>
                <w:rFonts w:ascii="Consolas" w:hAnsi="Consolas"/>
                <w:color w:val="D4D4D4"/>
                <w:sz w:val="17"/>
              </w:rPr>
              <w:t xml:space="preserve">        with:</w:t>
              <w:br/>
            </w:r>
            <w:r>
              <w:rPr>
                <w:rFonts w:ascii="Consolas" w:hAnsi="Consolas"/>
                <w:color w:val="D4D4D4"/>
                <w:sz w:val="17"/>
              </w:rPr>
              <w:t xml:space="preserve">          token: ${{ secrets.GITHUB_TOKEN }}</w:t>
              <w:br/>
            </w:r>
            <w:r>
              <w:rPr>
                <w:rFonts w:ascii="Consolas" w:hAnsi="Consolas"/>
                <w:color w:val="D4D4D4"/>
                <w:sz w:val="17"/>
              </w:rPr>
              <w:t xml:space="preserve">          docker_name: 'ghcr.io/zaproxy/zaproxy:stable'</w:t>
              <w:br/>
            </w:r>
            <w:r>
              <w:rPr>
                <w:rFonts w:ascii="Consolas" w:hAnsi="Consolas"/>
                <w:color w:val="D4D4D4"/>
                <w:sz w:val="17"/>
              </w:rPr>
              <w:t xml:space="preserve">          target: 'http://localhost:8080/'</w:t>
              <w:br/>
            </w:r>
            <w:r>
              <w:rPr>
                <w:rFonts w:ascii="Consolas" w:hAnsi="Consolas"/>
                <w:color w:val="D4D4D4"/>
                <w:sz w:val="17"/>
              </w:rPr>
              <w:t xml:space="preserve">          rules_file_name: '.zap/rules.tsv'</w:t>
              <w:br/>
            </w:r>
            <w:r>
              <w:rPr>
                <w:rFonts w:ascii="Consolas" w:hAnsi="Consolas"/>
                <w:color w:val="D4D4D4"/>
                <w:sz w:val="17"/>
              </w:rPr>
              <w:t xml:space="preserve">          cmd_options: '-a -j -g gen.conf -r zap_report.html -x zap_report.xml -z "-config api.disablekey=true"'</w:t>
              <w:br/>
            </w:r>
          </w:p>
        </w:tc>
      </w:tr>
    </w:tbl>
    <w:p/>
    <w:p>
      <w:pPr>
        <w:pStyle w:val="Heading2"/>
      </w:pPr>
      <w:r>
        <w:t>5.1 Lộ trình Phản hồi Phản biện (Rebuttal Strategy) khi Nộp Tạp chí Scopus Q2</w:t>
      </w:r>
    </w:p>
    <w:p>
      <w:r>
        <w:t>Khi gửi bản thảo đã chỉnh sửa tới Ban biên tập Tạp chí Scopus Q2 (như Journal of Systems and Software, Software Quality Journal, hoặc IEEE Transactions on Software Engineering), nhóm tác giả nên áp dụng chiến lược phản hồi 3 điểm:</w:t>
      </w:r>
    </w:p>
    <w:p>
      <w:pPr>
        <w:spacing w:after="80"/>
        <w:ind w:left="360"/>
      </w:pPr>
      <w:r>
        <w:rPr>
          <w:b/>
          <w:color w:val="1B365D"/>
        </w:rPr>
        <w:t xml:space="preserve">📌 Nhấn mạnh tính Đóng góp Mới (Novelty &amp; Scope Expansion): </w:t>
      </w:r>
      <w:r>
        <w:t>Chỉ rõ rằng bản thảo đã bổ sung phương pháp DAST (OWASP ZAP) giải quyết triệt để hạn chế được nêu ở phiên bản trước, tạo thành chuỗi kiểm thử khép kín SAST - SCA - Container Scan - DAST.</w:t>
      </w:r>
    </w:p>
    <w:p>
      <w:pPr>
        <w:spacing w:after="80"/>
        <w:ind w:left="360"/>
      </w:pPr>
      <w:r>
        <w:rPr>
          <w:b/>
          <w:color w:val="1B365D"/>
        </w:rPr>
        <w:t xml:space="preserve">📌 Minh bạch hóa Dữ liệu và Sai lệch (Transparent Telemetry): </w:t>
      </w:r>
      <w:r>
        <w:t>Trình bày rõ ràng lý do tỷ lệ thành công của PR Gate là 0.0% do lỗi Spring Security test context (đã được khắc phục) chứ không phải do hệ thống kém an toàn.</w:t>
      </w:r>
    </w:p>
    <w:p>
      <w:pPr>
        <w:spacing w:after="80"/>
        <w:ind w:left="360"/>
      </w:pPr>
      <w:r>
        <w:rPr>
          <w:b/>
          <w:color w:val="1B365D"/>
        </w:rPr>
        <w:t xml:space="preserve">📌 Cam kết Tiêu chuẩn Xuất bản (Data &amp; Code Availability): </w:t>
      </w:r>
      <w:r>
        <w:t>Cung cấp kho lưu trữ GitHub công khai đã được làm sạch (sanitized workflow files, OpenAPI spec, ZAP context) phục vụ khả năng tái lặp nghiên cứu (reproducibility).</w:t>
      </w:r>
    </w:p>
    <w:tbl>
      <w:tblPr>
        <w:tblW w:type="auto" w:w="0"/>
        <w:jc w:val="center"/>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24" w:space="0" w:color="1B365D"/>
              <w:top w:val="none"/>
              <w:bottom w:val="none"/>
              <w:right w:val="none"/>
            </w:tcBorders>
          </w:tcPr>
          <w:p>
            <w:pPr>
              <w:spacing w:before="40" w:after="80"/>
            </w:pPr>
            <w:r>
              <w:rPr>
                <w:rFonts w:ascii="Arial" w:hAnsi="Arial"/>
                <w:b/>
                <w:color w:val="1B365D"/>
                <w:sz w:val="22"/>
              </w:rPr>
              <w:t>💡 KẾT LUẬN VÀ KHUYẾN NGHỊ BỔ SUNG</w:t>
              <w:br/>
            </w:r>
          </w:p>
          <w:p>
            <w:pPr>
              <w:spacing w:before="40" w:after="40" w:line="276" w:lineRule="auto"/>
            </w:pPr>
            <w:r>
              <w:rPr>
                <w:rFonts w:ascii="Calibri" w:hAnsi="Calibri"/>
                <w:color w:val="222222"/>
                <w:sz w:val="20"/>
              </w:rPr>
              <w:t>Tài liệu Word này đã được tổng hợp hoàn chỉnh với đầy đủ các nội dung tư vấn, phân tích đối chiếu paraphrase, khung kiểm thử DAST OWASP ZAP, kịch bản tấn công E-Office, và file YAML pipeline GitHub Actions.</w:t>
            </w:r>
          </w:p>
          <w:p>
            <w:pPr>
              <w:spacing w:before="40" w:after="40" w:line="276" w:lineRule="auto"/>
            </w:pPr>
            <w:r>
              <w:rPr>
                <w:rFonts w:ascii="Calibri" w:hAnsi="Calibri"/>
                <w:color w:val="222222"/>
                <w:sz w:val="20"/>
              </w:rPr>
              <w:t>Nhóm tác giả có thể áp dụng trực tiếp các nội dung này để nâng cấp bài báo 'springer_report_NguyenHoaiNam.pdf' lên chuẩn mực công bố Scopus Q2.</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18096"/>
        <w:sz w:val="18"/>
      </w:rPr>
      <w:t xml:space="preserve">Trường Đại học Điện lực (EPU) - Đề tài ĐTNH.1/2026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7"/>
      </w:rPr>
      <w:t>Tư vấn Nâng cấp Bài báo Scopus Q2 | E-Office DevSecOps (EPU)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