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school-of-public-administration"/>
    <w:p>
      <w:pPr>
        <w:pStyle w:val="Heading1"/>
      </w:pPr>
      <w:r>
        <w:t xml:space="preserve">School of Public Administration</w:t>
      </w:r>
    </w:p>
    <w:bookmarkStart w:id="9" w:name="X912791b1bb8c6a6834859a2d7189f2035f9e6c2"/>
    <w:p>
      <w:pPr>
        <w:pStyle w:val="Heading2"/>
      </w:pPr>
      <w:r>
        <w:t xml:space="preserve">PAD 6958 – Governance Field Study: Metropolitan Governance in Seoul</w:t>
      </w:r>
    </w:p>
    <w:tbl>
      <w:tblPr>
        <w:tblStyle w:val="Table"/>
        <w:tblW w:type="pct" w:w="5000"/>
        <w:tblLayout w:type="fixed"/>
        <w:tblLook w:firstRow="0" w:lastRow="0" w:firstColumn="0" w:lastColumn="0" w:noHBand="0" w:noVBand="0" w:val="0000"/>
      </w:tblPr>
      <w:tblGrid>
        <w:gridCol w:w="3727"/>
        <w:gridCol w:w="4192"/>
      </w:tblGrid>
      <w:tr>
        <w:tc>
          <w:tcPr/>
          <w:p>
            <w:pPr>
              <w:pStyle w:val="Compact"/>
            </w:pPr>
            <w:r>
              <w:rPr>
                <w:b/>
                <w:bCs/>
              </w:rPr>
              <w:t xml:space="preserve">Professor:</w:t>
            </w:r>
            <w:r>
              <w:t xml:space="preserve"> </w:t>
            </w:r>
            <w:r>
              <w:t xml:space="preserve">Seongho An, Ph.D.</w:t>
            </w:r>
          </w:p>
        </w:tc>
        <w:tc>
          <w:tcPr/>
          <w:p>
            <w:pPr>
              <w:pStyle w:val="Compact"/>
            </w:pPr>
            <w:r>
              <w:rPr>
                <w:b/>
                <w:bCs/>
              </w:rPr>
              <w:t xml:space="preserve">Semester (mode):</w:t>
            </w:r>
            <w:r>
              <w:t xml:space="preserve"> </w:t>
            </w:r>
            <w:r>
              <w:t xml:space="preserve">Summer 2026 (P)</w:t>
            </w:r>
          </w:p>
        </w:tc>
      </w:tr>
      <w:tr>
        <w:tc>
          <w:tcPr/>
          <w:p>
            <w:pPr>
              <w:pStyle w:val="Compact"/>
            </w:pPr>
            <w:r>
              <w:rPr>
                <w:b/>
                <w:bCs/>
              </w:rPr>
              <w:t xml:space="preserve">Office:</w:t>
            </w:r>
            <w:r>
              <w:t xml:space="preserve"> </w:t>
            </w:r>
            <w:r>
              <w:t xml:space="preserve">DPAC Suite 448D</w:t>
            </w:r>
          </w:p>
        </w:tc>
        <w:tc>
          <w:tcPr/>
          <w:p>
            <w:pPr>
              <w:pStyle w:val="Compact"/>
            </w:pPr>
            <w:r>
              <w:rPr>
                <w:b/>
                <w:bCs/>
              </w:rPr>
              <w:t xml:space="preserve">Phone:</w:t>
            </w:r>
            <w:r>
              <w:t xml:space="preserve"> </w:t>
            </w:r>
            <w:r>
              <w:t xml:space="preserve">(407) 823-5832</w:t>
            </w:r>
          </w:p>
        </w:tc>
      </w:tr>
      <w:tr>
        <w:tc>
          <w:tcPr/>
          <w:p>
            <w:pPr>
              <w:pStyle w:val="Compact"/>
            </w:pPr>
            <w:r>
              <w:rPr>
                <w:b/>
                <w:bCs/>
              </w:rPr>
              <w:t xml:space="preserve">Hours:</w:t>
            </w:r>
            <w:r>
              <w:t xml:space="preserve"> </w:t>
            </w:r>
            <w:r>
              <w:t xml:space="preserve">By appointment only</w:t>
            </w:r>
          </w:p>
        </w:tc>
        <w:tc>
          <w:tcPr/>
          <w:p>
            <w:pPr>
              <w:pStyle w:val="Compact"/>
            </w:pPr>
            <w:r>
              <w:rPr>
                <w:b/>
                <w:bCs/>
              </w:rPr>
              <w:t xml:space="preserve">Credit Hours:</w:t>
            </w:r>
            <w:r>
              <w:t xml:space="preserve"> </w:t>
            </w:r>
            <w:r>
              <w:t xml:space="preserve">3</w:t>
            </w:r>
          </w:p>
        </w:tc>
      </w:tr>
      <w:tr>
        <w:tc>
          <w:tcPr/>
          <w:p>
            <w:pPr>
              <w:pStyle w:val="Compact"/>
            </w:pPr>
            <w:r>
              <w:rPr>
                <w:b/>
                <w:bCs/>
              </w:rPr>
              <w:t xml:space="preserve">E-mail:</w:t>
            </w:r>
            <w:r>
              <w:t xml:space="preserve"> </w:t>
            </w:r>
            <w:r>
              <w:t xml:space="preserve">Seongho.An@ucf.edu</w:t>
            </w:r>
          </w:p>
        </w:tc>
        <w:tc>
          <w:tcPr/>
          <w:p>
            <w:pPr>
              <w:pStyle w:val="Compact"/>
            </w:pPr>
            <w:r>
              <w:rPr>
                <w:b/>
                <w:bCs/>
              </w:rPr>
              <w:t xml:space="preserve">Course Website:</w:t>
            </w:r>
            <w:r>
              <w:t xml:space="preserve"> </w:t>
            </w:r>
            <w:r>
              <w:t xml:space="preserve">https://luanpao82.github.io/seoul-case-study/</w:t>
            </w:r>
          </w:p>
        </w:tc>
      </w:tr>
    </w:tbl>
    <w:p>
      <w:pPr>
        <w:pStyle w:val="BodyText"/>
      </w:pPr>
      <w:r>
        <w:rPr>
          <w:b/>
          <w:bCs/>
        </w:rPr>
        <w:t xml:space="preserve">Course Text(s):</w:t>
      </w:r>
      <w:r>
        <w:t xml:space="preserve"> </w:t>
      </w:r>
      <w:r>
        <w:t xml:space="preserve">- Please see the list of required and recommended readings in the syllabus</w:t>
      </w:r>
    </w:p>
    <w:p>
      <w:r>
        <w:pict>
          <v:rect style="width:0;height:1.5pt" o:hralign="center" o:hrstd="t" o:hr="t"/>
        </w:pict>
      </w:r>
    </w:p>
    <w:bookmarkEnd w:id="9"/>
    <w:bookmarkStart w:id="10" w:name="course-description"/>
    <w:p>
      <w:pPr>
        <w:pStyle w:val="Heading2"/>
      </w:pPr>
      <w:r>
        <w:t xml:space="preserve">Course Description</w:t>
      </w:r>
    </w:p>
    <w:p>
      <w:pPr>
        <w:pStyle w:val="FirstParagraph"/>
      </w:pPr>
      <w:r>
        <w:t xml:space="preserve">This course is designed to cover topics in public policy and administration, with the primary focus on governance and administration in Seoul, South Korea. The primary goal of the class is to further our understanding of city management, specifically the policies and programs that cities can adopt to meet the challenges facing any large metropolitan area. We will focus on the Seoul Metropolitan Government (SMG) and use their administrative and policy efforts as a case study. An additional goal is to give students the opportunity to travel abroad and gain knowledge of a different culture. The readings and discussions are designed to cover several key areas of governance and administration including the built environment, economic development, human rights, and human services. This course involves several in person or virtual meetings prior to going abroad and 40 hours of classroom work while in South Korea.</w:t>
      </w:r>
    </w:p>
    <w:p>
      <w:pPr>
        <w:pStyle w:val="BodyText"/>
      </w:pPr>
      <w:r>
        <w:t xml:space="preserve">As a major part of the course, students will spend seven days in Seoul, South Korea (May 16–22, 2026), and participate in the Seoul Case Study Program (SCSP) hosted and organized by the Seoul Metropolitan Government (SMG) in partnership with the International School of Urban Sciences (ISUS) at the University of Seoul. The program involves numerous presentations and field visits for graduate students in public administration and related fields to experience and understand Korea’s politics, economy, and culture during their stay in one of Asia’s largest, most modern, and progressive cities. The program will not only enhance students’ understanding of Seoul’s public administration but also provides a window of opportunity for academic cooperation and exchange of ideas for the management of modern megacities.</w:t>
      </w:r>
    </w:p>
    <w:p>
      <w:r>
        <w:pict>
          <v:rect style="width:0;height:1.5pt" o:hralign="center" o:hrstd="t" o:hr="t"/>
        </w:pict>
      </w:r>
    </w:p>
    <w:bookmarkEnd w:id="10"/>
    <w:bookmarkStart w:id="11" w:name="core-competencies"/>
    <w:p>
      <w:pPr>
        <w:pStyle w:val="Heading2"/>
      </w:pPr>
      <w:r>
        <w:t xml:space="preserve">Core Competencies</w:t>
      </w:r>
    </w:p>
    <w:p>
      <w:pPr>
        <w:pStyle w:val="FirstParagraph"/>
      </w:pPr>
      <w:r>
        <w:t xml:space="preserve">This course is designed to respond in part to the National Association of Schools of Public Affairs and Administration (NASPAA) common curriculum components:</w:t>
      </w:r>
    </w:p>
    <w:p>
      <w:pPr>
        <w:pStyle w:val="Compact"/>
        <w:numPr>
          <w:ilvl w:val="0"/>
          <w:numId w:val="1001"/>
        </w:numPr>
      </w:pPr>
      <w:r>
        <w:rPr>
          <w:i/>
          <w:iCs/>
        </w:rPr>
        <w:t xml:space="preserve">Ability to lead and manage in public governance</w:t>
      </w:r>
    </w:p>
    <w:p>
      <w:pPr>
        <w:pStyle w:val="Compact"/>
        <w:numPr>
          <w:ilvl w:val="0"/>
          <w:numId w:val="1001"/>
        </w:numPr>
      </w:pPr>
      <w:r>
        <w:rPr>
          <w:i/>
          <w:iCs/>
        </w:rPr>
        <w:t xml:space="preserve">Ability to participate and contribute to the policy process</w:t>
      </w:r>
    </w:p>
    <w:p>
      <w:pPr>
        <w:pStyle w:val="Compact"/>
        <w:numPr>
          <w:ilvl w:val="0"/>
          <w:numId w:val="1001"/>
        </w:numPr>
      </w:pPr>
      <w:r>
        <w:rPr>
          <w:i/>
          <w:iCs/>
        </w:rPr>
        <w:t xml:space="preserve">Ability to analyze, synthesize, think critically, solve problems, and make decisions</w:t>
      </w:r>
    </w:p>
    <w:p>
      <w:pPr>
        <w:pStyle w:val="Compact"/>
        <w:numPr>
          <w:ilvl w:val="0"/>
          <w:numId w:val="1001"/>
        </w:numPr>
      </w:pPr>
      <w:r>
        <w:rPr>
          <w:i/>
          <w:iCs/>
        </w:rPr>
        <w:t xml:space="preserve">Ability to articulate and apply a public service perspective</w:t>
      </w:r>
    </w:p>
    <w:p>
      <w:pPr>
        <w:pStyle w:val="Compact"/>
        <w:numPr>
          <w:ilvl w:val="0"/>
          <w:numId w:val="1001"/>
        </w:numPr>
      </w:pPr>
      <w:r>
        <w:rPr>
          <w:i/>
          <w:iCs/>
        </w:rPr>
        <w:t xml:space="preserve">Ability to communicate and interact productively with a diverse and changing workforce and citizenry</w:t>
      </w:r>
    </w:p>
    <w:p>
      <w:r>
        <w:pict>
          <v:rect style="width:0;height:1.5pt" o:hralign="center" o:hrstd="t" o:hr="t"/>
        </w:pict>
      </w:r>
    </w:p>
    <w:bookmarkEnd w:id="11"/>
    <w:bookmarkStart w:id="12" w:name="course-objectives"/>
    <w:p>
      <w:pPr>
        <w:pStyle w:val="Heading2"/>
      </w:pPr>
      <w:r>
        <w:t xml:space="preserve">Course Objectives</w:t>
      </w:r>
    </w:p>
    <w:p>
      <w:pPr>
        <w:pStyle w:val="FirstParagraph"/>
      </w:pPr>
      <w:r>
        <w:t xml:space="preserve">After the successful completion of this course, students should be able to:</w:t>
      </w:r>
    </w:p>
    <w:p>
      <w:pPr>
        <w:pStyle w:val="Compact"/>
        <w:numPr>
          <w:ilvl w:val="0"/>
          <w:numId w:val="1002"/>
        </w:numPr>
      </w:pPr>
      <w:r>
        <w:t xml:space="preserve">Analyze how SMG has responded to global, national, and local discourses in the design and implementation of its self-reinvention and governance reforms.</w:t>
      </w:r>
    </w:p>
    <w:p>
      <w:pPr>
        <w:pStyle w:val="Compact"/>
        <w:numPr>
          <w:ilvl w:val="0"/>
          <w:numId w:val="1002"/>
        </w:numPr>
      </w:pPr>
      <w:r>
        <w:t xml:space="preserve">Explore how indigenous and globalized cultural, political, and economic ideas interact in Seoul’s governance and reforms.</w:t>
      </w:r>
    </w:p>
    <w:p>
      <w:pPr>
        <w:pStyle w:val="Compact"/>
        <w:numPr>
          <w:ilvl w:val="0"/>
          <w:numId w:val="1002"/>
        </w:numPr>
      </w:pPr>
      <w:r>
        <w:t xml:space="preserve">Assess the use and significance of primary and secondary data sources.</w:t>
      </w:r>
    </w:p>
    <w:p>
      <w:pPr>
        <w:pStyle w:val="Compact"/>
        <w:numPr>
          <w:ilvl w:val="0"/>
          <w:numId w:val="1002"/>
        </w:numPr>
      </w:pPr>
      <w:r>
        <w:t xml:space="preserve">Identify the opportunities and challenges of field research and the case study approach, especially in a foreign country.</w:t>
      </w:r>
    </w:p>
    <w:p>
      <w:pPr>
        <w:pStyle w:val="Compact"/>
        <w:numPr>
          <w:ilvl w:val="0"/>
          <w:numId w:val="1002"/>
        </w:numPr>
      </w:pPr>
      <w:r>
        <w:t xml:space="preserve">Analyze and synthesize lessons learned about your specific policy areas of interest.</w:t>
      </w:r>
    </w:p>
    <w:p>
      <w:pPr>
        <w:pStyle w:val="Compact"/>
        <w:numPr>
          <w:ilvl w:val="0"/>
          <w:numId w:val="1002"/>
        </w:numPr>
      </w:pPr>
      <w:r>
        <w:t xml:space="preserve">Explore and discuss the lessons learned for SMG and for policymakers and managers in other cities.</w:t>
      </w:r>
    </w:p>
    <w:p>
      <w:r>
        <w:pict>
          <v:rect style="width:0;height:1.5pt" o:hralign="center" o:hrstd="t" o:hr="t"/>
        </w:pict>
      </w:r>
    </w:p>
    <w:bookmarkEnd w:id="12"/>
    <w:bookmarkStart w:id="20" w:name="course-requirements"/>
    <w:p>
      <w:pPr>
        <w:pStyle w:val="Heading2"/>
      </w:pPr>
      <w:r>
        <w:t xml:space="preserve">Course Requirements</w:t>
      </w:r>
    </w:p>
    <w:bookmarkStart w:id="13" w:name="financial-aid-attendance-requirement"/>
    <w:p>
      <w:pPr>
        <w:pStyle w:val="Heading3"/>
      </w:pPr>
      <w:r>
        <w:t xml:space="preserve">Financial Aid Attendance Requirement</w:t>
      </w:r>
    </w:p>
    <w:p>
      <w:pPr>
        <w:pStyle w:val="FirstParagraph"/>
      </w:pPr>
      <w:r>
        <w:t xml:space="preserve">All faculty members are required to document students’ academic activity at the beginning of each course. Completing your Welcome Assignment will meet this requirement and document that you began this course. This activity is mandatory to comply with UCF’s Financial Aid policy and must be completed by the end of the first week of classes or as soon as possible after adding the course. Failure to do so will cause a delay in the disbursement of your financial aid.</w:t>
      </w:r>
    </w:p>
    <w:bookmarkEnd w:id="13"/>
    <w:bookmarkStart w:id="14" w:name="attendance-and-participation-35"/>
    <w:p>
      <w:pPr>
        <w:pStyle w:val="Heading3"/>
      </w:pPr>
      <w:r>
        <w:t xml:space="preserve">Attendance and Participation [35%]</w:t>
      </w:r>
    </w:p>
    <w:p>
      <w:pPr>
        <w:pStyle w:val="FirstParagraph"/>
      </w:pPr>
      <w:r>
        <w:t xml:space="preserve">Attendance at all sessions in Orlando, as well as all field trip, and special event sessions in Seoul is required and expected. This class will be in a seminar format with a heavy emphasis on participation. Students will be expected to share their knowledge and opinions of required readings and related materials during every session. All required readings should be completed and prepared for discussion in advance of each class session. Students will be evaluated based on the following criteria: promptness, courtesy, and quality of intellectual engagement with our hosts, participants from other universities, and each other.</w:t>
      </w:r>
    </w:p>
    <w:bookmarkEnd w:id="14"/>
    <w:bookmarkStart w:id="15" w:name="research-proposal-20"/>
    <w:p>
      <w:pPr>
        <w:pStyle w:val="Heading3"/>
      </w:pPr>
      <w:r>
        <w:t xml:space="preserve">Research Proposal [20%]</w:t>
      </w:r>
    </w:p>
    <w:p>
      <w:pPr>
        <w:pStyle w:val="FirstParagraph"/>
      </w:pPr>
      <w:r>
        <w:t xml:space="preserve">Based on the course readings assigned for classroom discussion in Orlando, students will develop a 2-page project proposal (double spaced) outlining the final research project. The proposal should cover the topic of study selected by the student, the data or information needed from the Seoul Municipal Government, and a plan of action for completing the project. All research proposals should be submitted via Webcourses no later than</w:t>
      </w:r>
      <w:r>
        <w:t xml:space="preserve"> </w:t>
      </w:r>
      <w:r>
        <w:rPr>
          <w:b/>
          <w:bCs/>
        </w:rPr>
        <w:t xml:space="preserve">11:59 PM on Friday, May 15, 2026</w:t>
      </w:r>
      <w:r>
        <w:t xml:space="preserve">. Late proposals will not be accepted.</w:t>
      </w:r>
    </w:p>
    <w:p>
      <w:pPr>
        <w:pStyle w:val="BodyText"/>
      </w:pPr>
      <w:r>
        <w:rPr>
          <w:i/>
          <w:iCs/>
        </w:rPr>
        <w:t xml:space="preserve">Potential Topic Areas:</w:t>
      </w:r>
      <w:r>
        <w:t xml:space="preserve"> </w:t>
      </w:r>
      <w:r>
        <w:t xml:space="preserve">- Aging</w:t>
      </w:r>
      <w:r>
        <w:t xml:space="preserve"> </w:t>
      </w:r>
      <w:r>
        <w:t xml:space="preserve">- Infrastructure and development</w:t>
      </w:r>
      <w:r>
        <w:t xml:space="preserve"> </w:t>
      </w:r>
      <w:r>
        <w:t xml:space="preserve">- Education</w:t>
      </w:r>
      <w:r>
        <w:t xml:space="preserve"> </w:t>
      </w:r>
      <w:r>
        <w:t xml:space="preserve">- Quality of life and public health</w:t>
      </w:r>
      <w:r>
        <w:t xml:space="preserve"> </w:t>
      </w:r>
      <w:r>
        <w:t xml:space="preserve">- Health services</w:t>
      </w:r>
      <w:r>
        <w:t xml:space="preserve"> </w:t>
      </w:r>
      <w:r>
        <w:t xml:space="preserve">- Social welfare</w:t>
      </w:r>
      <w:r>
        <w:t xml:space="preserve"> </w:t>
      </w:r>
      <w:r>
        <w:t xml:space="preserve">- Smart city</w:t>
      </w:r>
      <w:r>
        <w:t xml:space="preserve"> </w:t>
      </w:r>
      <w:r>
        <w:t xml:space="preserve">- International development</w:t>
      </w:r>
      <w:r>
        <w:t xml:space="preserve"> </w:t>
      </w:r>
      <w:r>
        <w:t xml:space="preserve">- Social innovation networks (collaboration with NGOs)</w:t>
      </w:r>
      <w:r>
        <w:t xml:space="preserve"> </w:t>
      </w:r>
      <w:r>
        <w:t xml:space="preserve">- Women-friendly programs</w:t>
      </w:r>
      <w:r>
        <w:t xml:space="preserve"> </w:t>
      </w:r>
      <w:r>
        <w:t xml:space="preserve">- Public housing</w:t>
      </w:r>
      <w:r>
        <w:t xml:space="preserve"> </w:t>
      </w:r>
      <w:r>
        <w:t xml:space="preserve">- IT and E-government</w:t>
      </w:r>
      <w:r>
        <w:t xml:space="preserve"> </w:t>
      </w:r>
      <w:r>
        <w:t xml:space="preserve">- Green policies</w:t>
      </w:r>
      <w:r>
        <w:t xml:space="preserve"> </w:t>
      </w:r>
      <w:r>
        <w:t xml:space="preserve">- Emergency management</w:t>
      </w:r>
      <w:r>
        <w:t xml:space="preserve"> </w:t>
      </w:r>
      <w:r>
        <w:t xml:space="preserve">- Immigrant integration</w:t>
      </w:r>
    </w:p>
    <w:bookmarkEnd w:id="15"/>
    <w:bookmarkStart w:id="18" w:name="final-research-project-40"/>
    <w:p>
      <w:pPr>
        <w:pStyle w:val="Heading3"/>
      </w:pPr>
      <w:r>
        <w:t xml:space="preserve">Final Research Project [40%]</w:t>
      </w:r>
    </w:p>
    <w:p>
      <w:pPr>
        <w:pStyle w:val="FirstParagraph"/>
      </w:pPr>
      <w:r>
        <w:t xml:space="preserve">After our return from Seoul, students will complete a final research project. Students may choose</w:t>
      </w:r>
      <w:r>
        <w:t xml:space="preserve"> </w:t>
      </w:r>
      <w:r>
        <w:rPr>
          <w:b/>
          <w:bCs/>
        </w:rPr>
        <w:t xml:space="preserve">one</w:t>
      </w:r>
      <w:r>
        <w:t xml:space="preserve"> </w:t>
      </w:r>
      <w:r>
        <w:t xml:space="preserve">of the following two formats: a</w:t>
      </w:r>
      <w:r>
        <w:t xml:space="preserve"> </w:t>
      </w:r>
      <w:r>
        <w:rPr>
          <w:b/>
          <w:bCs/>
        </w:rPr>
        <w:t xml:space="preserve">Written Report</w:t>
      </w:r>
      <w:r>
        <w:t xml:space="preserve"> </w:t>
      </w:r>
      <w:r>
        <w:t xml:space="preserve">or a</w:t>
      </w:r>
      <w:r>
        <w:t xml:space="preserve"> </w:t>
      </w:r>
      <w:r>
        <w:rPr>
          <w:b/>
          <w:bCs/>
        </w:rPr>
        <w:t xml:space="preserve">Video Report</w:t>
      </w:r>
      <w:r>
        <w:t xml:space="preserve">. Regardless of format, the project should focus on a management issue or policy reform adopted by SMG, include a thorough review of relevant literature, and provide a comparative discussion between SMG and the U.S. All final projects should be submitted via Webcourses no later than</w:t>
      </w:r>
      <w:r>
        <w:t xml:space="preserve"> </w:t>
      </w:r>
      <w:r>
        <w:rPr>
          <w:b/>
          <w:bCs/>
        </w:rPr>
        <w:t xml:space="preserve">11:59 PM on Friday, June 20, 2026</w:t>
      </w:r>
      <w:r>
        <w:t xml:space="preserve">. Late projects will not be accepted.</w:t>
      </w:r>
    </w:p>
    <w:p>
      <w:r>
        <w:pict>
          <v:rect style="width:0;height:1.5pt" o:hralign="center" o:hrstd="t" o:hr="t"/>
        </w:pict>
      </w:r>
    </w:p>
    <w:bookmarkStart w:id="16" w:name="option-a-written-report"/>
    <w:p>
      <w:pPr>
        <w:pStyle w:val="Heading4"/>
      </w:pPr>
      <w:r>
        <w:t xml:space="preserve">Option A: Written Report</w:t>
      </w:r>
    </w:p>
    <w:p>
      <w:pPr>
        <w:pStyle w:val="FirstParagraph"/>
      </w:pPr>
      <w:r>
        <w:t xml:space="preserve">The written report should be 15 to 20 pages in length (double spaced). Papers will be evaluated based on (1) the thoroughness and accuracy of the information reviewed, comparison to the U.S., and evaluative arguments presented, (2) the adequacy of references to the appropriate literature, and (3) the absence of grammatical and spelling errors.</w:t>
      </w:r>
    </w:p>
    <w:p>
      <w:pPr>
        <w:pStyle w:val="BodyText"/>
      </w:pPr>
      <w:r>
        <w:rPr>
          <w:b/>
          <w:bCs/>
        </w:rPr>
        <w:t xml:space="preserve">Suggested Outline for Written Report</w:t>
      </w:r>
    </w:p>
    <w:tbl>
      <w:tblPr>
        <w:tblStyle w:val="Table"/>
        <w:tblW w:type="pct" w:w="5000"/>
        <w:tblLayout w:type="fixed"/>
        <w:tblLook w:firstRow="1" w:lastRow="0" w:firstColumn="0" w:lastColumn="0" w:noHBand="0" w:noVBand="0" w:val="0020"/>
      </w:tblPr>
      <w:tblGrid>
        <w:gridCol w:w="220"/>
        <w:gridCol w:w="2090"/>
        <w:gridCol w:w="5610"/>
      </w:tblGrid>
      <w:tr>
        <w:trPr>
          <w:tblHeader w:val="on"/>
        </w:trPr>
        <w:tc>
          <w:tcPr/>
          <w:p>
            <w:pPr>
              <w:pStyle w:val="Compact"/>
            </w:pPr>
            <w:r>
              <w:t xml:space="preserve">Part</w:t>
            </w:r>
          </w:p>
        </w:tc>
        <w:tc>
          <w:tcPr/>
          <w:p>
            <w:pPr>
              <w:pStyle w:val="Compact"/>
            </w:pPr>
            <w:r>
              <w:t xml:space="preserve">Section</w:t>
            </w:r>
          </w:p>
        </w:tc>
        <w:tc>
          <w:tcPr/>
          <w:p>
            <w:pPr>
              <w:pStyle w:val="Compact"/>
            </w:pPr>
            <w:r>
              <w:t xml:space="preserve">Description</w:t>
            </w:r>
          </w:p>
        </w:tc>
      </w:tr>
      <w:tr>
        <w:tc>
          <w:tcPr/>
          <w:p>
            <w:pPr>
              <w:pStyle w:val="Compact"/>
            </w:pPr>
            <w:r>
              <w:t xml:space="preserve">Part 1</w:t>
            </w:r>
          </w:p>
        </w:tc>
        <w:tc>
          <w:tcPr/>
          <w:p>
            <w:pPr>
              <w:pStyle w:val="Compact"/>
            </w:pPr>
            <w:r>
              <w:t xml:space="preserve">Title page, Executive Summary, Table of Contents (10%)</w:t>
            </w:r>
          </w:p>
        </w:tc>
        <w:tc>
          <w:tcPr/>
          <w:p>
            <w:pPr>
              <w:pStyle w:val="Compact"/>
            </w:pPr>
            <w:r>
              <w:t xml:space="preserve">Title page should contain the title and date. Executive Summary should contain brief information on the major arguments and findings of the memo.</w:t>
            </w:r>
          </w:p>
        </w:tc>
      </w:tr>
      <w:tr>
        <w:tc>
          <w:tcPr/>
          <w:p>
            <w:pPr>
              <w:pStyle w:val="Compact"/>
            </w:pPr>
            <w:r>
              <w:t xml:space="preserve">Part 2</w:t>
            </w:r>
          </w:p>
        </w:tc>
        <w:tc>
          <w:tcPr/>
          <w:p>
            <w:pPr>
              <w:pStyle w:val="Compact"/>
            </w:pPr>
            <w:r>
              <w:t xml:space="preserve">Introduction (10%)</w:t>
            </w:r>
          </w:p>
        </w:tc>
        <w:tc>
          <w:tcPr/>
          <w:p>
            <w:pPr>
              <w:pStyle w:val="Compact"/>
            </w:pPr>
            <w:r>
              <w:t xml:space="preserve">Should include the aim of the paper, statement of the problem, research questions, relevance, and importance/significance.</w:t>
            </w:r>
          </w:p>
        </w:tc>
      </w:tr>
      <w:tr>
        <w:tc>
          <w:tcPr/>
          <w:p>
            <w:pPr>
              <w:pStyle w:val="Compact"/>
            </w:pPr>
            <w:r>
              <w:t xml:space="preserve">Part 3</w:t>
            </w:r>
          </w:p>
        </w:tc>
        <w:tc>
          <w:tcPr/>
          <w:p>
            <w:pPr>
              <w:pStyle w:val="Compact"/>
            </w:pPr>
            <w:r>
              <w:t xml:space="preserve">Literature Review (focus on governance/governance reforms)</w:t>
            </w:r>
          </w:p>
        </w:tc>
        <w:tc>
          <w:tcPr/>
          <w:p>
            <w:pPr>
              <w:pStyle w:val="Compact"/>
            </w:pPr>
            <w:r>
              <w:t xml:space="preserve">Should include the conceptual/theoretical framework with 15–20 scholarly sources and a brief description of the country/case relevance.</w:t>
            </w:r>
          </w:p>
        </w:tc>
      </w:tr>
      <w:tr>
        <w:tc>
          <w:tcPr/>
          <w:p>
            <w:pPr>
              <w:pStyle w:val="Compact"/>
            </w:pPr>
            <w:r>
              <w:t xml:space="preserve">Part 4</w:t>
            </w:r>
          </w:p>
        </w:tc>
        <w:tc>
          <w:tcPr/>
          <w:p>
            <w:pPr>
              <w:pStyle w:val="Compact"/>
            </w:pPr>
            <w:r>
              <w:t xml:space="preserve">Methodology</w:t>
            </w:r>
          </w:p>
        </w:tc>
        <w:tc>
          <w:tcPr/>
          <w:p>
            <w:pPr>
              <w:pStyle w:val="Compact"/>
            </w:pPr>
            <w:r>
              <w:t xml:space="preserve">Should include the research design, strategy, hypotheses, and data collection methods.</w:t>
            </w:r>
          </w:p>
        </w:tc>
      </w:tr>
      <w:tr>
        <w:tc>
          <w:tcPr/>
          <w:p>
            <w:pPr>
              <w:pStyle w:val="Compact"/>
            </w:pPr>
            <w:r>
              <w:t xml:space="preserve">Part 5</w:t>
            </w:r>
          </w:p>
        </w:tc>
        <w:tc>
          <w:tcPr/>
          <w:p>
            <w:pPr>
              <w:pStyle w:val="Compact"/>
            </w:pPr>
            <w:r>
              <w:t xml:space="preserve">Findings, Discussions, and Conclusion</w:t>
            </w:r>
          </w:p>
        </w:tc>
        <w:tc>
          <w:tcPr/>
          <w:p>
            <w:pPr>
              <w:pStyle w:val="Compact"/>
            </w:pPr>
            <w:r>
              <w:t xml:space="preserve">Should include the research findings (3–4 tables), conclusions, suggestions, policy and/or management implications, recommendations, and lessons learned.</w:t>
            </w:r>
          </w:p>
        </w:tc>
      </w:tr>
      <w:tr>
        <w:tc>
          <w:tcPr/>
          <w:p>
            <w:pPr>
              <w:pStyle w:val="Compact"/>
            </w:pPr>
            <w:r>
              <w:t xml:space="preserve">Part 6</w:t>
            </w:r>
          </w:p>
        </w:tc>
        <w:tc>
          <w:tcPr/>
          <w:p>
            <w:pPr>
              <w:pStyle w:val="Compact"/>
            </w:pPr>
            <w:r>
              <w:t xml:space="preserve">References, Appendices</w:t>
            </w:r>
          </w:p>
        </w:tc>
        <w:tc>
          <w:tcPr/>
          <w:p>
            <w:pPr>
              <w:pStyle w:val="Compact"/>
            </w:pPr>
            <w:r>
              <w:t xml:space="preserve">Should use APA style citation in the text and references, references in alphabetical order, and appendices (if any).</w:t>
            </w:r>
          </w:p>
        </w:tc>
      </w:tr>
    </w:tbl>
    <w:p>
      <w:pPr>
        <w:pStyle w:val="BodyText"/>
      </w:pPr>
      <w:r>
        <w:rPr>
          <w:i/>
          <w:iCs/>
        </w:rPr>
        <w:t xml:space="preserve">Writing Ability:</w:t>
      </w:r>
      <w:r>
        <w:t xml:space="preserve"> </w:t>
      </w:r>
      <w:r>
        <w:t xml:space="preserve">Successful graduate-level work requires reasonable proficiency in writing skills (grammar, spelling, syntax, use of paragraphs, and punctuation), as well as proper documentation of sources and citation of references. Be sure to check all your written assignments before submitting them, as points will be taken off for improper spelling and poorly worded sentences.</w:t>
      </w:r>
    </w:p>
    <w:p>
      <w:r>
        <w:pict>
          <v:rect style="width:0;height:1.5pt" o:hralign="center" o:hrstd="t" o:hr="t"/>
        </w:pict>
      </w:r>
    </w:p>
    <w:bookmarkEnd w:id="16"/>
    <w:bookmarkStart w:id="17" w:name="option-b-video-report-youtube"/>
    <w:p>
      <w:pPr>
        <w:pStyle w:val="Heading4"/>
      </w:pPr>
      <w:r>
        <w:t xml:space="preserve">Option B: Video Report (YouTube)</w:t>
      </w:r>
    </w:p>
    <w:p>
      <w:pPr>
        <w:pStyle w:val="FirstParagraph"/>
      </w:pPr>
      <w:r>
        <w:t xml:space="preserve">Students may produce a video report uploaded to YouTube as an alternative to the written report. The video should demonstrate the same level of scholarly rigor and analytical depth as the written option.</w:t>
      </w:r>
    </w:p>
    <w:p>
      <w:pPr>
        <w:pStyle w:val="BodyText"/>
      </w:pPr>
      <w:r>
        <w:rPr>
          <w:b/>
          <w:bCs/>
        </w:rPr>
        <w:t xml:space="preserve">Video Specifications:</w:t>
      </w:r>
      <w:r>
        <w:t xml:space="preserve"> </w:t>
      </w:r>
      <w:r>
        <w:t xml:space="preserve">-</w:t>
      </w:r>
      <w:r>
        <w:t xml:space="preserve"> </w:t>
      </w:r>
      <w:r>
        <w:rPr>
          <w:b/>
          <w:bCs/>
        </w:rPr>
        <w:t xml:space="preserve">Length:</w:t>
      </w:r>
      <w:r>
        <w:t xml:space="preserve"> </w:t>
      </w:r>
      <w:r>
        <w:t xml:space="preserve">15–20 minutes</w:t>
      </w:r>
      <w:r>
        <w:t xml:space="preserve"> </w:t>
      </w:r>
      <w:r>
        <w:t xml:space="preserve">-</w:t>
      </w:r>
      <w:r>
        <w:t xml:space="preserve"> </w:t>
      </w:r>
      <w:r>
        <w:rPr>
          <w:b/>
          <w:bCs/>
        </w:rPr>
        <w:t xml:space="preserve">Platform:</w:t>
      </w:r>
      <w:r>
        <w:t xml:space="preserve"> </w:t>
      </w:r>
      <w:r>
        <w:t xml:space="preserve">Upload to YouTube as an</w:t>
      </w:r>
      <w:r>
        <w:t xml:space="preserve"> </w:t>
      </w:r>
      <w:r>
        <w:rPr>
          <w:b/>
          <w:bCs/>
        </w:rPr>
        <w:t xml:space="preserve">unlisted</w:t>
      </w:r>
      <w:r>
        <w:t xml:space="preserve"> </w:t>
      </w:r>
      <w:r>
        <w:t xml:space="preserve">video (accessible only via link)</w:t>
      </w:r>
      <w:r>
        <w:t xml:space="preserve"> </w:t>
      </w:r>
      <w:r>
        <w:t xml:space="preserve">-</w:t>
      </w:r>
      <w:r>
        <w:t xml:space="preserve"> </w:t>
      </w:r>
      <w:r>
        <w:rPr>
          <w:b/>
          <w:bCs/>
        </w:rPr>
        <w:t xml:space="preserve">Submission:</w:t>
      </w:r>
      <w:r>
        <w:t xml:space="preserve"> </w:t>
      </w:r>
      <w:r>
        <w:t xml:space="preserve">Submit the YouTube link and a supplementary document (see below) via Webcourses</w:t>
      </w:r>
    </w:p>
    <w:p>
      <w:pPr>
        <w:pStyle w:val="BodyText"/>
      </w:pPr>
      <w:r>
        <w:rPr>
          <w:b/>
          <w:bCs/>
        </w:rPr>
        <w:t xml:space="preserve">Required Video Content:</w:t>
      </w:r>
      <w:r>
        <w:t xml:space="preserve"> </w:t>
      </w:r>
      <w:r>
        <w:t xml:space="preserve">1.</w:t>
      </w:r>
      <w:r>
        <w:t xml:space="preserve"> </w:t>
      </w:r>
      <w:r>
        <w:rPr>
          <w:b/>
          <w:bCs/>
        </w:rPr>
        <w:t xml:space="preserve">Introduction</w:t>
      </w:r>
      <w:r>
        <w:t xml:space="preserve"> </w:t>
      </w:r>
      <w:r>
        <w:t xml:space="preserve">(2–3 min): State the research topic, research question(s), and significance of the issue</w:t>
      </w:r>
      <w:r>
        <w:t xml:space="preserve"> </w:t>
      </w:r>
      <w:r>
        <w:t xml:space="preserve">2.</w:t>
      </w:r>
      <w:r>
        <w:t xml:space="preserve"> </w:t>
      </w:r>
      <w:r>
        <w:rPr>
          <w:b/>
          <w:bCs/>
        </w:rPr>
        <w:t xml:space="preserve">Background and Literature Review</w:t>
      </w:r>
      <w:r>
        <w:t xml:space="preserve"> </w:t>
      </w:r>
      <w:r>
        <w:t xml:space="preserve">(3–5 min): Summarize key scholarly sources and the conceptual/theoretical framework (minimum 10 scholarly sources)</w:t>
      </w:r>
      <w:r>
        <w:t xml:space="preserve"> </w:t>
      </w:r>
      <w:r>
        <w:t xml:space="preserve">3.</w:t>
      </w:r>
      <w:r>
        <w:t xml:space="preserve"> </w:t>
      </w:r>
      <w:r>
        <w:rPr>
          <w:b/>
          <w:bCs/>
        </w:rPr>
        <w:t xml:space="preserve">Seoul Case Analysis</w:t>
      </w:r>
      <w:r>
        <w:t xml:space="preserve"> </w:t>
      </w:r>
      <w:r>
        <w:t xml:space="preserve">(5–7 min): Present findings from the Seoul field experience, including relevant data, field observations, photos, or video footage captured during the trip</w:t>
      </w:r>
      <w:r>
        <w:t xml:space="preserve"> </w:t>
      </w:r>
      <w:r>
        <w:t xml:space="preserve">4.</w:t>
      </w:r>
      <w:r>
        <w:t xml:space="preserve"> </w:t>
      </w:r>
      <w:r>
        <w:rPr>
          <w:b/>
          <w:bCs/>
        </w:rPr>
        <w:t xml:space="preserve">U.S. Comparison and Policy Implications</w:t>
      </w:r>
      <w:r>
        <w:t xml:space="preserve"> </w:t>
      </w:r>
      <w:r>
        <w:t xml:space="preserve">(3–4 min): Compare SMG’s approach with U.S. practices and discuss policy/management implications, recommendations, and lessons learned</w:t>
      </w:r>
      <w:r>
        <w:t xml:space="preserve"> </w:t>
      </w:r>
      <w:r>
        <w:t xml:space="preserve">5.</w:t>
      </w:r>
      <w:r>
        <w:t xml:space="preserve"> </w:t>
      </w:r>
      <w:r>
        <w:rPr>
          <w:b/>
          <w:bCs/>
        </w:rPr>
        <w:t xml:space="preserve">Conclusion</w:t>
      </w:r>
      <w:r>
        <w:t xml:space="preserve"> </w:t>
      </w:r>
      <w:r>
        <w:t xml:space="preserve">(1–2 min): Summarize key takeaways and recommendations</w:t>
      </w:r>
    </w:p>
    <w:p>
      <w:pPr>
        <w:pStyle w:val="BodyText"/>
      </w:pPr>
      <w:r>
        <w:rPr>
          <w:b/>
          <w:bCs/>
        </w:rPr>
        <w:t xml:space="preserve">Production Guidelines:</w:t>
      </w:r>
      <w:r>
        <w:t xml:space="preserve"> </w:t>
      </w:r>
      <w:r>
        <w:t xml:space="preserve">- The video must include a clear narration by the student throughout</w:t>
      </w:r>
      <w:r>
        <w:t xml:space="preserve"> </w:t>
      </w:r>
      <w:r>
        <w:t xml:space="preserve">- Use visuals to support your analysis: slides, on-screen text, charts/graphs, maps, photos, or field footage from Seoul</w:t>
      </w:r>
      <w:r>
        <w:t xml:space="preserve"> </w:t>
      </w:r>
      <w:r>
        <w:t xml:space="preserve">- Ensure good audio quality; use a microphone if possible and record in a quiet environment</w:t>
      </w:r>
      <w:r>
        <w:t xml:space="preserve"> </w:t>
      </w:r>
      <w:r>
        <w:t xml:space="preserve">- Title slides and section headers should be used to organize the video clearly</w:t>
      </w:r>
      <w:r>
        <w:t xml:space="preserve"> </w:t>
      </w:r>
      <w:r>
        <w:t xml:space="preserve">- All sources cited in the video must appear on screen when referenced</w:t>
      </w:r>
    </w:p>
    <w:p>
      <w:pPr>
        <w:pStyle w:val="BodyText"/>
      </w:pPr>
      <w:r>
        <w:rPr>
          <w:b/>
          <w:bCs/>
        </w:rPr>
        <w:t xml:space="preserve">Supplementary Document (required):</w:t>
      </w:r>
      <w:r>
        <w:t xml:space="preserve"> </w:t>
      </w:r>
      <w:r>
        <w:t xml:space="preserve">Along with the YouTube link, students must submit a</w:t>
      </w:r>
      <w:r>
        <w:t xml:space="preserve"> </w:t>
      </w:r>
      <w:r>
        <w:rPr>
          <w:b/>
          <w:bCs/>
        </w:rPr>
        <w:t xml:space="preserve">2–3 page supplementary document</w:t>
      </w:r>
      <w:r>
        <w:t xml:space="preserve"> </w:t>
      </w:r>
      <w:r>
        <w:t xml:space="preserve">(double spaced) that includes:</w:t>
      </w:r>
      <w:r>
        <w:t xml:space="preserve"> </w:t>
      </w:r>
      <w:r>
        <w:t xml:space="preserve">- Title page with video title, student name, date, and YouTube link</w:t>
      </w:r>
      <w:r>
        <w:t xml:space="preserve"> </w:t>
      </w:r>
      <w:r>
        <w:t xml:space="preserve">- Full reference list in APA 7th edition format (minimum 10 scholarly sources)</w:t>
      </w:r>
      <w:r>
        <w:t xml:space="preserve"> </w:t>
      </w:r>
      <w:r>
        <w:t xml:space="preserve">- A brief written summary/abstract of the video (250–300 words)</w:t>
      </w:r>
    </w:p>
    <w:p>
      <w:pPr>
        <w:pStyle w:val="BodyText"/>
      </w:pPr>
      <w:r>
        <w:rPr>
          <w:b/>
          <w:bCs/>
        </w:rPr>
        <w:t xml:space="preserve">Evaluation Criteria for Video Report: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Description</w:t>
            </w:r>
          </w:p>
        </w:tc>
        <w:tc>
          <w:tcPr/>
          <w:p>
            <w:pPr>
              <w:pStyle w:val="Compact"/>
            </w:pPr>
            <w:r>
              <w:t xml:space="preserve">Weight</w:t>
            </w:r>
          </w:p>
        </w:tc>
      </w:tr>
      <w:tr>
        <w:tc>
          <w:tcPr/>
          <w:p>
            <w:pPr>
              <w:pStyle w:val="Compact"/>
            </w:pPr>
            <w:r>
              <w:t xml:space="preserve">Content and Analysis</w:t>
            </w:r>
          </w:p>
        </w:tc>
        <w:tc>
          <w:tcPr/>
          <w:p>
            <w:pPr>
              <w:pStyle w:val="Compact"/>
            </w:pPr>
            <w:r>
              <w:t xml:space="preserve">Depth of research, quality of argument, use of evidence, and comparison to U.S.</w:t>
            </w:r>
          </w:p>
        </w:tc>
        <w:tc>
          <w:tcPr/>
          <w:p>
            <w:pPr>
              <w:pStyle w:val="Compact"/>
            </w:pPr>
            <w:r>
              <w:t xml:space="preserve">40%</w:t>
            </w:r>
          </w:p>
        </w:tc>
      </w:tr>
      <w:tr>
        <w:tc>
          <w:tcPr/>
          <w:p>
            <w:pPr>
              <w:pStyle w:val="Compact"/>
            </w:pPr>
            <w:r>
              <w:t xml:space="preserve">Use of Seoul Field Experience</w:t>
            </w:r>
          </w:p>
        </w:tc>
        <w:tc>
          <w:tcPr/>
          <w:p>
            <w:pPr>
              <w:pStyle w:val="Compact"/>
            </w:pPr>
            <w:r>
              <w:t xml:space="preserve">Integration of observations, data, and materials gathered during the Seoul trip</w:t>
            </w:r>
          </w:p>
        </w:tc>
        <w:tc>
          <w:tcPr/>
          <w:p>
            <w:pPr>
              <w:pStyle w:val="Compact"/>
            </w:pPr>
            <w:r>
              <w:t xml:space="preserve">20%</w:t>
            </w:r>
          </w:p>
        </w:tc>
      </w:tr>
      <w:tr>
        <w:tc>
          <w:tcPr/>
          <w:p>
            <w:pPr>
              <w:pStyle w:val="Compact"/>
            </w:pPr>
            <w:r>
              <w:t xml:space="preserve">Organization and Clarity</w:t>
            </w:r>
          </w:p>
        </w:tc>
        <w:tc>
          <w:tcPr/>
          <w:p>
            <w:pPr>
              <w:pStyle w:val="Compact"/>
            </w:pPr>
            <w:r>
              <w:t xml:space="preserve">Logical structure, clear narration, effective use of section headers and transitions</w:t>
            </w:r>
          </w:p>
        </w:tc>
        <w:tc>
          <w:tcPr/>
          <w:p>
            <w:pPr>
              <w:pStyle w:val="Compact"/>
            </w:pPr>
            <w:r>
              <w:t xml:space="preserve">15%</w:t>
            </w:r>
          </w:p>
        </w:tc>
      </w:tr>
      <w:tr>
        <w:tc>
          <w:tcPr/>
          <w:p>
            <w:pPr>
              <w:pStyle w:val="Compact"/>
            </w:pPr>
            <w:r>
              <w:t xml:space="preserve">Visual and Production Quality</w:t>
            </w:r>
          </w:p>
        </w:tc>
        <w:tc>
          <w:tcPr/>
          <w:p>
            <w:pPr>
              <w:pStyle w:val="Compact"/>
            </w:pPr>
            <w:r>
              <w:t xml:space="preserve">Appropriate use of visuals, audio clarity, professional presentation</w:t>
            </w:r>
          </w:p>
        </w:tc>
        <w:tc>
          <w:tcPr/>
          <w:p>
            <w:pPr>
              <w:pStyle w:val="Compact"/>
            </w:pPr>
            <w:r>
              <w:t xml:space="preserve">10%</w:t>
            </w:r>
          </w:p>
        </w:tc>
      </w:tr>
      <w:tr>
        <w:tc>
          <w:tcPr/>
          <w:p>
            <w:pPr>
              <w:pStyle w:val="Compact"/>
            </w:pPr>
            <w:r>
              <w:t xml:space="preserve">Scholarly Rigor</w:t>
            </w:r>
          </w:p>
        </w:tc>
        <w:tc>
          <w:tcPr/>
          <w:p>
            <w:pPr>
              <w:pStyle w:val="Compact"/>
            </w:pPr>
            <w:r>
              <w:t xml:space="preserve">Quality and quantity of sources, proper on-screen citation, APA reference list</w:t>
            </w:r>
          </w:p>
        </w:tc>
        <w:tc>
          <w:tcPr/>
          <w:p>
            <w:pPr>
              <w:pStyle w:val="Compact"/>
            </w:pPr>
            <w:r>
              <w:t xml:space="preserve">15%</w:t>
            </w:r>
          </w:p>
        </w:tc>
      </w:tr>
    </w:tbl>
    <w:bookmarkEnd w:id="17"/>
    <w:bookmarkEnd w:id="18"/>
    <w:bookmarkStart w:id="19" w:name="reflection-paper-5"/>
    <w:p>
      <w:pPr>
        <w:pStyle w:val="Heading3"/>
      </w:pPr>
      <w:r>
        <w:t xml:space="preserve">Reflection Paper [5%]</w:t>
      </w:r>
    </w:p>
    <w:p>
      <w:pPr>
        <w:pStyle w:val="FirstParagraph"/>
      </w:pPr>
      <w:r>
        <w:t xml:space="preserve">After the completion of the research project, students will submit personal and informal 2–3-page reflections on the course experience. The reflection papers will need to be submitted via Webcourses no later than</w:t>
      </w:r>
      <w:r>
        <w:t xml:space="preserve"> </w:t>
      </w:r>
      <w:r>
        <w:rPr>
          <w:b/>
          <w:bCs/>
        </w:rPr>
        <w:t xml:space="preserve">11:59 PM on Sunday, June 22, 2026</w:t>
      </w:r>
      <w:r>
        <w:t xml:space="preserve">.</w:t>
      </w:r>
    </w:p>
    <w:p>
      <w:r>
        <w:pict>
          <v:rect style="width:0;height:1.5pt" o:hralign="center" o:hrstd="t" o:hr="t"/>
        </w:pict>
      </w:r>
    </w:p>
    <w:bookmarkEnd w:id="19"/>
    <w:bookmarkEnd w:id="20"/>
    <w:bookmarkStart w:id="22" w:name="evaluation"/>
    <w:p>
      <w:pPr>
        <w:pStyle w:val="Heading2"/>
      </w:pPr>
      <w:r>
        <w:t xml:space="preserve">Evaluation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Assignment</w:t>
            </w:r>
          </w:p>
        </w:tc>
        <w:tc>
          <w:tcPr/>
          <w:p>
            <w:pPr>
              <w:pStyle w:val="Compact"/>
            </w:pPr>
            <w:r>
              <w:t xml:space="preserve">Percentage</w:t>
            </w:r>
          </w:p>
        </w:tc>
      </w:tr>
      <w:tr>
        <w:tc>
          <w:tcPr/>
          <w:p>
            <w:pPr>
              <w:pStyle w:val="Compact"/>
            </w:pPr>
            <w:r>
              <w:t xml:space="preserve">Research Proposal</w:t>
            </w:r>
          </w:p>
        </w:tc>
        <w:tc>
          <w:tcPr/>
          <w:p>
            <w:pPr>
              <w:pStyle w:val="Compact"/>
            </w:pPr>
            <w:r>
              <w:t xml:space="preserve">20%</w:t>
            </w:r>
          </w:p>
        </w:tc>
      </w:tr>
      <w:tr>
        <w:tc>
          <w:tcPr/>
          <w:p>
            <w:pPr>
              <w:pStyle w:val="Compact"/>
            </w:pPr>
            <w:r>
              <w:t xml:space="preserve">Attendance and Participation</w:t>
            </w:r>
          </w:p>
        </w:tc>
        <w:tc>
          <w:tcPr/>
          <w:p>
            <w:pPr>
              <w:pStyle w:val="Compact"/>
            </w:pPr>
            <w:r>
              <w:t xml:space="preserve">35%</w:t>
            </w:r>
          </w:p>
        </w:tc>
      </w:tr>
      <w:tr>
        <w:tc>
          <w:tcPr/>
          <w:p>
            <w:pPr>
              <w:pStyle w:val="Compact"/>
            </w:pPr>
            <w:r>
              <w:t xml:space="preserve">Final Research Project</w:t>
            </w:r>
          </w:p>
        </w:tc>
        <w:tc>
          <w:tcPr/>
          <w:p>
            <w:pPr>
              <w:pStyle w:val="Compact"/>
            </w:pPr>
            <w:r>
              <w:t xml:space="preserve">40%</w:t>
            </w:r>
          </w:p>
        </w:tc>
      </w:tr>
      <w:tr>
        <w:tc>
          <w:tcPr/>
          <w:p>
            <w:pPr>
              <w:pStyle w:val="Compact"/>
            </w:pPr>
            <w:r>
              <w:t xml:space="preserve">Reflection Paper</w:t>
            </w:r>
          </w:p>
        </w:tc>
        <w:tc>
          <w:tcPr/>
          <w:p>
            <w:pPr>
              <w:pStyle w:val="Compact"/>
            </w:pPr>
            <w:r>
              <w:t xml:space="preserve">5%</w:t>
            </w:r>
          </w:p>
        </w:tc>
      </w:tr>
      <w:tr>
        <w:tc>
          <w:tcPr/>
          <w:p>
            <w:pPr>
              <w:pStyle w:val="Compact"/>
            </w:pPr>
            <w:r>
              <w:rPr>
                <w:b/>
                <w:bCs/>
              </w:rPr>
              <w:t xml:space="preserve">Total</w:t>
            </w:r>
          </w:p>
        </w:tc>
        <w:tc>
          <w:tcPr/>
          <w:p>
            <w:pPr>
              <w:pStyle w:val="Compact"/>
            </w:pPr>
            <w:r>
              <w:rPr>
                <w:b/>
                <w:bCs/>
              </w:rPr>
              <w:t xml:space="preserve">100%</w:t>
            </w:r>
          </w:p>
        </w:tc>
      </w:tr>
    </w:tbl>
    <w:bookmarkStart w:id="21" w:name="grading-points-using--"/>
    <w:p>
      <w:pPr>
        <w:pStyle w:val="Heading3"/>
      </w:pPr>
      <w:r>
        <w:t xml:space="preserve">Grading Points (Using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Range</w:t>
            </w:r>
          </w:p>
        </w:tc>
        <w:tc>
          <w:tcPr/>
          <w:p>
            <w:pPr>
              <w:pStyle w:val="Compact"/>
            </w:pPr>
            <w:r>
              <w:t xml:space="preserve">Grade</w:t>
            </w:r>
          </w:p>
        </w:tc>
        <w:tc>
          <w:tcPr/>
          <w:p>
            <w:pPr>
              <w:pStyle w:val="Compact"/>
            </w:pPr>
            <w:r>
              <w:t xml:space="preserve">GPA</w:t>
            </w:r>
          </w:p>
        </w:tc>
      </w:tr>
      <w:tr>
        <w:tc>
          <w:tcPr/>
          <w:p>
            <w:pPr>
              <w:pStyle w:val="Compact"/>
            </w:pPr>
            <w:r>
              <w:t xml:space="preserve">100–93</w:t>
            </w:r>
          </w:p>
        </w:tc>
        <w:tc>
          <w:tcPr/>
          <w:p>
            <w:pPr>
              <w:pStyle w:val="Compact"/>
            </w:pPr>
            <w:r>
              <w:t xml:space="preserve">A</w:t>
            </w:r>
          </w:p>
        </w:tc>
        <w:tc>
          <w:tcPr/>
          <w:p>
            <w:pPr>
              <w:pStyle w:val="Compact"/>
            </w:pPr>
            <w:r>
              <w:t xml:space="preserve">4.0</w:t>
            </w:r>
          </w:p>
        </w:tc>
      </w:tr>
      <w:tr>
        <w:tc>
          <w:tcPr/>
          <w:p>
            <w:pPr>
              <w:pStyle w:val="Compact"/>
            </w:pPr>
            <w:r>
              <w:t xml:space="preserve">92–90</w:t>
            </w:r>
          </w:p>
        </w:tc>
        <w:tc>
          <w:tcPr/>
          <w:p>
            <w:pPr>
              <w:pStyle w:val="Compact"/>
            </w:pPr>
            <w:r>
              <w:t xml:space="preserve">A-</w:t>
            </w:r>
          </w:p>
        </w:tc>
        <w:tc>
          <w:tcPr/>
          <w:p>
            <w:pPr>
              <w:pStyle w:val="Compact"/>
            </w:pPr>
            <w:r>
              <w:t xml:space="preserve">3.75</w:t>
            </w:r>
          </w:p>
        </w:tc>
      </w:tr>
      <w:tr>
        <w:tc>
          <w:tcPr/>
          <w:p>
            <w:pPr>
              <w:pStyle w:val="Compact"/>
            </w:pPr>
            <w:r>
              <w:t xml:space="preserve">89–87</w:t>
            </w:r>
          </w:p>
        </w:tc>
        <w:tc>
          <w:tcPr/>
          <w:p>
            <w:pPr>
              <w:pStyle w:val="Compact"/>
            </w:pPr>
            <w:r>
              <w:t xml:space="preserve">B+</w:t>
            </w:r>
          </w:p>
        </w:tc>
        <w:tc>
          <w:tcPr/>
          <w:p>
            <w:pPr>
              <w:pStyle w:val="Compact"/>
            </w:pPr>
            <w:r>
              <w:t xml:space="preserve">3.25</w:t>
            </w:r>
          </w:p>
        </w:tc>
      </w:tr>
      <w:tr>
        <w:tc>
          <w:tcPr/>
          <w:p>
            <w:pPr>
              <w:pStyle w:val="Compact"/>
            </w:pPr>
            <w:r>
              <w:t xml:space="preserve">86–83</w:t>
            </w:r>
          </w:p>
        </w:tc>
        <w:tc>
          <w:tcPr/>
          <w:p>
            <w:pPr>
              <w:pStyle w:val="Compact"/>
            </w:pPr>
            <w:r>
              <w:t xml:space="preserve">B</w:t>
            </w:r>
          </w:p>
        </w:tc>
        <w:tc>
          <w:tcPr/>
          <w:p>
            <w:pPr>
              <w:pStyle w:val="Compact"/>
            </w:pPr>
            <w:r>
              <w:t xml:space="preserve">3.0</w:t>
            </w:r>
          </w:p>
        </w:tc>
      </w:tr>
      <w:tr>
        <w:tc>
          <w:tcPr/>
          <w:p>
            <w:pPr>
              <w:pStyle w:val="Compact"/>
            </w:pPr>
            <w:r>
              <w:t xml:space="preserve">82–80</w:t>
            </w:r>
          </w:p>
        </w:tc>
        <w:tc>
          <w:tcPr/>
          <w:p>
            <w:pPr>
              <w:pStyle w:val="Compact"/>
            </w:pPr>
            <w:r>
              <w:t xml:space="preserve">B-</w:t>
            </w:r>
          </w:p>
        </w:tc>
        <w:tc>
          <w:tcPr/>
          <w:p>
            <w:pPr>
              <w:pStyle w:val="Compact"/>
            </w:pPr>
            <w:r>
              <w:t xml:space="preserve">2.75</w:t>
            </w:r>
          </w:p>
        </w:tc>
      </w:tr>
      <w:tr>
        <w:tc>
          <w:tcPr/>
          <w:p>
            <w:pPr>
              <w:pStyle w:val="Compact"/>
            </w:pPr>
            <w:r>
              <w:t xml:space="preserve">79–77</w:t>
            </w:r>
          </w:p>
        </w:tc>
        <w:tc>
          <w:tcPr/>
          <w:p>
            <w:pPr>
              <w:pStyle w:val="Compact"/>
            </w:pPr>
            <w:r>
              <w:t xml:space="preserve">C+</w:t>
            </w:r>
          </w:p>
        </w:tc>
        <w:tc>
          <w:tcPr/>
          <w:p>
            <w:pPr>
              <w:pStyle w:val="Compact"/>
            </w:pPr>
            <w:r>
              <w:t xml:space="preserve">2.25</w:t>
            </w:r>
          </w:p>
        </w:tc>
      </w:tr>
      <w:tr>
        <w:tc>
          <w:tcPr/>
          <w:p>
            <w:pPr>
              <w:pStyle w:val="Compact"/>
            </w:pPr>
            <w:r>
              <w:t xml:space="preserve">76–73</w:t>
            </w:r>
          </w:p>
        </w:tc>
        <w:tc>
          <w:tcPr/>
          <w:p>
            <w:pPr>
              <w:pStyle w:val="Compact"/>
            </w:pPr>
            <w:r>
              <w:t xml:space="preserve">C</w:t>
            </w:r>
          </w:p>
        </w:tc>
        <w:tc>
          <w:tcPr/>
          <w:p>
            <w:pPr>
              <w:pStyle w:val="Compact"/>
            </w:pPr>
            <w:r>
              <w:t xml:space="preserve">2.0</w:t>
            </w:r>
          </w:p>
        </w:tc>
      </w:tr>
      <w:tr>
        <w:tc>
          <w:tcPr/>
          <w:p>
            <w:pPr>
              <w:pStyle w:val="Compact"/>
            </w:pPr>
            <w:r>
              <w:t xml:space="preserve">72–70</w:t>
            </w:r>
          </w:p>
        </w:tc>
        <w:tc>
          <w:tcPr/>
          <w:p>
            <w:pPr>
              <w:pStyle w:val="Compact"/>
            </w:pPr>
            <w:r>
              <w:t xml:space="preserve">C-</w:t>
            </w:r>
          </w:p>
        </w:tc>
        <w:tc>
          <w:tcPr/>
          <w:p>
            <w:pPr>
              <w:pStyle w:val="Compact"/>
            </w:pPr>
            <w:r>
              <w:t xml:space="preserve">1.75</w:t>
            </w:r>
          </w:p>
        </w:tc>
      </w:tr>
      <w:tr>
        <w:tc>
          <w:tcPr/>
          <w:p>
            <w:pPr>
              <w:pStyle w:val="Compact"/>
            </w:pPr>
            <w:r>
              <w:t xml:space="preserve">69–67</w:t>
            </w:r>
          </w:p>
        </w:tc>
        <w:tc>
          <w:tcPr/>
          <w:p>
            <w:pPr>
              <w:pStyle w:val="Compact"/>
            </w:pPr>
            <w:r>
              <w:t xml:space="preserve">D+</w:t>
            </w:r>
          </w:p>
        </w:tc>
        <w:tc>
          <w:tcPr/>
          <w:p>
            <w:pPr>
              <w:pStyle w:val="Compact"/>
            </w:pPr>
            <w:r>
              <w:t xml:space="preserve">1.25</w:t>
            </w:r>
          </w:p>
        </w:tc>
      </w:tr>
      <w:tr>
        <w:tc>
          <w:tcPr/>
          <w:p>
            <w:pPr>
              <w:pStyle w:val="Compact"/>
            </w:pPr>
            <w:r>
              <w:t xml:space="preserve">66–63</w:t>
            </w:r>
          </w:p>
        </w:tc>
        <w:tc>
          <w:tcPr/>
          <w:p>
            <w:pPr>
              <w:pStyle w:val="Compact"/>
            </w:pPr>
            <w:r>
              <w:t xml:space="preserve">D</w:t>
            </w:r>
          </w:p>
        </w:tc>
        <w:tc>
          <w:tcPr/>
          <w:p>
            <w:pPr>
              <w:pStyle w:val="Compact"/>
            </w:pPr>
            <w:r>
              <w:t xml:space="preserve">1.0</w:t>
            </w:r>
          </w:p>
        </w:tc>
      </w:tr>
      <w:tr>
        <w:tc>
          <w:tcPr/>
          <w:p>
            <w:pPr>
              <w:pStyle w:val="Compact"/>
            </w:pPr>
            <w:r>
              <w:t xml:space="preserve">62–60</w:t>
            </w:r>
          </w:p>
        </w:tc>
        <w:tc>
          <w:tcPr/>
          <w:p>
            <w:pPr>
              <w:pStyle w:val="Compact"/>
            </w:pPr>
            <w:r>
              <w:t xml:space="preserve">D-</w:t>
            </w:r>
          </w:p>
        </w:tc>
        <w:tc>
          <w:tcPr/>
          <w:p>
            <w:pPr>
              <w:pStyle w:val="Compact"/>
            </w:pPr>
            <w:r>
              <w:t xml:space="preserve">0.75</w:t>
            </w:r>
          </w:p>
        </w:tc>
      </w:tr>
      <w:tr>
        <w:tc>
          <w:tcPr/>
          <w:p>
            <w:pPr>
              <w:pStyle w:val="Compact"/>
            </w:pPr>
            <w:r>
              <w:t xml:space="preserve">59–0</w:t>
            </w:r>
          </w:p>
        </w:tc>
        <w:tc>
          <w:tcPr/>
          <w:p>
            <w:pPr>
              <w:pStyle w:val="Compact"/>
            </w:pPr>
            <w:r>
              <w:t xml:space="preserve">F</w:t>
            </w:r>
          </w:p>
        </w:tc>
        <w:tc>
          <w:tcPr/>
          <w:p>
            <w:pPr>
              <w:pStyle w:val="Compact"/>
            </w:pPr>
            <w:r>
              <w:t xml:space="preserve">0.00</w:t>
            </w:r>
          </w:p>
        </w:tc>
      </w:tr>
    </w:tbl>
    <w:p>
      <w:r>
        <w:pict>
          <v:rect style="width:0;height:1.5pt" o:hralign="center" o:hrstd="t" o:hr="t"/>
        </w:pict>
      </w:r>
    </w:p>
    <w:bookmarkEnd w:id="21"/>
    <w:bookmarkEnd w:id="22"/>
    <w:bookmarkStart w:id="23" w:name="academic-honesty"/>
    <w:p>
      <w:pPr>
        <w:pStyle w:val="Heading2"/>
      </w:pPr>
      <w:r>
        <w:t xml:space="preserve">Academic Honesty</w:t>
      </w:r>
    </w:p>
    <w:p>
      <w:pPr>
        <w:pStyle w:val="FirstParagraph"/>
      </w:pPr>
      <w:r>
        <w:t xml:space="preserve">The School of Public Administration’s programs hold students to high standards of integrity. Each student is expected to uphold the principles and values presented in UCF’s Golden Rule (http://goldenrule.sdes.ucf.edu/). All work you submit must be your own scholarly and creative efforts for this course only. Students may not submit a paper to this class that has been previously submitted to another class or that is being submitted to a class in the same semester. The writing must be original for each class submission. If a student wants to use some or all of another assignment, they must obtain written approval from the professor.</w:t>
      </w:r>
    </w:p>
    <w:p>
      <w:pPr>
        <w:pStyle w:val="BodyText"/>
      </w:pPr>
      <w:r>
        <w:t xml:space="preserve">Plagiarism, copying, and all other types of cheating will not be tolerated. All abuses will be reported to the University. Plagiarism includes, but is not limited to, not acknowledging sources of information appropriately and in accordance with APA guidelines,</w:t>
      </w:r>
      <w:r>
        <w:t xml:space="preserve"> </w:t>
      </w:r>
      <w:r>
        <w:t xml:space="preserve">“copying and pasting”</w:t>
      </w:r>
      <w:r>
        <w:t xml:space="preserve"> </w:t>
      </w:r>
      <w:r>
        <w:t xml:space="preserve">without putting into your own words (even if a citation is used), and any other instance where one person utilizes the words or ideas of another without giving proper credit. Note that plagiarism does not have to be intentional in order to be penalized—even inadvertent instances will subject a student to punishment. You must cite often in each paragraph. Citing once at the end of a paragraph is not acceptable. Cheating or plagiarism may result in a failing grade for the assignment and/or a failing grade in the class and potential removal from the program. In all cases, a report will be filed with the Office of Student Conduct.</w:t>
      </w:r>
    </w:p>
    <w:p>
      <w:pPr>
        <w:pStyle w:val="BodyText"/>
      </w:pPr>
      <w:r>
        <w:t xml:space="preserve">To prevent problems, this course utilizes the Turnitin submission tool for all your written works. Normally the similarity score should be within the 10% range. If the score is beyond the range, I strongly recommend you revise it before you make a final submission.</w:t>
      </w:r>
    </w:p>
    <w:p>
      <w:r>
        <w:pict>
          <v:rect style="width:0;height:1.5pt" o:hralign="center" o:hrstd="t" o:hr="t"/>
        </w:pict>
      </w:r>
    </w:p>
    <w:bookmarkEnd w:id="23"/>
    <w:bookmarkStart w:id="24" w:name="communication-with-instructor"/>
    <w:p>
      <w:pPr>
        <w:pStyle w:val="Heading2"/>
      </w:pPr>
      <w:r>
        <w:t xml:space="preserve">Communication with Instructor</w:t>
      </w:r>
    </w:p>
    <w:p>
      <w:pPr>
        <w:pStyle w:val="FirstParagraph"/>
      </w:pPr>
      <w:r>
        <w:t xml:space="preserve">You will be expected to have daily access to the internet and email since I will be emailing you constantly about assignment updates, additions, and changes. All students at UCF are required to obtain a Knight’s Email account and check it regularly for official university communications.</w:t>
      </w:r>
    </w:p>
    <w:p>
      <w:pPr>
        <w:pStyle w:val="BodyText"/>
      </w:pPr>
      <w:r>
        <w:t xml:space="preserve">In this class, our official mode of communication is through email located inside Webcourses. All communication between student and instructor and between student and student should be respectful and professional.</w:t>
      </w:r>
    </w:p>
    <w:p>
      <w:pPr>
        <w:pStyle w:val="Compact"/>
        <w:numPr>
          <w:ilvl w:val="0"/>
          <w:numId w:val="1003"/>
        </w:numPr>
      </w:pPr>
      <w:r>
        <w:t xml:space="preserve">Please include</w:t>
      </w:r>
      <w:r>
        <w:t xml:space="preserve"> </w:t>
      </w:r>
      <w:r>
        <w:t xml:space="preserve">“Subject”</w:t>
      </w:r>
      <w:r>
        <w:t xml:space="preserve"> </w:t>
      </w:r>
      <w:r>
        <w:t xml:space="preserve">headings (e.g., Activity 1, quiz 2 grade).</w:t>
      </w:r>
    </w:p>
    <w:p>
      <w:pPr>
        <w:pStyle w:val="Compact"/>
        <w:numPr>
          <w:ilvl w:val="0"/>
          <w:numId w:val="1003"/>
        </w:numPr>
      </w:pPr>
      <w:r>
        <w:t xml:space="preserve">Be patient. I check e-mail several times a day during the week, and you can usually expect a response within 24 to 48 hours.</w:t>
      </w:r>
    </w:p>
    <w:p>
      <w:pPr>
        <w:pStyle w:val="Compact"/>
        <w:numPr>
          <w:ilvl w:val="0"/>
          <w:numId w:val="1003"/>
        </w:numPr>
      </w:pPr>
      <w:r>
        <w:t xml:space="preserve">Remember that e-mail communication does not have the face-to-face communication benefits of voice inflection, body language, etc.</w:t>
      </w:r>
    </w:p>
    <w:p>
      <w:pPr>
        <w:pStyle w:val="Compact"/>
        <w:numPr>
          <w:ilvl w:val="0"/>
          <w:numId w:val="1003"/>
        </w:numPr>
      </w:pPr>
      <w:r>
        <w:t xml:space="preserve">If you have any questions about any e-mail I send, you should talk to me.</w:t>
      </w:r>
    </w:p>
    <w:p>
      <w:r>
        <w:pict>
          <v:rect style="width:0;height:1.5pt" o:hralign="center" o:hrstd="t" o:hr="t"/>
        </w:pict>
      </w:r>
    </w:p>
    <w:bookmarkEnd w:id="24"/>
    <w:bookmarkStart w:id="25" w:name="university-writing-center"/>
    <w:p>
      <w:pPr>
        <w:pStyle w:val="Heading2"/>
      </w:pPr>
      <w:r>
        <w:t xml:space="preserve">University Writing Center</w:t>
      </w:r>
    </w:p>
    <w:p>
      <w:pPr>
        <w:pStyle w:val="FirstParagraph"/>
      </w:pPr>
      <w:r>
        <w:t xml:space="preserve">The UWC’s purpose is not merely to fix or edit papers, but to teach writing strategies that can be applied to any writing situation. Consultations are available for individuals and small groups. University Writing Center, Colbourn Hall 105, 407-823-2197, http://uwc.cah.ucf.edu/.</w:t>
      </w:r>
    </w:p>
    <w:bookmarkEnd w:id="25"/>
    <w:bookmarkStart w:id="26" w:name="accessibility-statement"/>
    <w:p>
      <w:pPr>
        <w:pStyle w:val="Heading2"/>
      </w:pPr>
      <w:r>
        <w:t xml:space="preserve">Accessibility Statement</w:t>
      </w:r>
    </w:p>
    <w:p>
      <w:pPr>
        <w:pStyle w:val="FirstParagraph"/>
      </w:pPr>
      <w:r>
        <w:t xml:space="preserve">The University of Central Florida is committed to providing reasonable accommodations for all persons with disabilities. This syllabus is available in alternate formats upon request. Students who need accommodations in this course</w:t>
      </w:r>
      <w:r>
        <w:t xml:space="preserve"> </w:t>
      </w:r>
      <w:r>
        <w:rPr>
          <w:b/>
          <w:bCs/>
        </w:rPr>
        <w:t xml:space="preserve">must</w:t>
      </w:r>
      <w:r>
        <w:t xml:space="preserve"> </w:t>
      </w:r>
      <w:r>
        <w:t xml:space="preserve">be registered with Student Accessibility Services, Ferrell Commons, 7F, Room 185, phone (407) 823-2371, TTY/TDD only phone (407) 823-2116,</w:t>
      </w:r>
      <w:r>
        <w:t xml:space="preserve"> </w:t>
      </w:r>
      <w:r>
        <w:rPr>
          <w:i/>
          <w:iCs/>
        </w:rPr>
        <w:t xml:space="preserve">before requesting accommodations from the professor</w:t>
      </w:r>
      <w:r>
        <w:t xml:space="preserve">.</w:t>
      </w:r>
    </w:p>
    <w:bookmarkEnd w:id="26"/>
    <w:bookmarkStart w:id="27" w:name="student-rights-to-privacy-ferpa"/>
    <w:p>
      <w:pPr>
        <w:pStyle w:val="Heading2"/>
      </w:pPr>
      <w:r>
        <w:t xml:space="preserve">Student Rights to Privacy (FERPA)</w:t>
      </w:r>
    </w:p>
    <w:p>
      <w:pPr>
        <w:pStyle w:val="FirstParagraph"/>
      </w:pPr>
      <w:r>
        <w:t xml:space="preserve">The</w:t>
      </w:r>
      <w:r>
        <w:t xml:space="preserve"> </w:t>
      </w:r>
      <w:r>
        <w:rPr>
          <w:i/>
          <w:iCs/>
        </w:rPr>
        <w:t xml:space="preserve">Family Educational Rights and Privacy Act</w:t>
      </w:r>
      <w:r>
        <w:t xml:space="preserve"> </w:t>
      </w:r>
      <w:r>
        <w:t xml:space="preserve">of 1974, or FERPA, is the United States federal law that protects student records privacy review and disclosure rights. Students should</w:t>
      </w:r>
      <w:r>
        <w:t xml:space="preserve"> </w:t>
      </w:r>
      <w:r>
        <w:rPr>
          <w:b/>
          <w:bCs/>
        </w:rPr>
        <w:t xml:space="preserve">not</w:t>
      </w:r>
      <w:r>
        <w:t xml:space="preserve"> </w:t>
      </w:r>
      <w:r>
        <w:t xml:space="preserve">make any personally identifying information on a public site. Students should refer to FERPA (http://registrar.ucf.edu/ferpa) for further clarification.</w:t>
      </w:r>
    </w:p>
    <w:bookmarkEnd w:id="27"/>
    <w:bookmarkStart w:id="28" w:name="notice-of-copyright"/>
    <w:p>
      <w:pPr>
        <w:pStyle w:val="Heading2"/>
      </w:pPr>
      <w:r>
        <w:t xml:space="preserve">Notice of Copyright</w:t>
      </w:r>
    </w:p>
    <w:p>
      <w:pPr>
        <w:pStyle w:val="FirstParagraph"/>
      </w:pPr>
      <w:r>
        <w:t xml:space="preserve">This course may contain copyright-protected materials such as audio or video clips, images, text materials, etc. These items are being used with regard to the Fair Use doctrine in order to enhance the learning environment. Please do not copy, duplicate, download, or distribute these items.</w:t>
      </w:r>
    </w:p>
    <w:bookmarkEnd w:id="28"/>
    <w:bookmarkStart w:id="29" w:name="campus-safety"/>
    <w:p>
      <w:pPr>
        <w:pStyle w:val="Heading2"/>
      </w:pPr>
      <w:r>
        <w:t xml:space="preserve">Campus Safety</w:t>
      </w:r>
    </w:p>
    <w:p>
      <w:pPr>
        <w:pStyle w:val="FirstParagraph"/>
      </w:pPr>
      <w:r>
        <w:t xml:space="preserve">Stay informed about emergency situations, and sign up to receive UCF text alerts by going to my.ucf.edu. Students with special needs related to emergency situations should speak with their instructors outside of class.</w:t>
      </w:r>
    </w:p>
    <w:bookmarkEnd w:id="29"/>
    <w:bookmarkStart w:id="30" w:name="religious-observances"/>
    <w:p>
      <w:pPr>
        <w:pStyle w:val="Heading2"/>
      </w:pPr>
      <w:r>
        <w:t xml:space="preserve">Religious Observances</w:t>
      </w:r>
    </w:p>
    <w:p>
      <w:pPr>
        <w:pStyle w:val="FirstParagraph"/>
      </w:pPr>
      <w:r>
        <w:t xml:space="preserve">Students must notify their instructor in advance if they intend to miss class for religious observance.</w:t>
      </w:r>
    </w:p>
    <w:bookmarkEnd w:id="30"/>
    <w:bookmarkStart w:id="31" w:name="active-duty-military-statement"/>
    <w:p>
      <w:pPr>
        <w:pStyle w:val="Heading2"/>
      </w:pPr>
      <w:r>
        <w:t xml:space="preserve">Active-Duty Military Statement</w:t>
      </w:r>
    </w:p>
    <w:p>
      <w:pPr>
        <w:pStyle w:val="FirstParagraph"/>
      </w:pPr>
      <w:r>
        <w:t xml:space="preserve">Students who are deployed active-duty military and/or National Guard personnel and require accommodation should contact their instructors as soon as possible after the semester begins.</w:t>
      </w:r>
    </w:p>
    <w:bookmarkEnd w:id="31"/>
    <w:bookmarkStart w:id="32" w:name="the-ucf-creed"/>
    <w:p>
      <w:pPr>
        <w:pStyle w:val="Heading2"/>
      </w:pPr>
      <w:r>
        <w:t xml:space="preserve">The UCF Creed</w:t>
      </w:r>
    </w:p>
    <w:p>
      <w:pPr>
        <w:pStyle w:val="FirstParagraph"/>
      </w:pPr>
      <w:r>
        <w:t xml:space="preserve">Integrity, scholarship, community, creativity, and excellence are the core values that guide our conduct, performance, and decisions.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Statement</w:t>
            </w:r>
          </w:p>
        </w:tc>
      </w:tr>
      <w:tr>
        <w:tc>
          <w:tcPr/>
          <w:p>
            <w:pPr>
              <w:pStyle w:val="Compact"/>
            </w:pPr>
            <w:r>
              <w:rPr>
                <w:b/>
                <w:bCs/>
              </w:rPr>
              <w:t xml:space="preserve">Integrity</w:t>
            </w:r>
          </w:p>
        </w:tc>
        <w:tc>
          <w:tcPr/>
          <w:p>
            <w:pPr>
              <w:pStyle w:val="Compact"/>
            </w:pPr>
            <w:r>
              <w:t xml:space="preserve">I will practice and defend academic and personal honesty.</w:t>
            </w:r>
          </w:p>
        </w:tc>
      </w:tr>
      <w:tr>
        <w:tc>
          <w:tcPr/>
          <w:p>
            <w:pPr>
              <w:pStyle w:val="Compact"/>
            </w:pPr>
            <w:r>
              <w:rPr>
                <w:b/>
                <w:bCs/>
              </w:rPr>
              <w:t xml:space="preserve">Scholarship</w:t>
            </w:r>
          </w:p>
        </w:tc>
        <w:tc>
          <w:tcPr/>
          <w:p>
            <w:pPr>
              <w:pStyle w:val="Compact"/>
            </w:pPr>
            <w:r>
              <w:t xml:space="preserve">I will cherish and honor learning as a fundamental purpose of my membership in the UCF community.</w:t>
            </w:r>
          </w:p>
        </w:tc>
      </w:tr>
      <w:tr>
        <w:tc>
          <w:tcPr/>
          <w:p>
            <w:pPr>
              <w:pStyle w:val="Compact"/>
            </w:pPr>
            <w:r>
              <w:rPr>
                <w:b/>
                <w:bCs/>
              </w:rPr>
              <w:t xml:space="preserve">Community</w:t>
            </w:r>
          </w:p>
        </w:tc>
        <w:tc>
          <w:tcPr/>
          <w:p>
            <w:pPr>
              <w:pStyle w:val="Compact"/>
            </w:pPr>
            <w:r>
              <w:t xml:space="preserve">I will promote an open and supportive campus environment by respecting the rights and contributions of every individual.</w:t>
            </w:r>
          </w:p>
        </w:tc>
      </w:tr>
      <w:tr>
        <w:tc>
          <w:tcPr/>
          <w:p>
            <w:pPr>
              <w:pStyle w:val="Compact"/>
            </w:pPr>
            <w:r>
              <w:rPr>
                <w:b/>
                <w:bCs/>
              </w:rPr>
              <w:t xml:space="preserve">Creativity</w:t>
            </w:r>
          </w:p>
        </w:tc>
        <w:tc>
          <w:tcPr/>
          <w:p>
            <w:pPr>
              <w:pStyle w:val="Compact"/>
            </w:pPr>
            <w:r>
              <w:t xml:space="preserve">I will use my talents to enrich the human experience.</w:t>
            </w:r>
          </w:p>
        </w:tc>
      </w:tr>
      <w:tr>
        <w:tc>
          <w:tcPr/>
          <w:p>
            <w:pPr>
              <w:pStyle w:val="Compact"/>
            </w:pPr>
            <w:r>
              <w:rPr>
                <w:b/>
                <w:bCs/>
              </w:rPr>
              <w:t xml:space="preserve">Excellence</w:t>
            </w:r>
          </w:p>
        </w:tc>
        <w:tc>
          <w:tcPr/>
          <w:p>
            <w:pPr>
              <w:pStyle w:val="Compact"/>
            </w:pPr>
            <w:r>
              <w:t xml:space="preserve">I will strive toward the highest standards of performance in any endeavor I undertake.</w:t>
            </w:r>
          </w:p>
        </w:tc>
      </w:tr>
    </w:tbl>
    <w:p>
      <w:r>
        <w:pict>
          <v:rect style="width:0;height:1.5pt" o:hralign="center" o:hrstd="t" o:hr="t"/>
        </w:pict>
      </w:r>
    </w:p>
    <w:bookmarkEnd w:id="32"/>
    <w:bookmarkStart w:id="33" w:name="class-schedule-overview"/>
    <w:p>
      <w:pPr>
        <w:pStyle w:val="Heading2"/>
      </w:pPr>
      <w:r>
        <w:t xml:space="preserve">Class Schedule Overview</w:t>
      </w:r>
    </w:p>
    <w:tbl>
      <w:tblPr>
        <w:tblStyle w:val="Table"/>
        <w:tblW w:type="pct" w:w="5000"/>
        <w:tblLayout w:type="fixed"/>
        <w:tblLook w:firstRow="1" w:lastRow="0" w:firstColumn="0" w:lastColumn="0" w:noHBand="0" w:noVBand="0" w:val="0020"/>
      </w:tblPr>
      <w:tblGrid>
        <w:gridCol w:w="784"/>
        <w:gridCol w:w="7135"/>
      </w:tblGrid>
      <w:tr>
        <w:trPr>
          <w:tblHeader w:val="on"/>
        </w:trPr>
        <w:tc>
          <w:tcPr/>
          <w:p>
            <w:pPr>
              <w:pStyle w:val="Compact"/>
            </w:pPr>
            <w:r>
              <w:t xml:space="preserve">Date</w:t>
            </w:r>
          </w:p>
        </w:tc>
        <w:tc>
          <w:tcPr/>
          <w:p>
            <w:pPr>
              <w:pStyle w:val="Compact"/>
            </w:pPr>
            <w:r>
              <w:t xml:space="preserve">Activity</w:t>
            </w:r>
          </w:p>
        </w:tc>
      </w:tr>
      <w:tr>
        <w:tc>
          <w:tcPr/>
          <w:p>
            <w:pPr>
              <w:pStyle w:val="Compact"/>
            </w:pPr>
            <w:r>
              <w:rPr>
                <w:b/>
                <w:bCs/>
              </w:rPr>
              <w:t xml:space="preserve">April 22, 2026 (Wednesday)</w:t>
            </w:r>
          </w:p>
        </w:tc>
        <w:tc>
          <w:tcPr/>
          <w:p>
            <w:pPr>
              <w:pStyle w:val="Compact"/>
            </w:pPr>
            <w:r>
              <w:rPr>
                <w:b/>
                <w:bCs/>
              </w:rPr>
              <w:t xml:space="preserve">Zoom Session: 7:00 PM – 9:00 PM ET</w:t>
            </w:r>
          </w:p>
        </w:tc>
      </w:tr>
      <w:tr>
        <w:tc>
          <w:tcPr/>
          <w:p>
            <w:pPr>
              <w:pStyle w:val="Compact"/>
            </w:pPr>
          </w:p>
        </w:tc>
        <w:tc>
          <w:tcPr/>
          <w:p>
            <w:pPr>
              <w:pStyle w:val="Compact"/>
            </w:pPr>
            <w:r>
              <w:rPr>
                <w:b/>
                <w:bCs/>
              </w:rPr>
              <w:t xml:space="preserve">Introduction</w:t>
            </w:r>
          </w:p>
        </w:tc>
      </w:tr>
      <w:tr>
        <w:tc>
          <w:tcPr/>
          <w:p>
            <w:pPr>
              <w:pStyle w:val="Compact"/>
            </w:pPr>
          </w:p>
        </w:tc>
        <w:tc>
          <w:tcPr/>
          <w:p>
            <w:pPr>
              <w:pStyle w:val="Compact"/>
            </w:pPr>
            <w:r>
              <w:t xml:space="preserve">- UCF Study Abroad orientation</w:t>
            </w:r>
          </w:p>
        </w:tc>
      </w:tr>
      <w:tr>
        <w:tc>
          <w:tcPr/>
          <w:p>
            <w:pPr>
              <w:pStyle w:val="Compact"/>
            </w:pPr>
          </w:p>
        </w:tc>
        <w:tc>
          <w:tcPr/>
          <w:p>
            <w:pPr>
              <w:pStyle w:val="Compact"/>
            </w:pPr>
            <w:r>
              <w:t xml:space="preserve">- Course logistics</w:t>
            </w:r>
          </w:p>
        </w:tc>
      </w:tr>
      <w:tr>
        <w:tc>
          <w:tcPr/>
          <w:p>
            <w:pPr>
              <w:pStyle w:val="Compact"/>
            </w:pPr>
          </w:p>
        </w:tc>
        <w:tc>
          <w:tcPr/>
          <w:p>
            <w:pPr>
              <w:pStyle w:val="Compact"/>
            </w:pPr>
            <w:r>
              <w:t xml:space="preserve">- Purchase airline tickets</w:t>
            </w:r>
          </w:p>
        </w:tc>
      </w:tr>
      <w:tr>
        <w:tc>
          <w:tcPr/>
          <w:p>
            <w:pPr>
              <w:pStyle w:val="Compact"/>
            </w:pPr>
          </w:p>
        </w:tc>
        <w:tc>
          <w:tcPr/>
          <w:p>
            <w:pPr>
              <w:pStyle w:val="Compact"/>
            </w:pPr>
            <w:r>
              <w:rPr>
                <w:b/>
                <w:bCs/>
              </w:rPr>
              <w:t xml:space="preserve">Understanding Korea</w:t>
            </w:r>
          </w:p>
        </w:tc>
      </w:tr>
      <w:tr>
        <w:tc>
          <w:tcPr/>
          <w:p>
            <w:pPr>
              <w:pStyle w:val="Compact"/>
            </w:pPr>
          </w:p>
        </w:tc>
        <w:tc>
          <w:tcPr/>
          <w:p>
            <w:pPr>
              <w:pStyle w:val="Compact"/>
            </w:pPr>
            <w:r>
              <w:t xml:space="preserve">- Korean Public Administration (Democracy, Intergovernmental structure, Administrative reform, E-government)</w:t>
            </w:r>
          </w:p>
        </w:tc>
      </w:tr>
      <w:tr>
        <w:tc>
          <w:tcPr/>
          <w:p>
            <w:pPr>
              <w:pStyle w:val="Compact"/>
            </w:pPr>
          </w:p>
        </w:tc>
        <w:tc>
          <w:tcPr/>
          <w:p>
            <w:pPr>
              <w:pStyle w:val="Compact"/>
            </w:pPr>
            <w:r>
              <w:t xml:space="preserve">- Korean culture, tourism, basic language</w:t>
            </w:r>
          </w:p>
        </w:tc>
      </w:tr>
      <w:tr>
        <w:tc>
          <w:tcPr/>
          <w:p>
            <w:pPr>
              <w:pStyle w:val="Compact"/>
            </w:pPr>
          </w:p>
        </w:tc>
        <w:tc>
          <w:tcPr/>
          <w:p>
            <w:pPr>
              <w:pStyle w:val="Compact"/>
            </w:pPr>
            <w:r>
              <w:rPr>
                <w:b/>
                <w:bCs/>
                <w:i/>
                <w:iCs/>
              </w:rPr>
              <w:t xml:space="preserve">Required Readings:</w:t>
            </w:r>
          </w:p>
        </w:tc>
      </w:tr>
      <w:tr>
        <w:tc>
          <w:tcPr/>
          <w:p>
            <w:pPr>
              <w:pStyle w:val="Compact"/>
            </w:pPr>
          </w:p>
        </w:tc>
        <w:tc>
          <w:tcPr/>
          <w:p>
            <w:pPr>
              <w:pStyle w:val="Compact"/>
            </w:pPr>
            <w:r>
              <w:t xml:space="preserve">- Kim, S., Kim, H. J., &amp; Lee, H. (2009). An institutional analysis of an e-government system for anti-corruption: The case of OPEN.</w:t>
            </w:r>
            <w:r>
              <w:t xml:space="preserve"> </w:t>
            </w:r>
            <w:r>
              <w:rPr>
                <w:i/>
                <w:iCs/>
              </w:rPr>
              <w:t xml:space="preserve">Government Information Quarterly, 26</w:t>
            </w:r>
            <w:r>
              <w:t xml:space="preserve">(1), 42–50.</w:t>
            </w:r>
          </w:p>
        </w:tc>
      </w:tr>
      <w:tr>
        <w:tc>
          <w:tcPr/>
          <w:p>
            <w:pPr>
              <w:pStyle w:val="Compact"/>
            </w:pPr>
          </w:p>
        </w:tc>
        <w:tc>
          <w:tcPr/>
          <w:p>
            <w:pPr>
              <w:pStyle w:val="Compact"/>
            </w:pPr>
            <w:r>
              <w:t xml:space="preserve">- Kim, P. S. (2000). Administrative reform in the Korean central government: A case study of the Dae Jung Kim administration.</w:t>
            </w:r>
            <w:r>
              <w:t xml:space="preserve"> </w:t>
            </w:r>
            <w:r>
              <w:rPr>
                <w:i/>
                <w:iCs/>
              </w:rPr>
              <w:t xml:space="preserve">Public Performance &amp; Management Review, 24</w:t>
            </w:r>
            <w:r>
              <w:t xml:space="preserve">(2), 145–160.</w:t>
            </w:r>
          </w:p>
        </w:tc>
      </w:tr>
      <w:tr>
        <w:tc>
          <w:tcPr/>
          <w:p>
            <w:pPr>
              <w:pStyle w:val="Compact"/>
            </w:pPr>
          </w:p>
        </w:tc>
        <w:tc>
          <w:tcPr/>
          <w:p>
            <w:pPr>
              <w:pStyle w:val="Compact"/>
            </w:pPr>
            <w:r>
              <w:t xml:space="preserve">- Koo, H. (2002). Civil society and democracy in South Korea.</w:t>
            </w:r>
            <w:r>
              <w:t xml:space="preserve"> </w:t>
            </w:r>
            <w:r>
              <w:rPr>
                <w:i/>
                <w:iCs/>
              </w:rPr>
              <w:t xml:space="preserve">The Good Society, 11</w:t>
            </w:r>
            <w:r>
              <w:t xml:space="preserve">(2), 40–45.</w:t>
            </w:r>
          </w:p>
        </w:tc>
      </w:tr>
      <w:tr>
        <w:tc>
          <w:tcPr/>
          <w:p>
            <w:pPr>
              <w:pStyle w:val="Compact"/>
            </w:pPr>
          </w:p>
        </w:tc>
        <w:tc>
          <w:tcPr/>
          <w:p>
            <w:pPr>
              <w:pStyle w:val="Compact"/>
            </w:pPr>
            <w:r>
              <w:t xml:space="preserve">- Hangeul (Korean alphabet) https://www.youtube.com/watch?v=2aDPpssj0h0</w:t>
            </w:r>
          </w:p>
        </w:tc>
      </w:tr>
      <w:tr>
        <w:tc>
          <w:tcPr/>
          <w:p>
            <w:pPr>
              <w:pStyle w:val="Compact"/>
            </w:pPr>
            <w:r>
              <w:rPr>
                <w:b/>
                <w:bCs/>
              </w:rPr>
              <w:t xml:space="preserve">May 7, 2026 (Thursday)</w:t>
            </w:r>
          </w:p>
        </w:tc>
        <w:tc>
          <w:tcPr/>
          <w:p>
            <w:pPr>
              <w:pStyle w:val="Compact"/>
            </w:pPr>
            <w:r>
              <w:rPr>
                <w:b/>
                <w:bCs/>
              </w:rPr>
              <w:t xml:space="preserve">In-Class Session (Room TBD): 9:00 AM – 11:00 AM</w:t>
            </w:r>
          </w:p>
        </w:tc>
      </w:tr>
      <w:tr>
        <w:tc>
          <w:tcPr/>
          <w:p>
            <w:pPr>
              <w:pStyle w:val="Compact"/>
            </w:pPr>
          </w:p>
        </w:tc>
        <w:tc>
          <w:tcPr/>
          <w:p>
            <w:pPr>
              <w:pStyle w:val="Compact"/>
            </w:pPr>
            <w:r>
              <w:rPr>
                <w:b/>
                <w:bCs/>
              </w:rPr>
              <w:t xml:space="preserve">Discussion of Research Proposals</w:t>
            </w:r>
          </w:p>
        </w:tc>
      </w:tr>
      <w:tr>
        <w:tc>
          <w:tcPr/>
          <w:p>
            <w:pPr>
              <w:pStyle w:val="Compact"/>
            </w:pPr>
          </w:p>
        </w:tc>
        <w:tc>
          <w:tcPr/>
          <w:p>
            <w:pPr>
              <w:pStyle w:val="Compact"/>
            </w:pPr>
            <w:r>
              <w:t xml:space="preserve">- Informal presentation</w:t>
            </w:r>
          </w:p>
        </w:tc>
      </w:tr>
      <w:tr>
        <w:tc>
          <w:tcPr/>
          <w:p>
            <w:pPr>
              <w:pStyle w:val="Compact"/>
            </w:pPr>
          </w:p>
        </w:tc>
        <w:tc>
          <w:tcPr/>
          <w:p>
            <w:pPr>
              <w:pStyle w:val="Compact"/>
            </w:pPr>
            <w:r>
              <w:t xml:space="preserve">- Questions and discussion</w:t>
            </w:r>
          </w:p>
        </w:tc>
      </w:tr>
      <w:tr>
        <w:tc>
          <w:tcPr/>
          <w:p>
            <w:pPr>
              <w:pStyle w:val="Compact"/>
            </w:pPr>
          </w:p>
        </w:tc>
        <w:tc>
          <w:tcPr/>
          <w:p>
            <w:pPr>
              <w:pStyle w:val="Compact"/>
            </w:pPr>
            <w:r>
              <w:rPr>
                <w:b/>
                <w:bCs/>
              </w:rPr>
              <w:t xml:space="preserve">Seoul Metropolitan City</w:t>
            </w:r>
          </w:p>
        </w:tc>
      </w:tr>
      <w:tr>
        <w:tc>
          <w:tcPr/>
          <w:p>
            <w:pPr>
              <w:pStyle w:val="Compact"/>
            </w:pPr>
          </w:p>
        </w:tc>
        <w:tc>
          <w:tcPr/>
          <w:p>
            <w:pPr>
              <w:pStyle w:val="Compact"/>
            </w:pPr>
            <w:r>
              <w:t xml:space="preserve">- Seoul Metropolitan Government</w:t>
            </w:r>
          </w:p>
        </w:tc>
      </w:tr>
      <w:tr>
        <w:tc>
          <w:tcPr/>
          <w:p>
            <w:pPr>
              <w:pStyle w:val="Compact"/>
            </w:pPr>
          </w:p>
        </w:tc>
        <w:tc>
          <w:tcPr/>
          <w:p>
            <w:pPr>
              <w:pStyle w:val="Compact"/>
            </w:pPr>
            <w:r>
              <w:t xml:space="preserve">- Transportation: subway and bus systems</w:t>
            </w:r>
          </w:p>
        </w:tc>
      </w:tr>
      <w:tr>
        <w:tc>
          <w:tcPr/>
          <w:p>
            <w:pPr>
              <w:pStyle w:val="Compact"/>
            </w:pPr>
          </w:p>
        </w:tc>
        <w:tc>
          <w:tcPr/>
          <w:p>
            <w:pPr>
              <w:pStyle w:val="Compact"/>
            </w:pPr>
            <w:r>
              <w:rPr>
                <w:b/>
                <w:bCs/>
              </w:rPr>
              <w:t xml:space="preserve">“Final”</w:t>
            </w:r>
            <w:r>
              <w:rPr>
                <w:b/>
                <w:bCs/>
              </w:rPr>
              <w:t xml:space="preserve"> </w:t>
            </w:r>
            <w:r>
              <w:rPr>
                <w:b/>
                <w:bCs/>
              </w:rPr>
              <w:t xml:space="preserve">Trip Arrangements</w:t>
            </w:r>
          </w:p>
        </w:tc>
      </w:tr>
      <w:tr>
        <w:tc>
          <w:tcPr/>
          <w:p>
            <w:pPr>
              <w:pStyle w:val="Compact"/>
            </w:pPr>
          </w:p>
        </w:tc>
        <w:tc>
          <w:tcPr/>
          <w:p>
            <w:pPr>
              <w:pStyle w:val="Compact"/>
            </w:pPr>
            <w:r>
              <w:t xml:space="preserve">- Travel itinerary</w:t>
            </w:r>
          </w:p>
        </w:tc>
      </w:tr>
      <w:tr>
        <w:tc>
          <w:tcPr/>
          <w:p>
            <w:pPr>
              <w:pStyle w:val="Compact"/>
            </w:pPr>
          </w:p>
        </w:tc>
        <w:tc>
          <w:tcPr/>
          <w:p>
            <w:pPr>
              <w:pStyle w:val="Compact"/>
            </w:pPr>
            <w:r>
              <w:t xml:space="preserve">- Airport transportation</w:t>
            </w:r>
          </w:p>
        </w:tc>
      </w:tr>
      <w:tr>
        <w:tc>
          <w:tcPr/>
          <w:p>
            <w:pPr>
              <w:pStyle w:val="Compact"/>
            </w:pPr>
          </w:p>
        </w:tc>
        <w:tc>
          <w:tcPr/>
          <w:p>
            <w:pPr>
              <w:pStyle w:val="Compact"/>
            </w:pPr>
            <w:r>
              <w:rPr>
                <w:b/>
                <w:bCs/>
                <w:i/>
                <w:iCs/>
              </w:rPr>
              <w:t xml:space="preserve">Required Readings:</w:t>
            </w:r>
          </w:p>
        </w:tc>
      </w:tr>
      <w:tr>
        <w:tc>
          <w:tcPr/>
          <w:p>
            <w:pPr>
              <w:pStyle w:val="Compact"/>
            </w:pPr>
          </w:p>
        </w:tc>
        <w:tc>
          <w:tcPr/>
          <w:p>
            <w:pPr>
              <w:pStyle w:val="Compact"/>
            </w:pPr>
            <w:r>
              <w:t xml:space="preserve">- Seoul Metropolitan Government website: http://english.seoul.go.kr/</w:t>
            </w:r>
          </w:p>
        </w:tc>
      </w:tr>
      <w:tr>
        <w:tc>
          <w:tcPr/>
          <w:p>
            <w:pPr>
              <w:pStyle w:val="Compact"/>
            </w:pPr>
          </w:p>
        </w:tc>
        <w:tc>
          <w:tcPr/>
          <w:p>
            <w:pPr>
              <w:pStyle w:val="Compact"/>
            </w:pPr>
            <w:r>
              <w:t xml:space="preserve">- Park, W.-S. (2014). In Seoul, the citizens are the mayor.</w:t>
            </w:r>
            <w:r>
              <w:t xml:space="preserve"> </w:t>
            </w:r>
            <w:r>
              <w:rPr>
                <w:i/>
                <w:iCs/>
              </w:rPr>
              <w:t xml:space="preserve">Public Administration Review, 74</w:t>
            </w:r>
            <w:r>
              <w:t xml:space="preserve">(4), 442–443.</w:t>
            </w:r>
          </w:p>
        </w:tc>
      </w:tr>
      <w:tr>
        <w:tc>
          <w:tcPr/>
          <w:p>
            <w:pPr>
              <w:pStyle w:val="Compact"/>
            </w:pPr>
          </w:p>
        </w:tc>
        <w:tc>
          <w:tcPr/>
          <w:p>
            <w:pPr>
              <w:pStyle w:val="Compact"/>
            </w:pPr>
            <w:r>
              <w:t xml:space="preserve">- Kim, K. S., Cheon, S. H., &amp; Lim, S. J. (2011). Performance assessment of bus transport reform in Seoul.</w:t>
            </w:r>
            <w:r>
              <w:t xml:space="preserve"> </w:t>
            </w:r>
            <w:r>
              <w:rPr>
                <w:i/>
                <w:iCs/>
              </w:rPr>
              <w:t xml:space="preserve">Transportation, 38</w:t>
            </w:r>
            <w:r>
              <w:t xml:space="preserve">(5), 719–735.</w:t>
            </w:r>
          </w:p>
        </w:tc>
      </w:tr>
      <w:tr>
        <w:tc>
          <w:tcPr/>
          <w:p>
            <w:pPr>
              <w:pStyle w:val="Compact"/>
            </w:pPr>
          </w:p>
        </w:tc>
        <w:tc>
          <w:tcPr/>
          <w:p>
            <w:pPr>
              <w:pStyle w:val="Compact"/>
            </w:pPr>
            <w:r>
              <w:t xml:space="preserve">- Min, B. H., An, S., &amp; Ki, N. (2024). Understanding the dynamics of Civil Society Organization responses in the cross-sector collaboration process with a government partner: A typology from a grounded theory approach.</w:t>
            </w:r>
            <w:r>
              <w:t xml:space="preserve"> </w:t>
            </w:r>
            <w:r>
              <w:rPr>
                <w:i/>
                <w:iCs/>
              </w:rPr>
              <w:t xml:space="preserve">Nonprofit Management and Leadership, 35</w:t>
            </w:r>
            <w:r>
              <w:t xml:space="preserve">(2), 433–460.</w:t>
            </w:r>
          </w:p>
        </w:tc>
      </w:tr>
      <w:tr>
        <w:tc>
          <w:tcPr/>
          <w:p>
            <w:pPr>
              <w:pStyle w:val="Compact"/>
            </w:pPr>
            <w:r>
              <w:rPr>
                <w:b/>
                <w:bCs/>
              </w:rPr>
              <w:t xml:space="preserve">May 15, 2026 (Friday)</w:t>
            </w:r>
          </w:p>
        </w:tc>
        <w:tc>
          <w:tcPr/>
          <w:p>
            <w:pPr>
              <w:pStyle w:val="Compact"/>
            </w:pPr>
            <w:r>
              <w:rPr>
                <w:b/>
                <w:bCs/>
              </w:rPr>
              <w:t xml:space="preserve">Research Proposal due</w:t>
            </w:r>
            <w:r>
              <w:t xml:space="preserve"> </w:t>
            </w:r>
            <w:r>
              <w:t xml:space="preserve">(submitted via Webcourses before 11:59 PM)</w:t>
            </w:r>
          </w:p>
        </w:tc>
      </w:tr>
      <w:tr>
        <w:tc>
          <w:tcPr/>
          <w:p>
            <w:pPr>
              <w:pStyle w:val="Compact"/>
            </w:pPr>
            <w:r>
              <w:rPr>
                <w:b/>
                <w:bCs/>
              </w:rPr>
              <w:t xml:space="preserve">May 16–22, 2026</w:t>
            </w:r>
          </w:p>
        </w:tc>
        <w:tc>
          <w:tcPr/>
          <w:p>
            <w:pPr>
              <w:pStyle w:val="Compact"/>
            </w:pPr>
            <w:r>
              <w:rPr>
                <w:b/>
                <w:bCs/>
              </w:rPr>
              <w:t xml:space="preserve">Seoul Case Study Program (SCSP)</w:t>
            </w:r>
            <w:r>
              <w:t xml:space="preserve"> </w:t>
            </w:r>
            <w:r>
              <w:t xml:space="preserve">— Field trip to Seoul, South Korea. Detailed schedule per Seoul Metropolitan Government and University of Seoul (ISUS). Program includes lectures, field visits, and group presentation. (~40 hours of classroom and field work.)</w:t>
            </w:r>
          </w:p>
        </w:tc>
      </w:tr>
      <w:tr>
        <w:tc>
          <w:tcPr/>
          <w:p>
            <w:pPr>
              <w:pStyle w:val="Compact"/>
            </w:pPr>
            <w:r>
              <w:rPr>
                <w:b/>
                <w:bCs/>
              </w:rPr>
              <w:t xml:space="preserve">May 31, 2026 (Saturday)</w:t>
            </w:r>
          </w:p>
        </w:tc>
        <w:tc>
          <w:tcPr/>
          <w:p>
            <w:pPr>
              <w:pStyle w:val="Compact"/>
            </w:pPr>
            <w:r>
              <w:rPr>
                <w:b/>
                <w:bCs/>
              </w:rPr>
              <w:t xml:space="preserve">Zoom Session: 10:00 AM – 12:00 PM ET</w:t>
            </w:r>
          </w:p>
        </w:tc>
      </w:tr>
      <w:tr>
        <w:tc>
          <w:tcPr/>
          <w:p>
            <w:pPr>
              <w:pStyle w:val="Compact"/>
            </w:pPr>
          </w:p>
        </w:tc>
        <w:tc>
          <w:tcPr/>
          <w:p>
            <w:pPr>
              <w:pStyle w:val="Compact"/>
            </w:pPr>
            <w:r>
              <w:rPr>
                <w:b/>
                <w:bCs/>
              </w:rPr>
              <w:t xml:space="preserve">Research Presentations</w:t>
            </w:r>
          </w:p>
        </w:tc>
      </w:tr>
      <w:tr>
        <w:tc>
          <w:tcPr/>
          <w:p>
            <w:pPr>
              <w:pStyle w:val="Compact"/>
            </w:pPr>
          </w:p>
        </w:tc>
        <w:tc>
          <w:tcPr/>
          <w:p>
            <w:pPr>
              <w:pStyle w:val="Compact"/>
            </w:pPr>
            <w:r>
              <w:t xml:space="preserve">- Informal presentation of research progress</w:t>
            </w:r>
          </w:p>
        </w:tc>
      </w:tr>
      <w:tr>
        <w:tc>
          <w:tcPr/>
          <w:p>
            <w:pPr>
              <w:pStyle w:val="Compact"/>
            </w:pPr>
          </w:p>
        </w:tc>
        <w:tc>
          <w:tcPr/>
          <w:p>
            <w:pPr>
              <w:pStyle w:val="Compact"/>
            </w:pPr>
            <w:r>
              <w:t xml:space="preserve">- Peer feedback and discussion</w:t>
            </w:r>
          </w:p>
        </w:tc>
      </w:tr>
      <w:tr>
        <w:tc>
          <w:tcPr/>
          <w:p>
            <w:pPr>
              <w:pStyle w:val="Compact"/>
            </w:pPr>
          </w:p>
        </w:tc>
        <w:tc>
          <w:tcPr/>
          <w:p>
            <w:pPr>
              <w:pStyle w:val="Compact"/>
            </w:pPr>
            <w:r>
              <w:t xml:space="preserve">Wrap-up and concluding remarks</w:t>
            </w:r>
          </w:p>
        </w:tc>
      </w:tr>
      <w:tr>
        <w:tc>
          <w:tcPr/>
          <w:p>
            <w:pPr>
              <w:pStyle w:val="Compact"/>
            </w:pPr>
            <w:r>
              <w:rPr>
                <w:b/>
                <w:bCs/>
              </w:rPr>
              <w:t xml:space="preserve">June 20, 2026 (Friday)</w:t>
            </w:r>
          </w:p>
        </w:tc>
        <w:tc>
          <w:tcPr/>
          <w:p>
            <w:pPr>
              <w:pStyle w:val="Compact"/>
            </w:pPr>
            <w:r>
              <w:rPr>
                <w:b/>
                <w:bCs/>
              </w:rPr>
              <w:t xml:space="preserve">Final Research Project due</w:t>
            </w:r>
            <w:r>
              <w:t xml:space="preserve"> </w:t>
            </w:r>
            <w:r>
              <w:t xml:space="preserve">(submitted via Webcourses before 11:59 PM)</w:t>
            </w:r>
          </w:p>
        </w:tc>
      </w:tr>
      <w:tr>
        <w:tc>
          <w:tcPr/>
          <w:p>
            <w:pPr>
              <w:pStyle w:val="Compact"/>
            </w:pPr>
            <w:r>
              <w:rPr>
                <w:b/>
                <w:bCs/>
              </w:rPr>
              <w:t xml:space="preserve">June 22, 2026 (Sunday)</w:t>
            </w:r>
          </w:p>
        </w:tc>
        <w:tc>
          <w:tcPr/>
          <w:p>
            <w:pPr>
              <w:pStyle w:val="Compact"/>
            </w:pPr>
            <w:r>
              <w:rPr>
                <w:b/>
                <w:bCs/>
              </w:rPr>
              <w:t xml:space="preserve">Reflection Paper due</w:t>
            </w:r>
            <w:r>
              <w:t xml:space="preserve"> </w:t>
            </w:r>
            <w:r>
              <w:t xml:space="preserve">(submitted via Webcourses before 11:59 PM)</w:t>
            </w:r>
          </w:p>
        </w:tc>
      </w:tr>
    </w:tbl>
    <w:p>
      <w:r>
        <w:pict>
          <v:rect style="width:0;height:1.5pt" o:hralign="center" o:hrstd="t" o:hr="t"/>
        </w:pict>
      </w:r>
    </w:p>
    <w:bookmarkEnd w:id="33"/>
    <w:bookmarkStart w:id="34" w:name="important-dates"/>
    <w:p>
      <w:pPr>
        <w:pStyle w:val="Heading2"/>
      </w:pPr>
      <w:r>
        <w:t xml:space="preserve">Important Dates</w:t>
      </w:r>
    </w:p>
    <w:p>
      <w:pPr>
        <w:pStyle w:val="Compact"/>
        <w:numPr>
          <w:ilvl w:val="0"/>
          <w:numId w:val="1004"/>
        </w:numPr>
      </w:pPr>
      <w:r>
        <w:t xml:space="preserve">Financial aid assignment due – first week of Summer 2026</w:t>
      </w:r>
    </w:p>
    <w:p>
      <w:pPr>
        <w:pStyle w:val="Compact"/>
        <w:numPr>
          <w:ilvl w:val="0"/>
          <w:numId w:val="1004"/>
        </w:numPr>
      </w:pPr>
      <w:r>
        <w:t xml:space="preserve">Research proposals due – 11:59 PM on Friday, May 15, 2026</w:t>
      </w:r>
    </w:p>
    <w:p>
      <w:pPr>
        <w:pStyle w:val="Compact"/>
        <w:numPr>
          <w:ilvl w:val="0"/>
          <w:numId w:val="1004"/>
        </w:numPr>
      </w:pPr>
      <w:r>
        <w:t xml:space="preserve">Field trip in Seoul, South Korea – May 16–22, 2026</w:t>
      </w:r>
    </w:p>
    <w:p>
      <w:pPr>
        <w:pStyle w:val="Compact"/>
        <w:numPr>
          <w:ilvl w:val="0"/>
          <w:numId w:val="1004"/>
        </w:numPr>
      </w:pPr>
      <w:r>
        <w:t xml:space="preserve">Final research project due – 11:59 PM on Friday, June 20, 2026</w:t>
      </w:r>
    </w:p>
    <w:p>
      <w:pPr>
        <w:pStyle w:val="Compact"/>
        <w:numPr>
          <w:ilvl w:val="0"/>
          <w:numId w:val="1004"/>
        </w:numPr>
      </w:pPr>
      <w:r>
        <w:t xml:space="preserve">Reflection paper due – 11:59 PM on Sunday, June 22, 2026</w:t>
      </w:r>
    </w:p>
    <w:p>
      <w:r>
        <w:pict>
          <v:rect style="width:0;height:1.5pt" o:hralign="center" o:hrstd="t" o:hr="t"/>
        </w:pict>
      </w:r>
    </w:p>
    <w:bookmarkEnd w:id="34"/>
    <w:bookmarkStart w:id="35" w:name="disclaimer-statement"/>
    <w:p>
      <w:pPr>
        <w:pStyle w:val="Heading2"/>
      </w:pPr>
      <w:r>
        <w:t xml:space="preserve">Disclaimer Statement</w:t>
      </w:r>
    </w:p>
    <w:p>
      <w:pPr>
        <w:pStyle w:val="FirstParagraph"/>
      </w:pPr>
      <w:r>
        <w:t xml:space="preserve">Please note this is a tentative syllabus, and the</w:t>
      </w:r>
      <w:r>
        <w:t xml:space="preserve"> </w:t>
      </w:r>
      <w:r>
        <w:rPr>
          <w:b/>
          <w:bCs/>
        </w:rPr>
        <w:t xml:space="preserve">instructor reserves the right to make any revisions that may be necessary</w:t>
      </w:r>
      <w:r>
        <w:t xml:space="preserve"> </w:t>
      </w:r>
      <w:r>
        <w:t xml:space="preserve">to meet the objectives of the course. Students will be notified promptly of any revisions.</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2026-05-13T22:00:44Z</dcterms:created>
  <dcterms:modified xsi:type="dcterms:W3CDTF">2026-05-13T22:00:44Z</dcterms:modified>
</cp:coreProperties>
</file>

<file path=docProps/custom.xml><?xml version="1.0" encoding="utf-8"?>
<Properties xmlns="http://schemas.openxmlformats.org/officeDocument/2006/custom-properties" xmlns:vt="http://schemas.openxmlformats.org/officeDocument/2006/docPropsVTypes"/>
</file>