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rPr>
          <w:trHeight w:val="16839" w:hRule="exact"/>
        </w:trPr>
        <w:tc>
          <w:tcPr>
            <w:tcW w:type="dxa" w:w="11906"/>
            <w:shd w:fill="095474" w:val="clear"/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3600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lm_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360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80"/>
            </w:pPr>
          </w:p>
          <w:p>
            <w:pPr>
              <w:spacing w:after="480"/>
              <w:jc w:val="center"/>
              <w:pBdr>
                <w:bottom w:val="single" w:sz="24" w:space="1" w:color="C9A24A"/>
              </w:pBdr>
            </w:pPr>
            <w:r>
              <w:rPr>
                <w:rFonts w:ascii="Calibri" w:hAnsi="Calibri"/>
                <w:b w:val="0"/>
                <w:i w:val="0"/>
                <w:color w:val="095474"/>
                <w:sz w:val="2"/>
              </w:rPr>
              <w:t xml:space="preserve">                                                      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RELATÓRIO TÉCNICO DE MANUTENÇÃO E EFICIÊNCIA</w:t>
            </w:r>
          </w:p>
          <w:p>
            <w:pPr>
              <w:spacing w:after="7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ESTAÇÃO DE TRATAMENTO DE ESGOTO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{{CLIENTE_NOME_UPPER}}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CNPJ: {{CLIENTE_CNPJ}}</w:t>
            </w:r>
          </w:p>
          <w:p>
            <w:pPr>
              <w:spacing w:after="72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{{CLIENTE_ENDERECO}}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Período: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{{PERIODO}}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 xml:space="preserve">Salvador, Bahia | </w:t>
            </w: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{{DATA_EMISSAO}}</w:t>
            </w: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titlePg/>
          <w:docGrid w:linePitch="360"/>
        </w:sectPr>
      </w:pPr>
    </w:p>
    <w:p>
      <w:pPr>
        <w:spacing w:after="480" w:before="400"/>
        <w:jc w:val="center"/>
      </w:pPr>
      <w:r>
        <w:rPr>
          <w:rFonts w:ascii="Calibri" w:hAnsi="Calibri"/>
          <w:b/>
          <w:i w:val="0"/>
          <w:color w:val="095474"/>
          <w:sz w:val="36"/>
        </w:rPr>
        <w:t>SUMÁRIO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1. INTRODUÇÃO</w:t>
      </w:r>
      <w:r>
        <w:rPr>
          <w:rFonts w:ascii="Calibri" w:hAnsi="Calibri"/>
          <w:b w:val="0"/>
          <w:i w:val="0"/>
          <w:color w:val="000000"/>
          <w:sz w:val="20"/>
        </w:rPr>
        <w:tab/>
        <w:t>3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2. DADOS DO EMPREENDIMENTO</w:t>
      </w:r>
      <w:r>
        <w:rPr>
          <w:rFonts w:ascii="Calibri" w:hAnsi="Calibri"/>
          <w:b w:val="0"/>
          <w:i w:val="0"/>
          <w:color w:val="000000"/>
          <w:sz w:val="20"/>
        </w:rPr>
        <w:tab/>
        <w:t>3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3. QUADRO RESUMO DAS ATIVIDADES</w:t>
      </w:r>
      <w:r>
        <w:rPr>
          <w:rFonts w:ascii="Calibri" w:hAnsi="Calibri"/>
          <w:b w:val="0"/>
          <w:i w:val="0"/>
          <w:color w:val="000000"/>
          <w:sz w:val="20"/>
        </w:rPr>
        <w:tab/>
        <w:t>4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4. DETALHAMENTO DAS ATIVIDADES</w:t>
      </w:r>
      <w:r>
        <w:rPr>
          <w:rFonts w:ascii="Calibri" w:hAnsi="Calibri"/>
          <w:b w:val="0"/>
          <w:i w:val="0"/>
          <w:color w:val="000000"/>
          <w:sz w:val="20"/>
        </w:rPr>
        <w:tab/>
        <w:t>4</w:t>
      </w:r>
    </w:p>
    <w:p>
      <w:pPr>
        <w:spacing w:after="120"/>
        <w:ind w:left="454"/>
        <w:tabs>
          <w:tab w:val="right" w:leader="dot" w:pos="9000"/>
        </w:tabs>
      </w:pPr>
      <w:r>
        <w:rPr>
          <w:rFonts w:ascii="Calibri" w:hAnsi="Calibri"/>
          <w:b w:val="0"/>
          <w:i w:val="0"/>
          <w:color w:val="000000"/>
          <w:sz w:val="20"/>
        </w:rPr>
        <w:t>4.1. Inspeção no Painel Elétrico</w:t>
      </w:r>
      <w:r>
        <w:rPr>
          <w:rFonts w:ascii="Calibri" w:hAnsi="Calibri"/>
          <w:b w:val="0"/>
          <w:i w:val="0"/>
          <w:color w:val="000000"/>
          <w:sz w:val="20"/>
        </w:rPr>
        <w:tab/>
        <w:t>4</w:t>
      </w:r>
    </w:p>
    <w:p>
      <w:pPr>
        <w:spacing w:after="120"/>
        <w:ind w:left="454"/>
        <w:tabs>
          <w:tab w:val="right" w:leader="dot" w:pos="9000"/>
        </w:tabs>
      </w:pPr>
      <w:r>
        <w:rPr>
          <w:rFonts w:ascii="Calibri" w:hAnsi="Calibri"/>
          <w:b w:val="0"/>
          <w:i w:val="0"/>
          <w:color w:val="000000"/>
          <w:sz w:val="20"/>
        </w:rPr>
        <w:t>4.2. Inspeção nas Bombas e Elevatória</w:t>
      </w:r>
      <w:r>
        <w:rPr>
          <w:rFonts w:ascii="Calibri" w:hAnsi="Calibri"/>
          <w:b w:val="0"/>
          <w:i w:val="0"/>
          <w:color w:val="000000"/>
          <w:sz w:val="20"/>
        </w:rPr>
        <w:tab/>
        <w:t>5</w:t>
      </w:r>
    </w:p>
    <w:p>
      <w:pPr>
        <w:spacing w:after="120"/>
        <w:ind w:left="454"/>
        <w:tabs>
          <w:tab w:val="right" w:leader="dot" w:pos="9000"/>
        </w:tabs>
      </w:pPr>
      <w:r>
        <w:rPr>
          <w:rFonts w:ascii="Calibri" w:hAnsi="Calibri"/>
          <w:b w:val="0"/>
          <w:i w:val="0"/>
          <w:color w:val="000000"/>
          <w:sz w:val="20"/>
        </w:rPr>
        <w:t>4.3. Inspeção da Plataforma onde Ficam os Tanques</w:t>
      </w:r>
      <w:r>
        <w:rPr>
          <w:rFonts w:ascii="Calibri" w:hAnsi="Calibri"/>
          <w:b w:val="0"/>
          <w:i w:val="0"/>
          <w:color w:val="000000"/>
          <w:sz w:val="20"/>
        </w:rPr>
        <w:tab/>
        <w:t>6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5. EFICIÊNCIA OPERACIONAL DA ETE</w:t>
      </w:r>
      <w:r>
        <w:rPr>
          <w:rFonts w:ascii="Calibri" w:hAnsi="Calibri"/>
          <w:b w:val="0"/>
          <w:i w:val="0"/>
          <w:color w:val="000000"/>
          <w:sz w:val="20"/>
        </w:rPr>
        <w:tab/>
        <w:t>7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6. NÃO CONFORMIDADES E MEDIDAS MITIGADORAS</w:t>
      </w:r>
      <w:r>
        <w:rPr>
          <w:rFonts w:ascii="Calibri" w:hAnsi="Calibri"/>
          <w:b w:val="0"/>
          <w:i w:val="0"/>
          <w:color w:val="000000"/>
          <w:sz w:val="20"/>
        </w:rPr>
        <w:tab/>
        <w:t>8</w:t>
      </w:r>
    </w:p>
    <w:p>
      <w:pPr>
        <w:spacing w:after="120"/>
        <w:tabs>
          <w:tab w:val="right" w:leader="dot" w:pos="9000"/>
        </w:tabs>
      </w:pPr>
      <w:r>
        <w:rPr>
          <w:rFonts w:ascii="Calibri" w:hAnsi="Calibri"/>
          <w:b/>
          <w:i w:val="0"/>
          <w:color w:val="095474"/>
          <w:sz w:val="20"/>
        </w:rPr>
        <w:t>7. CONSIDERAÇÕES FINAIS</w:t>
      </w:r>
      <w:r>
        <w:rPr>
          <w:rFonts w:ascii="Calibri" w:hAnsi="Calibri"/>
          <w:b w:val="0"/>
          <w:i w:val="0"/>
          <w:color w:val="000000"/>
          <w:sz w:val="20"/>
        </w:rPr>
        <w:tab/>
        <w:t>9</w:t>
      </w:r>
    </w:p>
    <w:p>
      <w:r>
        <w:br w:type="page"/>
      </w:r>
    </w:p>
    <w:p>
      <w:pPr>
        <w:spacing w:after="200" w:before="0"/>
      </w:pPr>
      <w:r>
        <w:rPr>
          <w:rFonts w:ascii="Calibri" w:hAnsi="Calibri"/>
          <w:b/>
          <w:i w:val="0"/>
          <w:color w:val="095474"/>
          <w:sz w:val="32"/>
        </w:rPr>
        <w:t>1. INTRODUÇÃO</w:t>
      </w:r>
    </w:p>
    <w:p>
      <w:pPr>
        <w:spacing w:after="200"/>
        <w:jc w:val="both"/>
      </w:pPr>
      <w:r>
        <w:t>O presente relatório consolida as atividades de manutenção preventiva e corretiva executadas pela {{EMPRESA_NOME}} na Estação de Tratamento de Esgoto (ETE) do {{CLIENTE_NOME}}, localizado em {{CLIENTE_ENDERECO}}, inscrito sob o CNPJ {{CLIENTE_CNPJ}}.</w:t>
      </w:r>
    </w:p>
    <w:p>
      <w:pPr>
        <w:spacing w:after="200"/>
        <w:jc w:val="both"/>
      </w:pPr>
      <w:r>
        <w:t xml:space="preserve">As intervenções descritas abrangem o período de </w:t>
      </w:r>
      <w:r>
        <w:t>{{INTRO_PERIODO}}</w:t>
      </w:r>
      <w:r>
        <w:t xml:space="preserve"> e incluem </w:t>
      </w:r>
      <w:r>
        <w:t>{{INTRO_ATIVIDADES}}</w:t>
      </w:r>
      <w:r>
        <w:t xml:space="preserve">. O relatório apresenta, ainda, os resultados das análises laboratoriais realizadas pela Bioagri Laboratórios Ltda. (Mérieux NutriSciences) nos meses de </w:t>
      </w:r>
      <w:r>
        <w:t>{{INTRO_MESES_LAB}}</w:t>
      </w:r>
      <w:r>
        <w:t>, com avaliação da eficiência de remoção de carga orgânica e conformidade com os padrões de lançamento da Resolução CONAMA nº 430/2011.</w:t>
      </w:r>
    </w:p>
    <w:p>
      <w:pPr>
        <w:spacing w:after="280"/>
        <w:jc w:val="both"/>
      </w:pPr>
      <w:r>
        <w:t>A ETE opera sob o regime de lodos ativados com aeração prolongada, contando com as seguintes etapas de tratamento: gradeamento (fase preliminar), estação elevatória, reatores aeróbios com insuflamento de ar por sopradores tipo roots, sistema de recirculação de lodo e descarte final do efluente tratado. A manutenção periódica dos equipamentos eletromecânicos e da infraestrutura hidráulica é condição indispensável para o atendimento dos padrões de lançamento previstos na Resolução CONAMA nº 430/2011, na Lei Estadual nº 10.431/2006 e no Decreto Estadual nº 14.024/2012.</w:t>
      </w:r>
    </w:p>
    <w:p>
      <w:pPr>
        <w:spacing w:after="200" w:before="0"/>
      </w:pPr>
      <w:r>
        <w:rPr>
          <w:rFonts w:ascii="Calibri" w:hAnsi="Calibri"/>
          <w:b/>
          <w:i w:val="0"/>
          <w:color w:val="095474"/>
          <w:sz w:val="32"/>
        </w:rPr>
        <w:t>2. DADOS DO EMPREENDIMENTO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Empreendimento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{{CLIENTE_NOME}}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{{CLIENTE_CNPJ}}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Endereço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{{CLIENTE_ENDERECO}}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Sistema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{{TIPO_SISTEMA}}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Técnico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{{RT_NOME}}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 Executora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{{EMPRESA_NOME}}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Laboratório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{{LABORATORIO}}</w:t>
            </w:r>
          </w:p>
        </w:tc>
      </w:tr>
      <w:tr>
        <w:tc>
          <w:tcPr>
            <w:tcW w:type="dxa" w:w="3118"/>
            <w:shd w:fill="095474" w:val="clear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das Atividades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{{PERIODO_ATIVIDADES}}</w:t>
            </w:r>
          </w:p>
        </w:tc>
      </w:tr>
    </w:tbl>
    <w:p>
      <w:pPr>
        <w:spacing w:after="280"/>
      </w:pPr>
    </w:p>
    <w:p>
      <w:pPr>
        <w:spacing w:after="160" w:before="0"/>
      </w:pPr>
      <w:r>
        <w:rPr>
          <w:rFonts w:ascii="Calibri" w:hAnsi="Calibri"/>
          <w:b/>
          <w:i w:val="0"/>
          <w:color w:val="095474"/>
          <w:sz w:val="32"/>
        </w:rPr>
        <w:t>3. QUADRO RESUMO DAS ATIVIDADES</w:t>
      </w:r>
    </w:p>
    <w:p>
      <w:pPr>
        <w:spacing w:after="200"/>
        <w:jc w:val="both"/>
      </w:pPr>
      <w:r>
        <w:t>A tabela a seguir sintetiza as principais intervenções realizadas em cada competência. Os detalhes técnicos, registros fotográficos e medidas corretivas constam nas seções subsequentes.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95474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Mês/Ano</w:t>
            </w:r>
          </w:p>
        </w:tc>
        <w:tc>
          <w:tcPr>
            <w:tcW w:type="dxa" w:w="3024"/>
            <w:shd w:fill="095474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Atividades Realizadas</w:t>
            </w:r>
          </w:p>
        </w:tc>
        <w:tc>
          <w:tcPr>
            <w:tcW w:type="dxa" w:w="3024"/>
            <w:shd w:fill="095474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{{QUADRO1_MES_ANO}}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{{QUADRO1_ATIVIDADE}}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{{QUADRO1_CLASSIFICACAO}}</w:t>
            </w:r>
          </w:p>
        </w:tc>
      </w:tr>
    </w:tbl>
    <w:p>
      <w:pPr>
        <w:spacing w:after="280"/>
      </w:pPr>
    </w:p>
    <w:p>
      <w:pPr>
        <w:spacing w:after="240" w:before="0"/>
      </w:pPr>
      <w:r>
        <w:rPr>
          <w:rFonts w:ascii="Calibri" w:hAnsi="Calibri"/>
          <w:b/>
          <w:i w:val="0"/>
          <w:color w:val="095474"/>
          <w:sz w:val="32"/>
        </w:rPr>
        <w:t>4. DETALHAMENTO DAS ATIVIDADES</w:t>
      </w:r>
    </w:p>
    <w:p>
      <w:pPr>
        <w:spacing w:after="0"/>
      </w:pPr>
      <w:r>
        <w:rPr>
          <w:rFonts w:ascii="Calibri" w:hAnsi="Calibri"/>
          <w:b w:val="0"/>
          <w:i w:val="0"/>
          <w:color w:val="666666"/>
          <w:sz w:val="16"/>
        </w:rPr>
        <w:t>{{__SECAO4_INICIO__}}</w:t>
      </w:r>
    </w:p>
    <w:p>
      <w:pPr>
        <w:spacing w:after="120" w:before="0"/>
      </w:pPr>
      <w:r>
        <w:rPr>
          <w:rFonts w:ascii="Calibri" w:hAnsi="Calibri"/>
          <w:b/>
          <w:i w:val="0"/>
          <w:color w:val="095474"/>
          <w:sz w:val="26"/>
        </w:rPr>
        <w:t>4.1. Inspeção no Painel Elétrico</w:t>
      </w:r>
    </w:p>
    <w:p>
      <w:pPr>
        <w:spacing w:after="200"/>
        <w:jc w:val="both"/>
      </w:pPr>
      <w:r>
        <w:t>Texto descritivo da inspeção, com observações técnicas e medidas corretivas aplicadas. (Este texto será substituído dinamicamente pelo conteúdo das inspeções registradas no app.)</w:t>
      </w:r>
    </w:p>
    <w:p>
      <w:pPr>
        <w:spacing w:after="280"/>
      </w:pPr>
      <w:r>
        <w:rPr>
          <w:rFonts w:ascii="Calibri" w:hAnsi="Calibri"/>
          <w:b w:val="0"/>
          <w:i w:val="0"/>
          <w:color w:val="666666"/>
          <w:sz w:val="16"/>
        </w:rPr>
        <w:t>{{__SECAO4_FIM__}}</w:t>
      </w:r>
    </w:p>
    <w:p>
      <w:pPr>
        <w:spacing w:after="200" w:before="0"/>
      </w:pPr>
      <w:r>
        <w:rPr>
          <w:rFonts w:ascii="Calibri" w:hAnsi="Calibri"/>
          <w:b/>
          <w:i w:val="0"/>
          <w:color w:val="095474"/>
          <w:sz w:val="32"/>
        </w:rPr>
        <w:t>5. EFICIÊNCIA OPERACIONAL DA ETE</w:t>
      </w:r>
    </w:p>
    <w:p>
      <w:pPr>
        <w:spacing w:after="200"/>
        <w:jc w:val="both"/>
      </w:pPr>
      <w:r>
        <w:rPr>
          <w:b w:val="0"/>
        </w:rPr>
        <w:t xml:space="preserve">No mês de </w:t>
      </w:r>
      <w:r>
        <w:t>{{EFIC_MES}}</w:t>
      </w:r>
      <w:r>
        <w:t xml:space="preserve"> foi realizada uma campanha de monitoramento da qualidade do efluente, com coleta de amostras na entrada (efluente bruto) e na saída (efluente tratado) da ETE. As análises foram executadas pela Bioagri Laboratórios Ltda. (nome fantasia Mérieux NutriSciences), laboratório acreditado pelo INMETRO conforme a ABNT NBR ISO/IEC 17025, com unidades em Lauro de Freitas/BA (CRQ 7ª Região, nº 075502741) e Piracicaba/SP (CRQ 4ª Região, nº 33446-F).</w:t>
      </w:r>
    </w:p>
    <w:p>
      <w:pPr>
        <w:spacing w:after="200"/>
        <w:jc w:val="both"/>
      </w:pPr>
      <w:r>
        <w:t>Os parâmetros analisados incluem Demanda Bioquímica de Oxigênio (DBO), Demanda Química de Oxigênio (DQO), Nitrogênio Total, Fósforo Total e Coliformes Totais, conforme metodologias do Standard Methods for the Examination of Water and Wastewater (SMWW), 24ª Edição.</w:t>
      </w:r>
    </w:p>
    <w:p>
      <w:pPr>
        <w:spacing w:after="200"/>
        <w:jc w:val="both"/>
      </w:pPr>
      <w:r>
        <w:t xml:space="preserve">Amostragem realizada em </w:t>
      </w:r>
      <w:r>
        <w:t>{{DATA_AMOSTRAGEM}}</w:t>
      </w:r>
      <w:r>
        <w:t xml:space="preserve">. Laudos Bioagri nº </w:t>
      </w:r>
      <w:r>
        <w:t>{{LAUDO_BRUTO}}</w:t>
      </w:r>
      <w:r>
        <w:t xml:space="preserve"> (efluente bruto) e nº </w:t>
      </w:r>
      <w:r>
        <w:t>{{LAUDO_TRATADO}}</w:t>
      </w:r>
      <w:r>
        <w:t xml:space="preserve"> (efluente tratado). Elaboração dos laudos em </w:t>
      </w:r>
      <w:r>
        <w:t>{{DATA_LAUDOS}}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Parâmetro</w:t>
            </w:r>
          </w:p>
        </w:tc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Unidade</w:t>
            </w:r>
          </w:p>
        </w:tc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Efluente Bruto</w:t>
            </w:r>
          </w:p>
        </w:tc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Efluente Tratado</w:t>
            </w:r>
          </w:p>
        </w:tc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Eficiência</w:t>
            </w:r>
          </w:p>
        </w:tc>
        <w:tc>
          <w:tcPr>
            <w:tcW w:type="dxa" w:w="1512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CONAMA 430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DBO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mg/L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{{DBO_BRUTO}}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{{DBO_TRATADO}}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{{DBO_EFIC}}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&gt; 60%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DQO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mg/L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{{DQO_BRUTO}}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{{DQO_TRATADO}}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{{DQO_EFIC}}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Nitrogênio Total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mg/L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{{NTOTAL_BRUTO}}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{{NTOTAL_TRATADO}}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{{NTOTAL_EFIC}}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Fósforo Total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mg/L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{{PTOTAL_BRUTO}}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{{PTOTAL_TRATADO}}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{{PTOTAL_EFIC}}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Coliformes Totais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NMP/100mL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{{COLIFORMES_BRUTO}}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{{COLIFORMES_TRATADO}}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{{COLIFORMES_EFIC}}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pH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{{PH_BRUTO}}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{{PH_TRATADO}}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 9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Temperatura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°C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{{TEMP_BRUTO}}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{{TEMP_TRATADO}}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&lt; 40</w:t>
            </w:r>
          </w:p>
        </w:tc>
      </w:tr>
    </w:tbl>
    <w:p>
      <w:pPr>
        <w:spacing w:after="160"/>
      </w:pP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{{ANALISE_EFIC_1}}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{{ANALISE_EFIC_2}}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{{ANALISE_EFIC_3}}</w:t>
      </w:r>
    </w:p>
    <w:p>
      <w:pPr>
        <w:spacing w:after="0"/>
      </w:pPr>
      <w:r>
        <w:rPr>
          <w:rFonts w:ascii="Calibri" w:hAnsi="Calibri"/>
          <w:b w:val="0"/>
          <w:i w:val="0"/>
          <w:color w:val="666666"/>
          <w:sz w:val="16"/>
        </w:rPr>
        <w:t>{{__SECAO5_LIMPAR_1__}}</w:t>
      </w:r>
    </w:p>
    <w:p>
      <w:pPr>
        <w:spacing w:after="160" w:before="0"/>
      </w:pPr>
      <w:r>
        <w:rPr>
          <w:rFonts w:ascii="Calibri" w:hAnsi="Calibri"/>
          <w:b/>
          <w:i w:val="0"/>
          <w:color w:val="095474"/>
          <w:sz w:val="32"/>
        </w:rPr>
        <w:t>6. NÃO CONFORMIDADES E MEDIDAS MITIGADORAS</w:t>
      </w:r>
    </w:p>
    <w:p>
      <w:pPr>
        <w:spacing w:after="200"/>
        <w:jc w:val="both"/>
      </w:pPr>
      <w:r>
        <w:t>As não conformidades e pendências operacionais identificadas no período estão consolidadas na tabela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Nº</w:t>
            </w:r>
          </w:p>
        </w:tc>
        <w:tc>
          <w:tcPr>
            <w:tcW w:type="dxa" w:w="1814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Não Conformidade</w:t>
            </w:r>
          </w:p>
        </w:tc>
        <w:tc>
          <w:tcPr>
            <w:tcW w:type="dxa" w:w="1814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 Mitigadora</w:t>
            </w:r>
          </w:p>
        </w:tc>
        <w:tc>
          <w:tcPr>
            <w:tcW w:type="dxa" w:w="1814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814"/>
            <w:shd w:fill="09547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{{NC1_NUM}}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{{NC1_DESC}}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{{NC1_MEDIDA}}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{{NC1_PRIORIDADE}}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{{NC1_STATUS}}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{{NC2_NUM}}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{{NC2_DESC}}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{{NC2_MEDIDA}}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{{NC2_PRIORIDADE}}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{{NC2_STATUS}}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{{NC3_NUM}}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{{NC3_DESC}}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{{NC3_MEDIDA}}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{{NC3_PRIORIDADE}}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{{NC3_STATUS}}</w:t>
            </w:r>
          </w:p>
        </w:tc>
      </w:tr>
    </w:tbl>
    <w:p>
      <w:pPr>
        <w:spacing w:after="280"/>
      </w:pPr>
    </w:p>
    <w:p>
      <w:pPr>
        <w:spacing w:after="200" w:before="0"/>
      </w:pPr>
      <w:r>
        <w:rPr>
          <w:rFonts w:ascii="Calibri" w:hAnsi="Calibri"/>
          <w:b/>
          <w:i w:val="0"/>
          <w:color w:val="095474"/>
          <w:sz w:val="32"/>
        </w:rPr>
        <w:t>7. CONSIDERAÇÕES FINAIS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{{CONSID_P1}}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{{CONSID_P2}}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{{CONSID_P3}}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{{CONSID_P4}}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{{CONSID_P5}}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{{CONSID_P6}}</w:t>
      </w:r>
    </w:p>
    <w:p>
      <w:pPr>
        <w:spacing w:after="200"/>
        <w:jc w:val="both"/>
      </w:pPr>
      <w:r>
        <w:rPr>
          <w:rFonts w:ascii="Calibri" w:hAnsi="Calibri"/>
          <w:b w:val="0"/>
          <w:i w:val="0"/>
          <w:sz w:val="22"/>
        </w:rPr>
        <w:t>{{CONSID_P7}}</w:t>
      </w:r>
    </w:p>
    <w:p/>
    <w:p>
      <w:pPr>
        <w:spacing w:after="120"/>
        <w:jc w:val="center"/>
        <w:pBdr>
          <w:bottom w:val="single" w:sz="12" w:space="1" w:color="C9A24A"/>
        </w:pBdr>
      </w:pPr>
      <w:r>
        <w:rPr>
          <w:rFonts w:ascii="Calibri" w:hAnsi="Calibri"/>
          <w:b w:val="0"/>
          <w:i w:val="0"/>
          <w:sz w:val="2"/>
        </w:rPr>
        <w:t xml:space="preserve"> </w:t>
      </w:r>
    </w:p>
    <w:p>
      <w:pPr>
        <w:spacing w:after="0"/>
        <w:jc w:val="center"/>
      </w:pPr>
      <w:r>
        <w:rPr>
          <w:rFonts w:ascii="Calibri" w:hAnsi="Calibri"/>
          <w:b/>
          <w:i w:val="0"/>
          <w:color w:val="095474"/>
          <w:sz w:val="24"/>
        </w:rPr>
        <w:t>{{RT_NOME}}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095474"/>
          <w:sz w:val="20"/>
        </w:rPr>
        <w:t>{{EMPRESA_NOME_UPPER}}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8" w:space="1" w:color="C9A24A"/>
      </w:pBdr>
    </w:pPr>
    <w:r>
      <w:rPr>
        <w:rFonts w:ascii="Calibri" w:hAnsi="Calibri"/>
        <w:b w:val="0"/>
        <w:i w:val="0"/>
        <w:color w:val="666666"/>
        <w:sz w:val="20"/>
      </w:rPr>
      <w:t xml:space="preserve">Página </w:t>
    </w:r>
    <w:r>
      <w:rPr>
        <w:rFonts w:ascii="Calibri" w:hAnsi="Calibri"/>
        <w:b w:val="0"/>
        <w:i w:val="0"/>
        <w:color w:val="666666"/>
        <w:sz w:val="20"/>
      </w:rPr>
      <w:fldChar w:fldCharType="begin"/>
      <w:instrText> PAGE </w:instrText>
      <w:fldChar w:fldCharType="end"/>
    </w:r>
    <w:r>
      <w:rPr>
        <w:rFonts w:ascii="Calibri" w:hAnsi="Calibri"/>
        <w:b w:val="0"/>
        <w:i w:val="0"/>
        <w:color w:val="666666"/>
        <w:sz w:val="20"/>
      </w:rPr>
      <w:t xml:space="preserve"> de </w:t>
    </w:r>
    <w:r>
      <w:rPr>
        <w:rFonts w:ascii="Calibri" w:hAnsi="Calibri"/>
        <w:b w:val="0"/>
        <w:i w:val="0"/>
        <w:color w:val="666666"/>
        <w:sz w:val="20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8" w:space="1" w:color="C9A24A"/>
      </w:pBdr>
    </w:pPr>
    <w:r>
      <w:rPr>
        <w:rFonts w:ascii="Calibri" w:hAnsi="Calibri"/>
        <w:b/>
        <w:i w:val="0"/>
        <w:color w:val="095474"/>
        <w:sz w:val="20"/>
      </w:rPr>
      <w:t xml:space="preserve">{{EMPRESA_NOME}} </w:t>
    </w:r>
    <w:r>
      <w:rPr>
        <w:rFonts w:ascii="Calibri" w:hAnsi="Calibri"/>
        <w:b w:val="0"/>
        <w:i/>
        <w:color w:val="095474"/>
        <w:sz w:val="20"/>
      </w:rPr>
      <w:t>| Relatório de Manutenção e Eficiência - ETE {{CLIENTE_NOME_CABECALHO}}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