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, localizado em {{CLIENTE_ENDERECO}}, inscrito sob o CNPJ {{CLIENTE_CNPJ}}.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