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240"/>
        <w:tblInd w:type="dxa" w:w="0"/>
        <w:tblBorders>
          <w:top w:val="none" w:color="0A2540" w:sz="0"/>
          <w:left w:val="none" w:color="0A2540" w:sz="0"/>
          <w:bottom w:val="none" w:color="0A2540" w:sz="0"/>
          <w:right w:val="none" w:color="0A2540" w:sz="0"/>
          <w:insideH w:val="none" w:color="0A2540" w:sz="0"/>
          <w:insideV w:val="none" w:color="0A2540" w:sz="0"/>
        </w:tblBorders>
      </w:tblPr>
      <w:tblGrid>
        <w:gridCol w:w="12240"/>
      </w:tblGrid>
      <w:tr>
        <w:trPr>
          <w:cantSplit/>
          <w:trHeight w:val="15700" w:hRule="exact"/>
        </w:trPr>
        <w:tc>
          <w:tcPr>
            <w:tcW w:type="dxa" w:w="12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53E59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600" w:before="0" w:line="240" w:lineRule="auto"/>
            </w:pPr>
            <w:r>
              <w:rPr>
                <w:sz w:val="4"/>
                <w:szCs w:val="4"/>
              </w:rPr>
              <w:t xml:space="preserve"> </w:t>
            </w:r>
          </w:p>
          <w:p>
            <w:pPr>
              <w:spacing w:after="240" w:before="0" w:line="240" w:lineRule="auto"/>
              <w:jc w:val="center"/>
            </w:pPr>
            <w:r>
              <w:drawing>
                <wp:inline distT="0" distB="0" distL="0" distR="0">
                  <wp:extent cx="3619500" cy="1332083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0" cy="13320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color="D89426" w:sz="8" w:space="1"/>
              </w:pBdr>
              <w:spacing w:after="720" w:before="0" w:line="240" w:lineRule="auto"/>
              <w:ind w:left="2880" w:right="2880"/>
              <w:jc w:val="center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> </w:t>
            </w:r>
          </w:p>
          <w:p>
            <w:pPr>
              <w:spacing w:after="60" w:before="0" w:line="240" w:lineRule="auto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  <w:spacing w:val="80"/>
              </w:rPr>
              <w:t xml:space="preserve">RELATÓRIO TÉCNICO</w:t>
            </w:r>
          </w:p>
          <w:p>
            <w:pPr>
              <w:spacing w:after="12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MANUTENÇÃO E EFICIÊNCIA</w:t>
            </w:r>
          </w:p>
          <w:p>
            <w:pPr>
              <w:spacing w:after="72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00AFEF"/>
                <w:sz w:val="20"/>
                <w:szCs w:val="20"/>
                <w:spacing w:val="40"/>
              </w:rPr>
              <w:t xml:space="preserve">ESTAÇÃO DE TRATAMENTO DE ESGOTO</w:t>
            </w:r>
          </w:p>
          <w:p>
            <w:pPr>
              <w:pBdr>
                <w:top w:val="single" w:color="FFFFFF" w:sz="4" w:space="8"/>
              </w:pBdr>
              <w:spacing w:after="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4"/>
                <w:szCs w:val="14"/>
                <w:spacing w:val="80"/>
              </w:rPr>
              <w:t xml:space="preserve">EMPREENDIMENTO</w:t>
            </w:r>
          </w:p>
          <w:p>
            <w:pPr>
              <w:spacing w:after="120" w:before="8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{{CLIENTE_NOME_UPPER}}</w:t>
            </w:r>
          </w:p>
          <w:p>
            <w:pPr>
              <w:spacing w:after="4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>CNPJ {{CLIENTE_CNPJ}}</w:t>
            </w:r>
          </w:p>
          <w:p>
            <w:pPr>
              <w:pBdr>
                <w:bottom w:val="single" w:color="FFFFFF" w:sz="4" w:space="8"/>
              </w:pBdr>
              <w:spacing w:after="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{{CLIENTE_ENDERECO}}</w:t>
            </w:r>
          </w:p>
          <w:p>
            <w:pPr>
              <w:spacing w:after="60" w:before="1200" w:line="240" w:lineRule="auto"/>
              <w:jc w:val="center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  <w:spacing w:val="80"/>
              </w:rPr>
              <w:t xml:space="preserve">PERÍODO DE REFERÊNCIA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00AFEF"/>
                <w:sz w:val="36"/>
                <w:szCs w:val="36"/>
                <w:spacing w:val="20"/>
              </w:rPr>
              <w:t xml:space="preserve">{{PERIODO}}</w:t>
            </w:r>
          </w:p>
          <w:p>
            <w:pPr>
              <w:pBdr>
                <w:top w:val="single" w:color="FFFFFF" w:sz="4" w:space="12"/>
              </w:pBdr>
              <w:spacing w:after="0" w:before="1440" w:line="240" w:lineRule="auto"/>
              <w:ind w:left="3600" w:right="360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>Salvador, Bahia · {{DATA_EMISSAO}}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  <w:sectPr>
          <w:headerReference w:type="default" r:id="rId7"/>
          <w:footerReference w:type="default" r:id="rId8"/>
          <w:type w:val="continuous"/>
          <w:pgSz w:w="12240" w:h="15840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240" w:before="360"/>
        <w:jc w:val="center"/>
      </w:pPr>
      <w:r>
        <w:rPr>
          <w:rFonts w:ascii="Arial" w:cs="Arial" w:eastAsia="Arial" w:hAnsi="Arial"/>
          <w:b/>
          <w:bCs/>
          <w:color w:val="0A2540"/>
          <w:sz w:val="32"/>
          <w:szCs w:val="32"/>
        </w:rPr>
        <w:t xml:space="preserve">SUMÁRIO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{{NUM_INTRODUCAO}}. INTRODUÇÃO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3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{{NUM_DADOS}}. DADOS DO EMPREENDIMENTO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3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{{__SUMLINE_QUADRO_INI__}}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{{NUM_QUADRO}}. QUADRO RESUMO DAS ATIVIDADES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4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{{__SUMLINE_QUADRO_FIM__}}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{{__SUMLINE_DETALHAMENTO_INI__}}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{{NUM_DETALHAMENTO}}. DETALHAMENTO DAS ATIVIDADES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4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{{__SUMLINE_DETALHAMENTO_FIM__}}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{{__SUMARIO_4X_INICIO__}}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{{__SUMARIO_4X_FIM__}}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{{__SUMLINE_NCS_INI__}}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{{NUM_NCS}}. NÃO CONFORMIDADES E MEDIDAS MITIGADORAS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8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{{__SUMLINE_NCS_FIM__}}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{{__SUMLINE_EFICIENCIA_INI__}}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{{NUM_EFICIENCIA}}. EFICIÊNCIA OPERACIONAL DA ETE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7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{{__SUMLINE_EFICIENCIA_FIM__}}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{{NUM_CONSIDERACOES}}. CONSIDERAÇÕES FINAIS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9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{{__SUMLINE_ANEXOS_INI__}}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{{NUM_ANEXOS}}. ANEXOS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9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{{__SUMLINE_ANEXOS_FIM__}}</w:t>
      </w:r>
    </w:p>
    <w:p>
      <w:pPr>
        <w:spacing w:after="0" w:before="0" w:line="20" w:lineRule="exact"/>
        <w:rPr>
          <w:sz w:val="2"/>
          <w:szCs w:val="2"/>
        </w:rPr>
        <w:sectPr>
          <w:headerReference w:type="default" r:id="rId7"/>
          <w:footerReference w:type="default" r:id="rId8"/>
          <w:type w:val="nextPage"/>
          <w:pgSz w:w="12240" w:h="15840" w:orient="portrait"/>
          <w:pgMar w:top="1701" w:right="1134" w:bottom="1134" w:left="1701" w:header="708" w:footer="708" w:gutter="0"/>
          <w:pgNumType/>
          <w:docGrid w:linePitch="360"/>
        </w:sectPr>
      </w:pP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{{NUM_INTRODUCAO}}. INTRODUÇÃO</w:t>
      </w:r>
    </w:p>
    <w:p>
      <w:pPr>
        <w:spacing w:after="0" w:before="3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presente relatório tem por objetivo consolidar as atividades de operação, manutenção preventiva e manutenção corretiva realizadas na Estação de Tratamento de Esgotos (ETE) do empreendimento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{{CLIENTE_NOME}}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localizada em {{CLIENTE_ENDERECO}}, inscrita no CNPJ sob o nº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{{CLIENTE_CNPJ}}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sob responsabilidade técnica da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{{EMPRESA_NOME}}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atividades descritas neste relatório abrangem o período de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{{INTRO_PERIODO}}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contemplando os registros operacionais da ETE, os serviços executados e as ações adotadas para assegurar o adequado desempenho do sistema de tratamento.</w:t>
      </w:r>
    </w:p>
    <w:p>
      <w:pPr>
        <w:keepNext/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{{__SECAO_LAB_INI__}}O relatório também reúne os resultados das análises laboratoriais efetuadas pelo laboratório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nos meses de {{INTRO_MESES_LAB}}, incluindo a avaliação da eficiência do tratamento quanto à remoção de carga orgânica e a verificação da conformidade do efluente tratado em relação aos padrões de lançamento estabelecidos pela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Resolução CONAMA nº 430/2011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e demais normativas aplicáveis.{{__SECAO_LAB_FIM__}}</w:t>
      </w:r>
    </w:p>
    <w:p>
      <w:pPr>
        <w:keepNext/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{{NUM_DADOS}}. DADOS DO EMPREENDIMENTO</w:t>
      </w:r>
    </w:p>
    <w:tbl>
      <w:tblPr>
        <w:tblW w:type="dxa" w:w="9360"/>
        <w:tblLayout w:type="fixed"/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Empreendimento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{{CLIENTE_NOME}}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CNPJ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{{CLIENTE_CNPJ}}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Endereço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{{CLIENTE_ENDERECO}}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Tipo de Sistema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{{TIPO_SISTEMA}}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Resp. Técnico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{{RT_NOME}}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Executora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{{EMPRESA_NOME}}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Laboratório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{{LABORATORIO}}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Período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{{PERIODO_ATIVIDADES}}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{{__SECAO_QUADRO_INI__}}</w:t>
      </w:r>
    </w:p>
    <w:p>
      <w:pPr>
        <w:keepNext/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{{NUM_QUADRO}}. QUADRO RESUMO DAS ATIVIDADES</w:t>
      </w:r>
    </w:p>
    <w:p>
      <w:pPr>
        <w:keepNext/>
        <w:spacing w:after="180" w:before="3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tabela a seguir sintetiza as principais intervenções realizadas em cada competência. Os detalhes técnicos, registros fotográficos e medidas corretivas constam nas seções subsequentes.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800"/>
        <w:gridCol w:w="1760"/>
      </w:tblGrid>
      <w:tr>
        <w:trPr>
          <w:cantSplit/>
          <w:tblHeader/>
        </w:trPr>
        <w:tc>
          <w:tcPr>
            <w:tcW w:type="dxa" w:w="1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Mês/Ano</w:t>
            </w:r>
          </w:p>
        </w:tc>
        <w:tc>
          <w:tcPr>
            <w:tcW w:type="dxa" w:w="5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Atividades Realizadas</w:t>
            </w:r>
          </w:p>
        </w:tc>
        <w:tc>
          <w:tcPr>
            <w:tcW w:type="dxa" w:w="17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Classificação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{{QUADRO1_MES_ANO}}</w:t>
            </w:r>
          </w:p>
        </w:tc>
        <w:tc>
          <w:tcPr>
            <w:tcW w:type="dxa" w:w="5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{{QUADRO1_ATIVIDADE}}</w:t>
            </w:r>
          </w:p>
        </w:tc>
        <w:tc>
          <w:tcPr>
            <w:tcW w:type="dxa" w:w="17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{{QUADRO1_CLASSIFICACAO}}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{{__SECAO_QUADRO_FIM__}}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{{__SECAO_DETALHAMENTO_INI__}}</w:t>
      </w:r>
    </w:p>
    <w:p>
      <w:pPr>
        <w:spacing w:after="0" w:before="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{{NUM_DETALHAMENTO}}. DETALHAMENTO DAS ATIVIDADES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{{__SECAO4_INICIO__}}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/>
          <w:iCs/>
          <w:color w:val="6B8195"/>
          <w:sz w:val="22"/>
          <w:szCs w:val="22"/>
        </w:rPr>
        <w:t xml:space="preserve">Conteúdo dinâmico das inspeções será inserido aqui pelo gerador.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{{__SECAO4_FIM__}}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{{__SECAO_DETALHAMENTO_FIM__}}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{{__SECAO_NCS_INI__}}</w:t>
      </w:r>
    </w:p>
    <w:p>
      <w:pPr>
        <w:keepNext/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{{NUM_NCS}}. NÃO CONFORMIDADES E MEDIDAS MITIGADORAS</w:t>
      </w:r>
    </w:p>
    <w:p>
      <w:pPr>
        <w:keepNext/>
        <w:spacing w:after="180" w:before="3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não conformidades e pendências operacionais identificadas no período estão consolidadas na tabela abaixo.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980"/>
        <w:gridCol w:w="3400"/>
        <w:gridCol w:w="1400"/>
        <w:gridCol w:w="980"/>
      </w:tblGrid>
      <w:tr>
        <w:trPr>
          <w:cantSplit/>
          <w:tblHeader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Nº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Não Conformidade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Medida Mitigadora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Prioridade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{{NC1_NUM}}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{{NC1_DESC}}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{{NC1_MEDIDA}}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{{NC1_PRIORIDADE}}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bCs/>
                <w:rFonts w:ascii="Verdana" w:cs="Verdana" w:eastAsia="Verdana" w:hAnsi="Verdana"/>
                <w:color w:val="000000"/>
                <w:sz w:val="20"/>
                <w:szCs w:val="20"/>
              </w:rPr>
              <w:t xml:space="preserve">{{NC1_STATUS}}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{{NC2_NUM}}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{{NC2_DESC}}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{{NC2_MEDIDA}}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{{NC2_PRIORIDADE}}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bCs/>
                <w:rFonts w:ascii="Verdana" w:cs="Verdana" w:eastAsia="Verdana" w:hAnsi="Verdana"/>
                <w:color w:val="000000"/>
                <w:sz w:val="20"/>
                <w:szCs w:val="20"/>
              </w:rPr>
              <w:t xml:space="preserve">{{NC2_STATUS}}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{{NC3_NUM}}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{{NC3_DESC}}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{{NC3_MEDIDA}}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{{NC3_PRIORIDADE}}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bCs/>
                <w:rFonts w:ascii="Verdana" w:cs="Verdana" w:eastAsia="Verdana" w:hAnsi="Verdana"/>
                <w:color w:val="000000"/>
                <w:sz w:val="20"/>
                <w:szCs w:val="20"/>
              </w:rPr>
              <w:t xml:space="preserve">{{NC3_STATUS}}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{{__SECAO_NCS_FIM__}}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{{__SECAO_EFICIENCIA_INI__}}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{{NUM_EFICIENCIA}}. EFICIÊNCIA OPERACIONAL DA ETE</w:t>
      </w:r>
    </w:p>
    <w:p>
      <w:pPr>
        <w:spacing w:after="180" w:before="3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No mês de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{{EFIC_MES}}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foi realizada uma campanha de monitoramento da qualidade do efluente, com coleta de amostras na entrada (efluente bruto) e na saída (efluente tratado) da ETE em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{{DATA_AMOSTRAGEM}}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 As análises foram executadas pelo laboratório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acreditado pela ABNT NBR ISO/IEC 17025.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Os parâmetros analisados foram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{{LISTA_PARAMETROS}}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conforme exigido pela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Resolução CONAMA nº 430/2011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para lançamento de efluentes em corpos receptores.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1100"/>
        <w:gridCol w:w="1300"/>
        <w:gridCol w:w="1300"/>
        <w:gridCol w:w="1200"/>
        <w:gridCol w:w="1500"/>
        <w:gridCol w:w="1700"/>
      </w:tblGrid>
      <w:tr>
        <w:trPr>
          <w:cantSplit/>
          <w:tblHeader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Parâmetro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Unidade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Efluente Bruto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Efluente Tratado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Eficiência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CONAMA 430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Conformidade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DBO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≤ 120 ou ≥ 60%</w:t>
            </w:r>
          </w:p>
        </w:tc>
        <w:tc>
          <w:tcPr>
            <w:tcW w:type="dxa" w:w="1260"/>
            <w:shd w:val="clear" w:color="auto" w:fill="AAA101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{{DBO_CONFORMIDADE}}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DQO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2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{{DQO_CONFORMIDADE}}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Nitrogênio Total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3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{{NTOTAL_CONFORMIDADE}}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Fósforo Total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4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{{PTOTAL_CONFORMIDADE}}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{{COLIFORMES_LABEL}}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NMP/100mL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5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{{COLIFORMES_CONFORMIDADE}}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pH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{{PH_BRUTO}}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{{PH_TRATADO}}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5 a 9</w:t>
            </w:r>
          </w:p>
        </w:tc>
        <w:tc>
          <w:tcPr>
            <w:tcW w:type="dxa" w:w="1260"/>
            <w:shd w:val="clear" w:color="auto" w:fill="AAA106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{{PH_CONFORMIDADE}}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Temperatura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°C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{{TEMP_BRUTO}}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{{TEMP_TRATADO}}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&lt; 40</w:t>
            </w:r>
          </w:p>
        </w:tc>
        <w:tc>
          <w:tcPr>
            <w:tcW w:type="dxa" w:w="1260"/>
            <w:shd w:val="clear" w:color="auto" w:fill="AAA107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{{TEMP_CONFORMIDADE}}</w:t>
            </w:r>
          </w:p>
        </w:tc>
      </w:tr>
    </w:tbl>
    <w:p>
      <w:pPr>
        <w:spacing w:after="120" w:before="60" w:line="240" w:lineRule="auto"/>
        <w:jc w:val="both"/>
      </w:pPr>
      <w:r>
        <w:rPr>
          <w:rFonts w:ascii="Verdana" w:cs="Verdana" w:eastAsia="Verdana" w:hAnsi="Verdana"/>
          <w:i/>
          <w:iCs/>
          <w:color w:val="595959"/>
          <w:sz w:val="16"/>
          <w:szCs w:val="16"/>
        </w:rPr>
        <w:t xml:space="preserve">{{LEGENDA_PARAMETROS}}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{{ANALISE_EFIC_1}}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{{ANALISE_EFIC_2}}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{{ANALISE_EFIC_3}}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{{__SECAO5_LIMPAR_1__}}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{{__SECAO_EFICIENCIA_FIM__}}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{{NUM_CONSIDERACOES}}. CONSIDERAÇÕES FINAIS</w:t>
      </w:r>
    </w:p>
    <w:p>
      <w:pPr>
        <w:spacing w:after="180" w:before="3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{{CONSID_P1}}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{{CONSID_P2}}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{{CONSID_P3}}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{{CONSID_P4}}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{{CONSID_P5}}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{{CONSID_P6}}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{{CONSID_P7}}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"/>
          <w:szCs w:val="2"/>
        </w:rPr>
        <w:t xml:space="preserve">{{__SECAO_ANEXOS_INI__}}</w:t>
      </w:r>
    </w:p>
    <w:p>
      <w:pPr>
        <w:spacing w:after="0" w:before="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{{NUM_ANEXOS}}. ANEXOS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Encontram-se anexados a este relatório os boletins de análise laboratorial emitidos pelo laboratório </w:t>
      </w:r>
      <w:r>
        <w:rPr>
          <w:rFonts w:ascii="Verdana" w:cs="Verdana" w:eastAsia="Verdana" w:hAnsi="Verdana"/>
          <w:b/>
          <w:bCs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color w:val="000000"/>
          <w:sz w:val="22"/>
          <w:szCs w:val="22"/>
        </w:rPr>
        <w:t xml:space="preserve">, referentes às amostras coletadas no período deste relatório:</w:t>
      </w:r>
    </w:p>
    <w:p>
      <w:pPr>
        <w:spacing w:after="40" w:before="4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{{ANEXO_1}}</w:t>
      </w:r>
    </w:p>
    <w:p>
      <w:pPr>
        <w:spacing w:after="40" w:before="4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{{ANEXO_2}}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"/>
          <w:szCs w:val="2"/>
        </w:rPr>
        <w:t xml:space="preserve">{{__SECAO_ANEXOS_FIM__}}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</w:t>
      </w:r>
    </w:p>
    <w:p>
      <w:pPr>
        <w:pBdr>
          <w:top w:val="single" w:color="0A2540" w:sz="6" w:space="4"/>
        </w:pBdr>
        <w:spacing w:after="80" w:before="240" w:line="360" w:lineRule="auto"/>
        <w:ind w:firstLine="708"/>
        <w:jc w:val="center"/>
      </w:pPr>
      <w:r>
        <w:rPr>
          <w:rFonts w:ascii="Verdana" w:cs="Verdana" w:eastAsia="Verdana" w:hAnsi="Verdana"/>
          <w:b/>
          <w:bCs/>
          <w:color w:val="000000"/>
          <w:sz w:val="22"/>
          <w:szCs w:val="22"/>
        </w:rPr>
        <w:t xml:space="preserve">{{RT_NOME}}</w:t>
      </w:r>
    </w:p>
    <w:p>
      <w:pPr>
        <w:spacing w:after="0" w:before="0" w:line="360" w:lineRule="auto"/>
        <w:ind w:firstLine="708"/>
        <w:jc w:val="center"/>
      </w:pPr>
      <w:r>
        <w:rPr>
          <w:rFonts w:ascii="Verdana" w:cs="Verdana" w:eastAsia="Verdana" w:hAnsi="Verdana"/>
          <w:color w:val="6B8195"/>
          <w:sz w:val="20"/>
          <w:szCs w:val="20"/>
        </w:rPr>
        <w:t xml:space="preserve">{{EMPRESA_NOME_UPPER}}</w:t>
      </w:r>
    </w:p>
    <w:sectPr>
      <w:headerReference w:type="default" r:id="rId9"/>
      <w:footerReference w:type="default" r:id="rId10"/>
      <w:type w:val="nextPage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spacing w:before="0" w:after="0" w:line="20" w:lineRule="exact"/>
      <w:rPr>
        <w:sz w:val="2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9426" w:sz="6" w:space="4"/>
      </w:pBdr>
      <w:spacing w:after="0" w:before="0"/>
      <w:jc w:val="center"/>
    </w:pPr>
    <w:r>
      <w:rPr>
        <w:rFonts w:ascii="Arial" w:cs="Arial" w:eastAsia="Arial" w:hAnsi="Arial"/>
        <w:color w:val="6B8195"/>
        <w:sz w:val="16"/>
        <w:szCs w:val="16"/>
      </w:rPr>
      <w:t xml:space="preserve">Página </w:t>
    </w:r>
    <w:r>
      <w:rPr>
        <w:rFonts w:ascii="Arial" w:cs="Arial" w:eastAsia="Arial" w:hAnsi="Arial"/>
        <w:b/>
        <w:bCs/>
        <w:color w:val="0A254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8195"/>
        <w:sz w:val="16"/>
        <w:szCs w:val="16"/>
      </w:rPr>
      <w:t xml:space="preserve"> de </w:t>
    </w:r>
    <w:r>
      <w:rPr>
        <w:rFonts w:ascii="Arial" w:cs="Arial" w:eastAsia="Arial" w:hAnsi="Arial"/>
        <w:b/>
        <w:bCs/>
        <w:color w:val="0A254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spacing w:before="0" w:after="0" w:line="20" w:lineRule="exact"/>
      <w:rPr>
        <w:sz w:val="2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9426" w:sz="8" w:space="4"/>
      </w:pBdr>
      <w:spacing w:after="0" w:before="0"/>
      <w:jc w:val="left"/>
    </w:pPr>
    <w:r>
      <w:rPr>
        <w:rFonts w:ascii="Arial" w:cs="Arial" w:eastAsia="Arial" w:hAnsi="Arial"/>
        <w:b/>
        <w:bCs/>
        <w:color w:val="0A2540"/>
        <w:sz w:val="18"/>
        <w:szCs w:val="18"/>
      </w:rPr>
      <w:t xml:space="preserve">{{EMPRESA_NOME}}</w:t>
    </w:r>
    <w:r>
      <w:rPr>
        <w:rFonts w:ascii="Arial" w:cs="Arial" w:eastAsia="Arial" w:hAnsi="Arial"/>
        <w:color w:val="6B8195"/>
        <w:sz w:val="18"/>
        <w:szCs w:val="18"/>
      </w:rPr>
      <w:t xml:space="preserve">  |  </w:t>
    </w:r>
    <w:r>
      <w:rPr>
        <w:rFonts w:ascii="Arial" w:cs="Arial" w:eastAsia="Arial" w:hAnsi="Arial"/>
        <w:i/>
        <w:iCs/>
        <w:color w:val="6B8195"/>
        <w:sz w:val="18"/>
        <w:szCs w:val="18"/>
      </w:rPr>
      <w:t xml:space="preserve">Relatório de Manutenção e Eficiência - ETE </w:t>
    </w:r>
    <w:r>
      <w:rPr>
        <w:rFonts w:ascii="Arial" w:cs="Arial" w:eastAsia="Arial" w:hAnsi="Arial"/>
        <w:i/>
        <w:iCs/>
        <w:color w:val="6B8195"/>
        <w:sz w:val="18"/>
        <w:szCs w:val="18"/>
      </w:rPr>
      <w:t xml:space="preserve">{{CLIENTE_NOME_CABECALHO}}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aa24a8b2cc4c43096d7d06051adcca3fcc45f9c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Relatório DLM</dc:title>
  <dc:creator>DLM Saneamento e Engenharia</dc:creator>
  <cp:lastModifiedBy>Un-named</cp:lastModifiedBy>
  <cp:revision>1</cp:revision>
  <dcterms:created xsi:type="dcterms:W3CDTF">2026-05-24T18:11:48.700Z</dcterms:created>
  <dcterms:modified xsi:type="dcterms:W3CDTF">2026-05-24T18:11:48.700Z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