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consolida as atividades de manutenção preventiva e corretiva executadas pela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na Estação de Tratamento de Esgoto (ETE) do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, localizado em {{CLIENTE_ENDERECO}}, inscrito sob o CNPJ {{CLIENTE_CNPJ}}.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intervenções descritas abrangem o período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incluem {{INTRO_ATIVIDADES}}</w:t>
      </w:r>
      <w:r>
        <w:rPr>
          <w:color w:val="FFFFFF"/>
          <w:sz w:val="2"/>
        </w:rPr>
        <w:t xml:space="preserve">{{__SECAO_LAB_INI__}}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O relatório apresenta, ainda, os resultados das análises laboratoriais realizadas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com avaliação da eficiência de remoção de carga orgânica e conformidade com os padrões de lançamento da Resolução CONAMA nº 430/2011.</w:t>
      </w:r>
      <w:r>
        <w:rPr>
          <w:color w:val="FFFFFF"/>
          <w:sz w:val="2"/>
        </w:rPr>
        <w:t xml:space="preserve">{{__SECAO_LAB_FIM__}}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A ETE opera sob o regime de {{TIPO_SISTEMA}}.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CNPJ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Endereço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Responsável Técnico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Empresa Executora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Período das Atividades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Coliformes Totais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