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FEF" w:sz="12"/>
              <w:left w:val="single" w:color="0A2540" w:sz="12"/>
              <w:bottom w:val="single" w:color="00AFEF" w:sz="12"/>
              <w:right w:val="single" w:color="0A2540" w:sz="12"/>
            </w:tcBorders>
            <w:shd w:fill="0A2540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RELATÓRIO TÉCNICO DE MANUTENÇÃO E EFICIÊNCIA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AFEF"/>
                <w:sz w:val="22"/>
                <w:szCs w:val="22"/>
              </w:rPr>
              <w:t xml:space="preserve">ESTAÇÃO DE TRATAMENTO DE ESGOTO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{{CLIENTE_NOME_UPPER}}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CNPJ: {{CLIENTE_CNPJ}}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{{CLIENTE_ENDERECO}}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AFEF"/>
                <w:sz w:val="22"/>
                <w:szCs w:val="22"/>
              </w:rPr>
              <w:t xml:space="preserve">Período: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{{PERIODO}}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Salvador, Bahia ·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{{DATA_EMISSAO}}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 </w:t>
      </w:r>
    </w:p>
    <w:p>
      <w:pPr>
        <w:spacing w:after="180" w:before="360"/>
        <w:jc w:val="center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SUMÁRIO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{{NUM_INTRODUCAO}}.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INTRODUÇÃO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8195"/>
          <w:sz w:val="22"/>
          <w:szCs w:val="22"/>
        </w:rPr>
        <w:t xml:space="preserve">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{{NUM_DADOS}}.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DADOS DO EMPREENDIMENTO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8195"/>
          <w:sz w:val="22"/>
          <w:szCs w:val="22"/>
        </w:rPr>
        <w:t xml:space="preserve">3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{{__SUMLINE_QUADRO_INI__}}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{{NUM_QUADRO}}.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QUADRO RESUMO DAS ATIVIDADES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8195"/>
          <w:sz w:val="22"/>
          <w:szCs w:val="22"/>
        </w:rPr>
        <w:t xml:space="preserve">4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{{__SUMLINE_QUADRO_FIM__}}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{{__SUMLINE_DETALHAMENTO_INI__}}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{{NUM_DETALHAMENTO}}.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DETALHAMENTO DAS ATIVIDADES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8195"/>
          <w:sz w:val="22"/>
          <w:szCs w:val="22"/>
        </w:rPr>
        <w:t xml:space="preserve">4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{{__SUMLINE_DETALHAMENTO_FIM__}}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{{__SUMLINE_EFICIENCIA_INI__}}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{{NUM_EFICIENCIA}}.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EFICIÊNCIA OPERACIONAL DA ETE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8195"/>
          <w:sz w:val="22"/>
          <w:szCs w:val="22"/>
        </w:rPr>
        <w:t xml:space="preserve">7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{{__SUMLINE_EFICIENCIA_FIM__}}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{{__SUMLINE_NCS_INI__}}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{{NUM_NCS}}.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NÃO CONFORMIDADES E MEDIDAS MITIGADORAS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8195"/>
          <w:sz w:val="22"/>
          <w:szCs w:val="22"/>
        </w:rPr>
        <w:t xml:space="preserve">8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{{__SUMLINE_NCS_FIM__}}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{{NUM_CONSIDERACOES}}.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CONSIDERAÇÕES FINAIS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6B8195"/>
          <w:sz w:val="22"/>
          <w:szCs w:val="22"/>
        </w:rPr>
        <w:t xml:space="preserve">9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{{NUM_INTRODUCAO}}. </w:t>
      </w: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INTRODUÇÃO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O presente relatório consolida as atividades de manutenção preventiva e corretiva executadas pela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{{EMPRESA_NOME}}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 na Estação de Tratamento de Esgoto (ETE) do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{{CLIENTE_NOME}}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, localizado em </w:t>
      </w: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{{CLIENTE_ENDERECO}}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, inscrito sob o CNPJ </w:t>
      </w: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{{CLIENTE_CNPJ}}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As intervenções descritas abrangem o período de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{{INTRO_PERIODO}}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 e incluem </w:t>
      </w: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{{INTRO_ATIVIDADES}}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. O relatório apresenta, ainda, os resultados das análises laboratoriais realizadas pelo laboratório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{{LABORATORIO}}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 nos meses de </w:t>
      </w: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{{INTRO_MESES_LAB}}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, com avaliação da eficiência de remoção de carga orgânica e conformidade com os padrões de lançamento da Resolução CONAMA nº 430/2011.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A ETE opera sob o regime de </w:t>
      </w: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{{TIPO_SISTEMA}}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. A manutenção periódica dos equipamentos eletromecânicos e da infraestrutura hidráulica é condição indispensável para o atendimento dos padrões de lançamento previstos na Resolução CONAMA nº 430/2011, na Lei Estadual nº 10.431/2006 e no Decreto Estadual nº 14.024/2012.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{{NUM_DADOS}}. </w:t>
      </w: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DADOS DO EMPREENDIMENTO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Empreendimento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{{CLIENTE_NOME}}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CNPJ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{{CLIENTE_CNPJ}}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Endereço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{{CLIENTE_ENDERECO}}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{{TIPO_SISTEMA}}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{{RT_NOME}}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Empresa Executora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{{EMPRESA_NOME}}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Laboratório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{{LABORATORIO}}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Período das Atividades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{{PERIODO_ATIVIDADES}}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{{__SECAO_QUADRO_INI__}}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{{NUM_QUADRO}}. </w:t>
      </w: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QUADRO RESUMO DAS ATIVIDADES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A tabela a seguir sintetiza as principais intervenções realizadas em cada competência. Os detalhes técnicos, registros fotográficos e medidas corretivas constam nas seções subsequentes.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Mês/Ano</w:t>
            </w:r>
          </w:p>
        </w:tc>
        <w:tc>
          <w:tcPr>
            <w:tcW w:type="dxa" w:w="5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Atividades Realizadas</w:t>
            </w:r>
          </w:p>
        </w:tc>
        <w:tc>
          <w:tcPr>
            <w:tcW w:type="dxa" w:w="17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1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{{QUADRO1_MES_ANO}}</w:t>
            </w:r>
          </w:p>
        </w:tc>
        <w:tc>
          <w:tcPr>
            <w:tcW w:type="dxa" w:w="5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{{QUADRO1_ATIVIDADE}}</w:t>
            </w:r>
          </w:p>
        </w:tc>
        <w:tc>
          <w:tcPr>
            <w:tcW w:type="dxa" w:w="17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{{QUADRO1_CLASSIFICACAO}}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{{__SECAO_QUADRO_FIM__}}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{{__SECAO_DETALHAMENTO_INI__}}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{{NUM_DETALHAMENTO}}. </w:t>
      </w: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DETALHAMENTO DAS ATIVIDADES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{{__SECAO4_INICIO__}}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B8195"/>
          <w:sz w:val="22"/>
          <w:szCs w:val="22"/>
        </w:rPr>
        <w:t xml:space="preserve">Conteúdo dinâmico das inspeções será inserido aqui pelo gerador.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{{__SECAO4_FIM__}}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{{__SECAO_DETALHAMENTO_FIM__}}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{{__SECAO_EFICIENCIA_INI__}}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{{NUM_EFICIENCIA}}. </w:t>
      </w: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EFICIÊNCIA OPERACIONAL DA ETE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No mês de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{{EFIC_MES}}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 foi realizada uma campanha de monitoramento da qualidade do efluente, com coleta de amostras na entrada (efluente bruto) e na saída (efluente tratado) da ETE. As análises foram executadas pelo laboratório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{{LABORATORIO}}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, acreditado pela ABNT NBR ISO/IEC 17025.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Os parâmetros analisados foram </w:t>
      </w: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{{LISTA_PARAMETROS}}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, conforme exigido pela Resolução CONAMA nº 430/2011 para lançamento de efluentes em corpos receptores</w:t>
      </w: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{{METODOLOGIA_OPCIONAL}}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Amostragem realizada em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{{DATA_AMOSTRAGEM}}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. Laudo nº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{{LAUDO_BRUTO}}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 (efluente bruto) e nº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{{LAUDO_TRATADO}}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 (efluente tratado). Elaboração dos laudos em </w:t>
      </w: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{{DATA_LAUDOS}}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300"/>
        <w:gridCol w:w="1300"/>
        <w:gridCol w:w="1200"/>
        <w:gridCol w:w="15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Unidade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Efluente Bruto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Efluente Tratado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Eficiência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CONAMA 430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Conformidade</w:t>
            </w:r>
          </w:p>
        </w:tc>
      </w:tr>
      <w:t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DBO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mg/L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{{DBO_BRUTO}}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{{DBO_TRATADO}}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{{DBO_EFIC}}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18"/>
                <w:szCs w:val="18"/>
              </w:rPr>
              <w:t xml:space="preserve">≤ 120 ou ≥ 60%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{{DBO_CONFORMIDADE}}</w:t>
            </w:r>
          </w:p>
        </w:tc>
      </w:tr>
      <w:t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DQO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mg/L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{{DQO_BRUTO}}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{{DQO_TRATADO}}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{{DQO_EFIC}}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Nitrogênio Total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mg/L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{{NTOTAL_BRUTO}}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{{NTOTAL_TRATADO}}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{{NTOTAL_EFIC}}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Fósforo Total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mg/L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{{PTOTAL_BRUTO}}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{{PTOTAL_TRATADO}}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{{PTOTAL_EFIC}}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Coliformes Totais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NMP/100mL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{{COLIFORMES_BRUTO}}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{{COLIFORMES_TRATADO}}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{{COLIFORMES_EFIC}}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pH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{{PH_BRUTO}}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{{PH_TRATADO}}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18"/>
                <w:szCs w:val="18"/>
              </w:rPr>
              <w:t xml:space="preserve">5 a 9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{{PH_CONFORMIDADE}}</w:t>
            </w:r>
          </w:p>
        </w:tc>
      </w:tr>
      <w:tr>
        <w:tc>
          <w:tcPr>
            <w:tcW w:type="dxa" w:w="17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11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°C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{{TEMP_BRUTO}}</w:t>
            </w:r>
          </w:p>
        </w:tc>
        <w:tc>
          <w:tcPr>
            <w:tcW w:type="dxa" w:w="13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{{TEMP_TRATADO}}</w:t>
            </w:r>
          </w:p>
        </w:tc>
        <w:tc>
          <w:tcPr>
            <w:tcW w:type="dxa" w:w="12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18"/>
                <w:szCs w:val="18"/>
              </w:rPr>
              <w:t xml:space="preserve">&lt; 40</w:t>
            </w:r>
          </w:p>
        </w:tc>
        <w:tc>
          <w:tcPr>
            <w:tcW w:type="dxa" w:w="12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{{TEMP_CONFORMIDADE}}</w:t>
            </w:r>
          </w:p>
        </w:tc>
      </w:tr>
    </w:tbl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{{ANALISE_EFIC_1}}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{{ANALISE_EFIC_2}}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{{ANALISE_EFIC_3}}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{{__SECAO5_LIMPAR_1__}}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{{__SECAO_EFICIENCIA_FIM__}}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{{__SECAO_NCS_INI__}}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{{NUM_NCS}}. </w:t>
      </w: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NÃO CONFORMIDADES E MEDIDAS MITIGADORAS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As não conformidades e pendências operacionais identificadas no período estão consolidadas na tabela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400"/>
        <w:gridCol w:w="980"/>
        <w:gridCol w:w="980"/>
      </w:tblGrid>
      <w:tr>
        <w:trPr>
          <w:tblHeader/>
        </w:trP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Nº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Não Conformidade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Medida Mitigadora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{{NC1_NUM}}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{{NC1_DESC}}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{{NC1_MEDIDA}}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{{NC1_PRIORIDADE}}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{{NC1_STATUS}}</w:t>
            </w:r>
          </w:p>
        </w:tc>
      </w:tr>
      <w:t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{{NC2_NUM}}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{{NC2_DESC}}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{{NC2_MEDIDA}}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{{NC2_PRIORIDADE}}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{{NC2_STATUS}}</w:t>
            </w:r>
          </w:p>
        </w:tc>
      </w:tr>
      <w:t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{{NC3_NUM}}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{{NC3_DESC}}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{{NC3_MEDIDA}}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{{NC3_PRIORIDADE}}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2540"/>
                <w:sz w:val="20"/>
                <w:szCs w:val="20"/>
              </w:rPr>
              <w:t xml:space="preserve">{{NC3_STATUS}}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>{{__SECAO_NCS_FIM__}}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{{NUM_CONSIDERACOES}}. </w:t>
      </w: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CONSIDERAÇÕES FINAIS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{{CONSID_P1}}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{{CONSID_P2}}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{{CONSID_P3}}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{{CONSID_P4}}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{{CONSID_P5}}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{{CONSID_P6}}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color w:val="0A2540"/>
          <w:sz w:val="22"/>
          <w:szCs w:val="22"/>
        </w:rPr>
        <w:t xml:space="preserve">{{CONSID_P7}}</w:t>
      </w:r>
    </w:p>
    <w:p>
      <w:pPr>
        <w:spacing w:after="0" w:before="4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2540"/>
          <w:sz w:val="22"/>
          <w:szCs w:val="22"/>
        </w:rPr>
        <w:t xml:space="preserve"> </w:t>
      </w:r>
    </w:p>
    <w:p>
      <w:pPr>
        <w:pBdr>
          <w:top w:val="single" w:color="0A2540" w:sz="6" w:space="4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{{RT_NOME}}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8195"/>
          <w:sz w:val="20"/>
          <w:szCs w:val="20"/>
        </w:rPr>
        <w:t xml:space="preserve">{{EMPRESA_NOME_UPPER}}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6EE" w:sz="6" w:space="4"/>
      </w:pBdr>
      <w:spacing w:after="0" w:before="0"/>
      <w:jc w:val="right"/>
    </w:pPr>
    <w:r>
      <w:rPr>
        <w:rFonts w:ascii="Arial" w:cs="Arial" w:eastAsia="Arial" w:hAnsi="Arial"/>
        <w:color w:val="6B8195"/>
        <w:sz w:val="16"/>
        <w:szCs w:val="16"/>
      </w:rPr>
      <w:t xml:space="preserve">Página </w:t>
    </w:r>
    <w:r>
      <w:rPr>
        <w:rFonts w:ascii="Arial" w:cs="Arial" w:eastAsia="Arial" w:hAnsi="Arial"/>
        <w:b/>
        <w:bCs/>
        <w:color w:val="0A25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8195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0A25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FEF" w:sz="8" w:space="4"/>
      </w:pBdr>
      <w:spacing w:after="0" w:before="0"/>
      <w:jc w:val="left"/>
    </w:pPr>
    <w:r>
      <w:rPr>
        <w:rFonts w:ascii="Arial" w:cs="Arial" w:eastAsia="Arial" w:hAnsi="Arial"/>
        <w:b/>
        <w:bCs/>
        <w:color w:val="0A2540"/>
        <w:sz w:val="18"/>
        <w:szCs w:val="18"/>
      </w:rPr>
      <w:t xml:space="preserve">{{EMPRESA_NOME}}</w:t>
    </w:r>
    <w:r>
      <w:rPr>
        <w:rFonts w:ascii="Arial" w:cs="Arial" w:eastAsia="Arial" w:hAnsi="Arial"/>
        <w:color w:val="6B8195"/>
        <w:sz w:val="18"/>
        <w:szCs w:val="18"/>
      </w:rPr>
      <w:t xml:space="preserve">  |  </w:t>
    </w:r>
    <w:r>
      <w:rPr>
        <w:rFonts w:ascii="Arial" w:cs="Arial" w:eastAsia="Arial" w:hAnsi="Arial"/>
        <w:i/>
        <w:iCs/>
        <w:color w:val="6B8195"/>
        <w:sz w:val="18"/>
        <w:szCs w:val="18"/>
      </w:rPr>
      <w:t xml:space="preserve">Relatório de Manutenção e Eficiência - ETE </w:t>
    </w:r>
    <w:r>
      <w:rPr>
        <w:rFonts w:ascii="Arial" w:cs="Arial" w:eastAsia="Arial" w:hAnsi="Arial"/>
        <w:i/>
        <w:iCs/>
        <w:color w:val="6B8195"/>
        <w:sz w:val="18"/>
        <w:szCs w:val="18"/>
      </w:rPr>
      <w:t xml:space="preserve">{{CLIENTE_NOME_CABECALHO}}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Relatório DLM</dc:title>
  <dc:creator>DLM Saneamento e Engenharia</dc:creator>
  <cp:lastModifiedBy>Un-named</cp:lastModifiedBy>
  <cp:revision>1</cp:revision>
  <dcterms:created xsi:type="dcterms:W3CDTF">2026-05-24T17:09:29.027Z</dcterms:created>
  <dcterms:modified xsi:type="dcterms:W3CDTF">2026-05-24T17:09:29.027Z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