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consolida as atividades de manutenção preventiva e corretiva executadas pela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{{EMPRESA_NOME}}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na Estação de Tratamento de Esgoto (ETE) do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, localizado em {{CLIENTE_ENDERECO}}, inscrito sob o CNPJ {{CLIENTE_CNPJ}}.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intervenções descritas abrangem o período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incluem {{INTRO_ATIVIDADES}}</w:t>
      </w:r>
      <w:r>
        <w:rPr>
          <w:color w:val="FFFFFF"/>
          <w:sz w:val="2"/>
        </w:rPr>
        <w:t xml:space="preserve">{{__SECAO_LAB_INI__}}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O relatório apresenta, ainda, os resultados das análises laboratoriais realizadas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com avaliação da eficiência de remoção de carga orgânica e conformidade com os padrões de lançamento da Resolução CONAMA nº 430/2011.</w:t>
      </w:r>
      <w:r>
        <w:rPr>
          <w:color w:val="FFFFFF"/>
          <w:sz w:val="2"/>
        </w:rPr>
        <w:t xml:space="preserve">{{__SECAO_LAB_FIM__}}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A ETE opera sob o regime de {{TIPO_SISTEMA}}. A manutenção periódica dos equipamentos eletromecânicos e da infraestrutura hidráulica é condição indispensável para o atendimento dos padrões de lançamento previstos na Resolução CONAMA nº 430/2011, na Lei Estadual nº 10.431/2006 e no Decreto Estadual nº 14.024/2012.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Borders>
          <w:top w:val="single" w:color="DDE6EE" w:sz="4"/>
          <w:left w:val="single" w:color="DDE6EE" w:sz="4"/>
          <w:bottom w:val="single" w:color="DDE6EE" w:sz="4"/>
          <w:right w:val="single" w:color="DDE6EE" w:sz="4"/>
          <w:insideH w:val="single" w:color="DDE6EE" w:sz="4"/>
          <w:insideV w:val="single" w:color="DDE6EE" w:sz="4"/>
        </w:tblBorders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80"/>
              <w:left w:type="dxa" w:w="120"/>
              <w:bottom w:type="dxa" w:w="80"/>
              <w:right w:type="dxa" w:w="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Coliformes Totais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