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360"/>
        <w:jc w:val="center"/>
      </w:pPr>
      <w:r>
        <w:rPr>
          <w:rFonts w:ascii="Calibri" w:hAnsi="Calibri" w:eastAsia="黑体"/>
          <w:b/>
          <w:color w:val="0B2545"/>
          <w:sz w:val="48"/>
        </w:rPr>
        <w:t>智能安全壳隔离阀泄漏率数据管理软件</w:t>
        <w:br/>
        <w:t>操作规程</w:t>
      </w:r>
    </w:p>
    <w:p>
      <w:pPr>
        <w:spacing w:after="720"/>
        <w:jc w:val="center"/>
      </w:pPr>
      <w:r>
        <w:rPr>
          <w:color w:val="555555"/>
          <w:sz w:val="22"/>
        </w:rPr>
        <w:t>适用于数据库管理软件的日常操作、数据维护、上传下载、查询分析和备份管理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文档编号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待定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V1.0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适用范围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智能安全壳隔离阀泄漏率数据管理软件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编制日期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2026年5月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使用对象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系统管理员、数据管理员、试验工程师、数据分析人员</w:t>
            </w:r>
          </w:p>
        </w:tc>
      </w:tr>
    </w:tbl>
    <w:p/>
    <w:p>
      <w:r>
        <w:br w:type="page"/>
      </w:r>
    </w:p>
    <w:p>
      <w:pPr>
        <w:pStyle w:val="Heading1"/>
      </w:pPr>
      <w:r>
        <w:t>1. 目的</w:t>
      </w:r>
    </w:p>
    <w:p>
      <w:pPr>
        <w:spacing w:before="0" w:after="120" w:line="300" w:lineRule="auto"/>
      </w:pPr>
      <w:r>
        <w:t>为规范智能安全壳隔离阀泄漏率数据管理软件的使用过程，保证试验对象台账、测量装置数据、试验记录、统计分析结果和数据库备份等信息准确、完整、可追溯，特制定本操作规程。</w:t>
      </w:r>
    </w:p>
    <w:p>
      <w:pPr>
        <w:pStyle w:val="Heading1"/>
      </w:pPr>
      <w:r>
        <w:t>2. 适用范围</w:t>
      </w:r>
    </w:p>
    <w:p>
      <w:pPr>
        <w:spacing w:before="0" w:after="120" w:line="300" w:lineRule="auto"/>
      </w:pPr>
      <w:r>
        <w:t>本规程适用于数据管理软件的日常操作，包括用户登录、基础台账维护、测量装置管理、试验任务下发、试验数据上传、数据查询分析、报告导出、数据备份恢复和系统日志查看。</w:t>
      </w:r>
    </w:p>
    <w:p>
      <w:pPr>
        <w:spacing w:before="0" w:after="120" w:line="300" w:lineRule="auto"/>
      </w:pPr>
      <w:r>
        <w:t>本规程不适用于测量装置硬件操作、传感器校准、PID 过程控制、泄漏率计算模型验证和试验台架操作。上述内容应按对应设备或系统文件执行。</w:t>
      </w:r>
    </w:p>
    <w:p>
      <w:pPr>
        <w:pStyle w:val="Heading1"/>
      </w:pPr>
      <w:r>
        <w:t>3. 术语和缩略语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试验对象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需要进行泄漏率试验的阀门、贯穿件或其他密封性部件。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试验路径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按项目、机组、系统、贯穿件、阀门或部件形成的数据层级路径。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测量装置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智能安全壳隔离阀泄漏率测量装置，用于现场采集试验数据。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任务下发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将软件中配置的试验对象和试验参数下载到测量装置。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数据上传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将测量装置产生的试验结果和过程数据上传至数据库。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历史记录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同一试验对象历次试验形成的记录集合，上传新数据不得覆盖既有记录。</w:t>
            </w:r>
          </w:p>
        </w:tc>
      </w:tr>
    </w:tbl>
    <w:p/>
    <w:p>
      <w:pPr>
        <w:pStyle w:val="Heading1"/>
      </w:pPr>
      <w:r>
        <w:t>4. 角色与职责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系统管理员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负责账号、角色、权限、备份恢复、数据库迁移、系统日志和基础参数维护。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数据管理员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负责项目、机组、系统、贯穿件、阀门、部件及测量装置台账维护。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试验工程师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负责选择试验对象、配置任务、下发任务、上传试验数据并核对结果。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数据分析人员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负责查询历史记录、查看趋势图、统计合格情况并导出分析结果。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只读用户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负责查看授权范围内的数据和报告，不进行新增、修改、删除和维护操作。</w:t>
            </w:r>
          </w:p>
        </w:tc>
      </w:tr>
    </w:tbl>
    <w:p/>
    <w:p>
      <w:pPr>
        <w:pStyle w:val="Heading1"/>
      </w:pPr>
      <w:r>
        <w:t>5. 操作前准备</w:t>
      </w:r>
    </w:p>
    <w:p>
      <w:pPr>
        <w:pStyle w:val="ListBullet"/>
        <w:spacing w:before="0" w:after="80" w:line="300" w:lineRule="auto"/>
      </w:pPr>
      <w:r>
        <w:t>确认计算机、数据库服务和数据管理软件运行正常。</w:t>
      </w:r>
    </w:p>
    <w:p>
      <w:pPr>
        <w:pStyle w:val="ListBullet"/>
        <w:spacing w:before="0" w:after="80" w:line="300" w:lineRule="auto"/>
      </w:pPr>
      <w:r>
        <w:t>确认当前用户已获得相应操作权限。</w:t>
      </w:r>
    </w:p>
    <w:p>
      <w:pPr>
        <w:pStyle w:val="ListBullet"/>
        <w:spacing w:before="0" w:after="80" w:line="300" w:lineRule="auto"/>
      </w:pPr>
      <w:r>
        <w:t>确认项目、机组、系统、贯穿件、阀门或部件基础台账已建立，或具备维护权限。</w:t>
      </w:r>
    </w:p>
    <w:p>
      <w:pPr>
        <w:pStyle w:val="ListBullet"/>
        <w:spacing w:before="0" w:after="80" w:line="300" w:lineRule="auto"/>
      </w:pPr>
      <w:r>
        <w:t>进行任务下发或数据上传前，确认测量装置已按约定方式连接，并处于可通信状态。</w:t>
      </w:r>
    </w:p>
    <w:p>
      <w:pPr>
        <w:pStyle w:val="ListBullet"/>
        <w:spacing w:before="0" w:after="80" w:line="300" w:lineRule="auto"/>
      </w:pPr>
      <w:r>
        <w:t>进行数据库恢复、迁移等高权限操作前，应先完成现有数据备份，并取得授权。</w:t>
      </w:r>
    </w:p>
    <w:p>
      <w:pPr>
        <w:pStyle w:val="Heading1"/>
      </w:pPr>
      <w:r>
        <w:t>6. 总体操作流程</w:t>
      </w:r>
    </w:p>
    <w:p>
      <w:pPr>
        <w:pStyle w:val="ListNumber"/>
        <w:spacing w:before="0" w:after="80" w:line="300" w:lineRule="auto"/>
      </w:pPr>
      <w:r>
        <w:t>用户登录软件，确认当前角色和权限。</w:t>
      </w:r>
    </w:p>
    <w:p>
      <w:pPr>
        <w:pStyle w:val="ListNumber"/>
        <w:spacing w:before="0" w:after="80" w:line="300" w:lineRule="auto"/>
      </w:pPr>
      <w:r>
        <w:t>维护或核对项目、机组、系统、贯穿件、阀门及其他部件台账。</w:t>
      </w:r>
    </w:p>
    <w:p>
      <w:pPr>
        <w:pStyle w:val="ListNumber"/>
        <w:spacing w:before="0" w:after="80" w:line="300" w:lineRule="auto"/>
      </w:pPr>
      <w:r>
        <w:t>登记或核对测量装置信息。</w:t>
      </w:r>
    </w:p>
    <w:p>
      <w:pPr>
        <w:pStyle w:val="ListNumber"/>
        <w:spacing w:before="0" w:after="80" w:line="300" w:lineRule="auto"/>
      </w:pPr>
      <w:r>
        <w:t>选择试验对象路径，生成试验任务。</w:t>
      </w:r>
    </w:p>
    <w:p>
      <w:pPr>
        <w:pStyle w:val="ListNumber"/>
        <w:spacing w:before="0" w:after="80" w:line="300" w:lineRule="auto"/>
      </w:pPr>
      <w:r>
        <w:t>将试验任务下载至测量装置。</w:t>
      </w:r>
    </w:p>
    <w:p>
      <w:pPr>
        <w:pStyle w:val="ListNumber"/>
        <w:spacing w:before="0" w:after="80" w:line="300" w:lineRule="auto"/>
      </w:pPr>
      <w:r>
        <w:t>现场试验完成后，从测量装置上传试验数据。</w:t>
      </w:r>
    </w:p>
    <w:p>
      <w:pPr>
        <w:pStyle w:val="ListNumber"/>
        <w:spacing w:before="0" w:after="80" w:line="300" w:lineRule="auto"/>
      </w:pPr>
      <w:r>
        <w:t>核对上传结果，确认数据已按时间顺序保存且未覆盖历史记录。</w:t>
      </w:r>
    </w:p>
    <w:p>
      <w:pPr>
        <w:pStyle w:val="ListNumber"/>
        <w:spacing w:before="0" w:after="80" w:line="300" w:lineRule="auto"/>
      </w:pPr>
      <w:r>
        <w:t>查询试验记录，查看泄漏率趋势、合格情况和统计分析结果。</w:t>
      </w:r>
    </w:p>
    <w:p>
      <w:pPr>
        <w:pStyle w:val="ListNumber"/>
        <w:spacing w:before="0" w:after="80" w:line="300" w:lineRule="auto"/>
      </w:pPr>
      <w:r>
        <w:t>按需要导出报告或数据文件。</w:t>
      </w:r>
    </w:p>
    <w:p>
      <w:pPr>
        <w:pStyle w:val="ListNumber"/>
        <w:spacing w:before="0" w:after="80" w:line="300" w:lineRule="auto"/>
      </w:pPr>
      <w:r>
        <w:t>按备份策略执行数据库备份，并定期检查备份可用性。</w:t>
      </w:r>
    </w:p>
    <w:p>
      <w:pPr>
        <w:pStyle w:val="Heading1"/>
      </w:pPr>
      <w:r>
        <w:t>7. 账号登录与退出</w:t>
      </w:r>
    </w:p>
    <w:p>
      <w:pPr>
        <w:pStyle w:val="Heading2"/>
      </w:pPr>
      <w:r>
        <w:t>7.1 登录</w:t>
      </w:r>
    </w:p>
    <w:p>
      <w:pPr>
        <w:pStyle w:val="ListNumber"/>
        <w:spacing w:before="0" w:after="80" w:line="300" w:lineRule="auto"/>
      </w:pPr>
      <w:r>
        <w:t>启动数据管理软件。</w:t>
      </w:r>
    </w:p>
    <w:p>
      <w:pPr>
        <w:pStyle w:val="ListNumber"/>
        <w:spacing w:before="0" w:after="80" w:line="300" w:lineRule="auto"/>
      </w:pPr>
      <w:r>
        <w:t>在登录界面输入用户名和密码。</w:t>
      </w:r>
    </w:p>
    <w:p>
      <w:pPr>
        <w:pStyle w:val="ListNumber"/>
        <w:spacing w:before="0" w:after="80" w:line="300" w:lineRule="auto"/>
      </w:pPr>
      <w:r>
        <w:t>点击“登录”。</w:t>
      </w:r>
    </w:p>
    <w:p>
      <w:pPr>
        <w:pStyle w:val="ListNumber"/>
        <w:spacing w:before="0" w:after="80" w:line="300" w:lineRule="auto"/>
      </w:pPr>
      <w:r>
        <w:t>登录成功后，确认首页显示的用户名称、角色和系统状态信息正确。</w:t>
      </w:r>
    </w:p>
    <w:p>
      <w:pPr>
        <w:pStyle w:val="Heading2"/>
      </w:pPr>
      <w:r>
        <w:t>7.2 退出</w:t>
      </w:r>
    </w:p>
    <w:p>
      <w:pPr>
        <w:pStyle w:val="ListNumber"/>
        <w:spacing w:before="0" w:after="80" w:line="300" w:lineRule="auto"/>
      </w:pPr>
      <w:r>
        <w:t>确认当前数据维护、上传、下载或导出操作已完成。</w:t>
      </w:r>
    </w:p>
    <w:p>
      <w:pPr>
        <w:pStyle w:val="ListNumber"/>
        <w:spacing w:before="0" w:after="80" w:line="300" w:lineRule="auto"/>
      </w:pPr>
      <w:r>
        <w:t>点击“退出登录”或关闭软件。</w:t>
      </w:r>
    </w:p>
    <w:p>
      <w:pPr>
        <w:pStyle w:val="ListNumber"/>
        <w:spacing w:before="0" w:after="80" w:line="300" w:lineRule="auto"/>
      </w:pPr>
      <w:r>
        <w:t>如系统提示存在未完成操作，应先完成或取消相关操作后再退出。</w:t>
      </w:r>
    </w:p>
    <w:p>
      <w:pPr>
        <w:pStyle w:val="Heading1"/>
      </w:pPr>
      <w:r>
        <w:t>8. 基础台账维护</w:t>
      </w:r>
    </w:p>
    <w:p>
      <w:pPr>
        <w:pStyle w:val="Heading2"/>
      </w:pPr>
      <w:r>
        <w:t>8.1 项目和机组维护</w:t>
      </w:r>
    </w:p>
    <w:p>
      <w:pPr>
        <w:pStyle w:val="ListNumber"/>
        <w:spacing w:before="0" w:after="80" w:line="300" w:lineRule="auto"/>
      </w:pPr>
      <w:r>
        <w:t>进入“资产管理”或“基础台账”模块。</w:t>
      </w:r>
    </w:p>
    <w:p>
      <w:pPr>
        <w:pStyle w:val="ListNumber"/>
        <w:spacing w:before="0" w:after="80" w:line="300" w:lineRule="auto"/>
      </w:pPr>
      <w:r>
        <w:t>新建项目，填写项目名称、项目编号、备注等信息。</w:t>
      </w:r>
    </w:p>
    <w:p>
      <w:pPr>
        <w:pStyle w:val="ListNumber"/>
        <w:spacing w:before="0" w:after="80" w:line="300" w:lineRule="auto"/>
      </w:pPr>
      <w:r>
        <w:t>在项目下新建机组，填写机组号、机组名称和备注。</w:t>
      </w:r>
    </w:p>
    <w:p>
      <w:pPr>
        <w:pStyle w:val="ListNumber"/>
        <w:spacing w:before="0" w:after="80" w:line="300" w:lineRule="auto"/>
      </w:pPr>
      <w:r>
        <w:t>保存后检查项目和机组是否出现在左侧路径树或列表中。</w:t>
      </w:r>
    </w:p>
    <w:p>
      <w:pPr>
        <w:pStyle w:val="Heading2"/>
      </w:pPr>
      <w:r>
        <w:t>8.2 系统、贯穿件和部件路径维护</w:t>
      </w:r>
    </w:p>
    <w:p>
      <w:pPr>
        <w:pStyle w:val="ListNumber"/>
        <w:spacing w:before="0" w:after="80" w:line="300" w:lineRule="auto"/>
      </w:pPr>
      <w:r>
        <w:t>选择目标项目和机组。</w:t>
      </w:r>
    </w:p>
    <w:p>
      <w:pPr>
        <w:pStyle w:val="ListNumber"/>
        <w:spacing w:before="0" w:after="80" w:line="300" w:lineRule="auto"/>
      </w:pPr>
      <w:r>
        <w:t>新建工艺系统，填写系统名称和系统编码。</w:t>
      </w:r>
    </w:p>
    <w:p>
      <w:pPr>
        <w:pStyle w:val="ListNumber"/>
        <w:spacing w:before="0" w:after="80" w:line="300" w:lineRule="auto"/>
      </w:pPr>
      <w:r>
        <w:t>根据现场管理需要，在系统下新建贯穿件路径，也可直接新建阀门或其他密封性部件路径。</w:t>
      </w:r>
    </w:p>
    <w:p>
      <w:pPr>
        <w:pStyle w:val="ListNumber"/>
        <w:spacing w:before="0" w:after="80" w:line="300" w:lineRule="auto"/>
      </w:pPr>
      <w:r>
        <w:t>保存后检查层级关系是否正确。</w:t>
      </w:r>
    </w:p>
    <w:p>
      <w:pPr>
        <w:pStyle w:val="Heading2"/>
      </w:pPr>
      <w:r>
        <w:t>8.3 阀门和其他部件维护</w:t>
      </w:r>
    </w:p>
    <w:p>
      <w:pPr>
        <w:pStyle w:val="ListNumber"/>
        <w:spacing w:before="0" w:after="80" w:line="300" w:lineRule="auto"/>
      </w:pPr>
      <w:r>
        <w:t>选择对应路径，点击“新建阀门”或“新建部件”。</w:t>
      </w:r>
    </w:p>
    <w:p>
      <w:pPr>
        <w:pStyle w:val="ListNumber"/>
        <w:spacing w:before="0" w:after="80" w:line="300" w:lineRule="auto"/>
      </w:pPr>
      <w:r>
        <w:t>填写设备位号、部件类型、阀门类型、泄漏率限值、试验压力等信息。</w:t>
      </w:r>
    </w:p>
    <w:p>
      <w:pPr>
        <w:pStyle w:val="ListNumber"/>
        <w:spacing w:before="0" w:after="80" w:line="300" w:lineRule="auto"/>
      </w:pPr>
      <w:r>
        <w:t>核对关键参数，确认无误后保存。</w:t>
      </w:r>
    </w:p>
    <w:p>
      <w:pPr>
        <w:pStyle w:val="ListNumber"/>
        <w:spacing w:before="0" w:after="80" w:line="300" w:lineRule="auto"/>
      </w:pPr>
      <w:r>
        <w:t>如需修改，选择目标对象后点击“编辑”；如需删除，应确认该对象无有效历史数据或按客户管理要求执行。</w:t>
      </w:r>
    </w:p>
    <w:p>
      <w:pPr>
        <w:pStyle w:val="Heading1"/>
      </w:pPr>
      <w:r>
        <w:t>9. 测量装置管理</w:t>
      </w:r>
    </w:p>
    <w:p>
      <w:pPr>
        <w:pStyle w:val="ListNumber"/>
        <w:spacing w:before="0" w:after="80" w:line="300" w:lineRule="auto"/>
      </w:pPr>
      <w:r>
        <w:t>进入“测量装置管理”模块。</w:t>
      </w:r>
    </w:p>
    <w:p>
      <w:pPr>
        <w:pStyle w:val="ListNumber"/>
        <w:spacing w:before="0" w:after="80" w:line="300" w:lineRule="auto"/>
      </w:pPr>
      <w:r>
        <w:t>点击“新增装置”，填写装置编号、名称、型号、序列号、通信方式和备注。</w:t>
      </w:r>
    </w:p>
    <w:p>
      <w:pPr>
        <w:pStyle w:val="ListNumber"/>
        <w:spacing w:before="0" w:after="80" w:line="300" w:lineRule="auto"/>
      </w:pPr>
      <w:r>
        <w:t>保存后检查装置是否进入装置列表。</w:t>
      </w:r>
    </w:p>
    <w:p>
      <w:pPr>
        <w:pStyle w:val="ListNumber"/>
        <w:spacing w:before="0" w:after="80" w:line="300" w:lineRule="auto"/>
      </w:pPr>
      <w:r>
        <w:t>连接测量装置后，查看状态是否显示为在线或最近同步时间是否更新。</w:t>
      </w:r>
    </w:p>
    <w:p>
      <w:pPr>
        <w:pStyle w:val="ListNumber"/>
        <w:spacing w:before="0" w:after="80" w:line="300" w:lineRule="auto"/>
      </w:pPr>
      <w:r>
        <w:t>如装置更换或停用，应及时更新装置状态，保留历史数据来源信息。</w:t>
      </w:r>
    </w:p>
    <w:p>
      <w:pPr>
        <w:pStyle w:val="Heading1"/>
      </w:pPr>
      <w:r>
        <w:t>10. 试验任务下发</w:t>
      </w:r>
    </w:p>
    <w:p>
      <w:pPr>
        <w:pStyle w:val="ListNumber"/>
        <w:spacing w:before="0" w:after="80" w:line="300" w:lineRule="auto"/>
      </w:pPr>
      <w:r>
        <w:t>进入“任务管理”或“任务下发”模块。</w:t>
      </w:r>
    </w:p>
    <w:p>
      <w:pPr>
        <w:pStyle w:val="ListNumber"/>
        <w:spacing w:before="0" w:after="80" w:line="300" w:lineRule="auto"/>
      </w:pPr>
      <w:r>
        <w:t>选择需要下发的试验对象路径，可按系统、贯穿件、单个阀门或其他部件选择。</w:t>
      </w:r>
    </w:p>
    <w:p>
      <w:pPr>
        <w:pStyle w:val="ListNumber"/>
        <w:spacing w:before="0" w:after="80" w:line="300" w:lineRule="auto"/>
      </w:pPr>
      <w:r>
        <w:t>检查所选对象的泄漏率限值、试验压力、阀门类型等关键参数是否完整。</w:t>
      </w:r>
    </w:p>
    <w:p>
      <w:pPr>
        <w:pStyle w:val="ListNumber"/>
        <w:spacing w:before="0" w:after="80" w:line="300" w:lineRule="auto"/>
      </w:pPr>
      <w:r>
        <w:t>选择目标测量装置。</w:t>
      </w:r>
    </w:p>
    <w:p>
      <w:pPr>
        <w:pStyle w:val="ListNumber"/>
        <w:spacing w:before="0" w:after="80" w:line="300" w:lineRule="auto"/>
      </w:pPr>
      <w:r>
        <w:t>点击“生成任务”并确认任务内容。</w:t>
      </w:r>
    </w:p>
    <w:p>
      <w:pPr>
        <w:pStyle w:val="ListNumber"/>
        <w:spacing w:before="0" w:after="80" w:line="300" w:lineRule="auto"/>
      </w:pPr>
      <w:r>
        <w:t>点击“下载至装置”。</w:t>
      </w:r>
    </w:p>
    <w:p>
      <w:pPr>
        <w:pStyle w:val="ListNumber"/>
        <w:spacing w:before="0" w:after="80" w:line="300" w:lineRule="auto"/>
      </w:pPr>
      <w:r>
        <w:t>下载完成后查看系统提示，确认任务下发成功。</w:t>
      </w:r>
    </w:p>
    <w:p>
      <w:pPr>
        <w:pStyle w:val="ListNumber"/>
        <w:spacing w:before="0" w:after="80" w:line="300" w:lineRule="auto"/>
      </w:pPr>
      <w:r>
        <w:t>如下载失败，应查看失败原因，检查装置连接、权限、任务参数和通信配置后重试。</w:t>
      </w:r>
    </w:p>
    <w:p>
      <w:pPr>
        <w:pStyle w:val="Heading1"/>
      </w:pPr>
      <w:r>
        <w:t>11. 试验数据上传</w:t>
      </w:r>
    </w:p>
    <w:p>
      <w:pPr>
        <w:pStyle w:val="ListNumber"/>
        <w:spacing w:before="0" w:after="80" w:line="300" w:lineRule="auto"/>
      </w:pPr>
      <w:r>
        <w:t>确认测量装置已完成现场试验并保存试验数据。</w:t>
      </w:r>
    </w:p>
    <w:p>
      <w:pPr>
        <w:pStyle w:val="ListNumber"/>
        <w:spacing w:before="0" w:after="80" w:line="300" w:lineRule="auto"/>
      </w:pPr>
      <w:r>
        <w:t>连接测量装置，进入“数据上传”模块。</w:t>
      </w:r>
    </w:p>
    <w:p>
      <w:pPr>
        <w:pStyle w:val="ListNumber"/>
        <w:spacing w:before="0" w:after="80" w:line="300" w:lineRule="auto"/>
      </w:pPr>
      <w:r>
        <w:t>选择需要上传的数据范围，可按试验对象路径或测量装置数据包选择。</w:t>
      </w:r>
    </w:p>
    <w:p>
      <w:pPr>
        <w:pStyle w:val="ListNumber"/>
        <w:spacing w:before="0" w:after="80" w:line="300" w:lineRule="auto"/>
      </w:pPr>
      <w:r>
        <w:t>点击“读取数据”或“上传数据”。</w:t>
      </w:r>
    </w:p>
    <w:p>
      <w:pPr>
        <w:pStyle w:val="ListNumber"/>
        <w:spacing w:before="0" w:after="80" w:line="300" w:lineRule="auto"/>
      </w:pPr>
      <w:r>
        <w:t>系统解析数据后，核对试验对象、测量装置编号、试验时间、最终泄漏率和判定结果。</w:t>
      </w:r>
    </w:p>
    <w:p>
      <w:pPr>
        <w:pStyle w:val="ListNumber"/>
        <w:spacing w:before="0" w:after="80" w:line="300" w:lineRule="auto"/>
      </w:pPr>
      <w:r>
        <w:t>确认无误后执行入库。</w:t>
      </w:r>
    </w:p>
    <w:p>
      <w:pPr>
        <w:pStyle w:val="ListNumber"/>
        <w:spacing w:before="0" w:after="80" w:line="300" w:lineRule="auto"/>
      </w:pPr>
      <w:r>
        <w:t>上传完成后，进入试验记录列表，检查新增记录是否按时间顺序保存。</w:t>
      </w:r>
    </w:p>
    <w:p>
      <w:pPr>
        <w:pStyle w:val="ListNumber"/>
        <w:spacing w:before="0" w:after="80" w:line="300" w:lineRule="auto"/>
      </w:pPr>
      <w:r>
        <w:t>同一试验对象再次上传时，系统应新增历史记录，不得覆盖既有记录。</w:t>
      </w:r>
    </w:p>
    <w:p>
      <w:pPr>
        <w:pStyle w:val="Heading1"/>
      </w:pPr>
      <w:r>
        <w:t>12. 试验记录查询</w:t>
      </w:r>
    </w:p>
    <w:p>
      <w:pPr>
        <w:pStyle w:val="ListNumber"/>
        <w:spacing w:before="0" w:after="80" w:line="300" w:lineRule="auto"/>
      </w:pPr>
      <w:r>
        <w:t>进入“数据中心”或“试验记录查询”模块。</w:t>
      </w:r>
    </w:p>
    <w:p>
      <w:pPr>
        <w:pStyle w:val="ListNumber"/>
        <w:spacing w:before="0" w:after="80" w:line="300" w:lineRule="auto"/>
      </w:pPr>
      <w:r>
        <w:t>按项目、机组、系统、贯穿件、阀门、部件、测量装置、试验时间、结果状态等条件筛选。</w:t>
      </w:r>
    </w:p>
    <w:p>
      <w:pPr>
        <w:pStyle w:val="ListNumber"/>
        <w:spacing w:before="0" w:after="80" w:line="300" w:lineRule="auto"/>
      </w:pPr>
      <w:r>
        <w:t>点击“查询”。</w:t>
      </w:r>
    </w:p>
    <w:p>
      <w:pPr>
        <w:pStyle w:val="ListNumber"/>
        <w:spacing w:before="0" w:after="80" w:line="300" w:lineRule="auto"/>
      </w:pPr>
      <w:r>
        <w:t>在列表中查看试验时间、最终泄漏率、判定结果、操作人员和测量装置来源。</w:t>
      </w:r>
    </w:p>
    <w:p>
      <w:pPr>
        <w:pStyle w:val="ListNumber"/>
        <w:spacing w:before="0" w:after="80" w:line="300" w:lineRule="auto"/>
      </w:pPr>
      <w:r>
        <w:t>点击单条记录查看详情，包括基础信息、过程数据和上传日志。</w:t>
      </w:r>
    </w:p>
    <w:p>
      <w:pPr>
        <w:pStyle w:val="Heading1"/>
      </w:pPr>
      <w:r>
        <w:t>13. 数据分析与趋势查看</w:t>
      </w:r>
    </w:p>
    <w:p>
      <w:pPr>
        <w:pStyle w:val="ListNumber"/>
        <w:spacing w:before="0" w:after="80" w:line="300" w:lineRule="auto"/>
      </w:pPr>
      <w:r>
        <w:t>进入“分析中心”模块。</w:t>
      </w:r>
    </w:p>
    <w:p>
      <w:pPr>
        <w:pStyle w:val="ListNumber"/>
        <w:spacing w:before="0" w:after="80" w:line="300" w:lineRule="auto"/>
      </w:pPr>
      <w:r>
        <w:t>选择分析对象，可选择单个阀门、部件、系统、机组或阀门类型。</w:t>
      </w:r>
    </w:p>
    <w:p>
      <w:pPr>
        <w:pStyle w:val="ListNumber"/>
        <w:spacing w:before="0" w:after="80" w:line="300" w:lineRule="auto"/>
      </w:pPr>
      <w:r>
        <w:t>设置时间范围和筛选条件。</w:t>
      </w:r>
    </w:p>
    <w:p>
      <w:pPr>
        <w:pStyle w:val="ListNumber"/>
        <w:spacing w:before="0" w:after="80" w:line="300" w:lineRule="auto"/>
      </w:pPr>
      <w:r>
        <w:t>查看单个阀门泄漏率历史趋势图。</w:t>
      </w:r>
    </w:p>
    <w:p>
      <w:pPr>
        <w:pStyle w:val="ListNumber"/>
        <w:spacing w:before="0" w:after="80" w:line="300" w:lineRule="auto"/>
      </w:pPr>
      <w:r>
        <w:t>查看不同类型阀门泄漏率曲线对比。</w:t>
      </w:r>
    </w:p>
    <w:p>
      <w:pPr>
        <w:pStyle w:val="ListNumber"/>
        <w:spacing w:before="0" w:after="80" w:line="300" w:lineRule="auto"/>
      </w:pPr>
      <w:r>
        <w:t>查看故障类型趋势、试验次数、单次合格率和整台机组阀门合格情况。</w:t>
      </w:r>
    </w:p>
    <w:p>
      <w:pPr>
        <w:pStyle w:val="ListNumber"/>
        <w:spacing w:before="0" w:after="80" w:line="300" w:lineRule="auto"/>
      </w:pPr>
      <w:r>
        <w:t>对不合格记录进行定位，查看对应试验详情和过程数据。</w:t>
      </w:r>
    </w:p>
    <w:p>
      <w:pPr>
        <w:pStyle w:val="Heading1"/>
      </w:pPr>
      <w:r>
        <w:t>14. 报告与数据导出</w:t>
      </w:r>
    </w:p>
    <w:p>
      <w:pPr>
        <w:pStyle w:val="ListNumber"/>
        <w:spacing w:before="0" w:after="80" w:line="300" w:lineRule="auto"/>
      </w:pPr>
      <w:r>
        <w:t>在试验记录、分析结果或报告模块中选择需要导出的数据范围。</w:t>
      </w:r>
    </w:p>
    <w:p>
      <w:pPr>
        <w:pStyle w:val="ListNumber"/>
        <w:spacing w:before="0" w:after="80" w:line="300" w:lineRule="auto"/>
      </w:pPr>
      <w:r>
        <w:t>选择导出格式，如 Excel、PDF 或系统支持的其他格式。</w:t>
      </w:r>
    </w:p>
    <w:p>
      <w:pPr>
        <w:pStyle w:val="ListNumber"/>
        <w:spacing w:before="0" w:after="80" w:line="300" w:lineRule="auto"/>
      </w:pPr>
      <w:r>
        <w:t>确认导出内容包含项目、机组、系统、试验对象、试验时间、泄漏率、判定结果和操作人员等必要信息。</w:t>
      </w:r>
    </w:p>
    <w:p>
      <w:pPr>
        <w:pStyle w:val="ListNumber"/>
        <w:spacing w:before="0" w:after="80" w:line="300" w:lineRule="auto"/>
      </w:pPr>
      <w:r>
        <w:t>点击“导出”。</w:t>
      </w:r>
    </w:p>
    <w:p>
      <w:pPr>
        <w:pStyle w:val="ListNumber"/>
        <w:spacing w:before="0" w:after="80" w:line="300" w:lineRule="auto"/>
      </w:pPr>
      <w:r>
        <w:t>导出完成后检查文件内容是否完整。</w:t>
      </w:r>
    </w:p>
    <w:p>
      <w:pPr>
        <w:pStyle w:val="ListNumber"/>
        <w:spacing w:before="0" w:after="80" w:line="300" w:lineRule="auto"/>
      </w:pPr>
      <w:r>
        <w:t>导出的报告和数据文件应按客户文件管理要求归档。</w:t>
      </w:r>
    </w:p>
    <w:p>
      <w:pPr>
        <w:pStyle w:val="Heading1"/>
      </w:pPr>
      <w:r>
        <w:t>15. 数据备份、恢复与迁移</w:t>
      </w:r>
    </w:p>
    <w:p>
      <w:pPr>
        <w:pStyle w:val="Heading2"/>
      </w:pPr>
      <w:r>
        <w:t>15.1 手动备份</w:t>
      </w:r>
    </w:p>
    <w:p>
      <w:pPr>
        <w:pStyle w:val="ListNumber"/>
        <w:spacing w:before="0" w:after="80" w:line="300" w:lineRule="auto"/>
      </w:pPr>
      <w:r>
        <w:t>以系统管理员账号登录。</w:t>
      </w:r>
    </w:p>
    <w:p>
      <w:pPr>
        <w:pStyle w:val="ListNumber"/>
        <w:spacing w:before="0" w:after="80" w:line="300" w:lineRule="auto"/>
      </w:pPr>
      <w:r>
        <w:t>进入“系统设置”或“数据维护”模块。</w:t>
      </w:r>
    </w:p>
    <w:p>
      <w:pPr>
        <w:pStyle w:val="ListNumber"/>
        <w:spacing w:before="0" w:after="80" w:line="300" w:lineRule="auto"/>
      </w:pPr>
      <w:r>
        <w:t>选择“手动备份”。</w:t>
      </w:r>
    </w:p>
    <w:p>
      <w:pPr>
        <w:pStyle w:val="ListNumber"/>
        <w:spacing w:before="0" w:after="80" w:line="300" w:lineRule="auto"/>
      </w:pPr>
      <w:r>
        <w:t>确认备份路径和备份名称。</w:t>
      </w:r>
    </w:p>
    <w:p>
      <w:pPr>
        <w:pStyle w:val="ListNumber"/>
        <w:spacing w:before="0" w:after="80" w:line="300" w:lineRule="auto"/>
      </w:pPr>
      <w:r>
        <w:t>执行备份并等待系统提示备份成功。</w:t>
      </w:r>
    </w:p>
    <w:p>
      <w:pPr>
        <w:pStyle w:val="ListNumber"/>
        <w:spacing w:before="0" w:after="80" w:line="300" w:lineRule="auto"/>
      </w:pPr>
      <w:r>
        <w:t>记录备份时间、操作人员和备份文件位置。</w:t>
      </w:r>
    </w:p>
    <w:p>
      <w:pPr>
        <w:pStyle w:val="Heading2"/>
      </w:pPr>
      <w:r>
        <w:t>15.2 定期备份</w:t>
      </w:r>
    </w:p>
    <w:p>
      <w:pPr>
        <w:pStyle w:val="ListNumber"/>
        <w:spacing w:before="0" w:after="80" w:line="300" w:lineRule="auto"/>
      </w:pPr>
      <w:r>
        <w:t>进入备份策略配置页面。</w:t>
      </w:r>
    </w:p>
    <w:p>
      <w:pPr>
        <w:pStyle w:val="ListNumber"/>
        <w:spacing w:before="0" w:after="80" w:line="300" w:lineRule="auto"/>
      </w:pPr>
      <w:r>
        <w:t>设置备份周期、执行时间、保存位置和保留期限。</w:t>
      </w:r>
    </w:p>
    <w:p>
      <w:pPr>
        <w:pStyle w:val="ListNumber"/>
        <w:spacing w:before="0" w:after="80" w:line="300" w:lineRule="auto"/>
      </w:pPr>
      <w:r>
        <w:t>保存配置。</w:t>
      </w:r>
    </w:p>
    <w:p>
      <w:pPr>
        <w:pStyle w:val="ListNumber"/>
        <w:spacing w:before="0" w:after="80" w:line="300" w:lineRule="auto"/>
      </w:pPr>
      <w:r>
        <w:t>定期检查备份任务执行日志，确认备份文件生成正常。</w:t>
      </w:r>
    </w:p>
    <w:p>
      <w:pPr>
        <w:pStyle w:val="Heading2"/>
      </w:pPr>
      <w:r>
        <w:t>15.3 数据恢复</w:t>
      </w:r>
    </w:p>
    <w:p>
      <w:pPr>
        <w:pStyle w:val="ListNumber"/>
        <w:spacing w:before="0" w:after="80" w:line="300" w:lineRule="auto"/>
      </w:pPr>
      <w:r>
        <w:t>确认恢复操作已获得授权。</w:t>
      </w:r>
    </w:p>
    <w:p>
      <w:pPr>
        <w:pStyle w:val="ListNumber"/>
        <w:spacing w:before="0" w:after="80" w:line="300" w:lineRule="auto"/>
      </w:pPr>
      <w:r>
        <w:t>恢复前先备份当前数据库。</w:t>
      </w:r>
    </w:p>
    <w:p>
      <w:pPr>
        <w:pStyle w:val="ListNumber"/>
        <w:spacing w:before="0" w:after="80" w:line="300" w:lineRule="auto"/>
      </w:pPr>
      <w:r>
        <w:t>选择目标备份文件。</w:t>
      </w:r>
    </w:p>
    <w:p>
      <w:pPr>
        <w:pStyle w:val="ListNumber"/>
        <w:spacing w:before="0" w:after="80" w:line="300" w:lineRule="auto"/>
      </w:pPr>
      <w:r>
        <w:t>执行恢复操作。</w:t>
      </w:r>
    </w:p>
    <w:p>
      <w:pPr>
        <w:pStyle w:val="ListNumber"/>
        <w:spacing w:before="0" w:after="80" w:line="300" w:lineRule="auto"/>
      </w:pPr>
      <w:r>
        <w:t>恢复完成后，抽查项目台账、试验记录、过程数据、用户权限和日志是否完整。</w:t>
      </w:r>
    </w:p>
    <w:p>
      <w:pPr>
        <w:pStyle w:val="Heading2"/>
      </w:pPr>
      <w:r>
        <w:t>15.4 数据迁移</w:t>
      </w:r>
    </w:p>
    <w:p>
      <w:pPr>
        <w:pStyle w:val="ListNumber"/>
        <w:spacing w:before="0" w:after="80" w:line="300" w:lineRule="auto"/>
      </w:pPr>
      <w:r>
        <w:t>确认源数据库和目标数据库环境可用。</w:t>
      </w:r>
    </w:p>
    <w:p>
      <w:pPr>
        <w:pStyle w:val="ListNumber"/>
        <w:spacing w:before="0" w:after="80" w:line="300" w:lineRule="auto"/>
      </w:pPr>
      <w:r>
        <w:t>执行源数据库备份。</w:t>
      </w:r>
    </w:p>
    <w:p>
      <w:pPr>
        <w:pStyle w:val="ListNumber"/>
        <w:spacing w:before="0" w:after="80" w:line="300" w:lineRule="auto"/>
      </w:pPr>
      <w:r>
        <w:t>在目标环境导入备份数据或执行迁移工具。</w:t>
      </w:r>
    </w:p>
    <w:p>
      <w:pPr>
        <w:pStyle w:val="ListNumber"/>
        <w:spacing w:before="0" w:after="80" w:line="300" w:lineRule="auto"/>
      </w:pPr>
      <w:r>
        <w:t>迁移完成后核对基础台账、历史试验记录、过程数据、用户权限和日志。</w:t>
      </w:r>
    </w:p>
    <w:p>
      <w:pPr>
        <w:pStyle w:val="ListNumber"/>
        <w:spacing w:before="0" w:after="80" w:line="300" w:lineRule="auto"/>
      </w:pPr>
      <w:r>
        <w:t>完成迁移记录，注明迁移时间、操作人员、源环境和目标环境。</w:t>
      </w:r>
    </w:p>
    <w:p>
      <w:pPr>
        <w:pStyle w:val="Heading1"/>
      </w:pPr>
      <w:r>
        <w:t>16. 异常处理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异常现象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处理要求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无法登录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检查用户名、密码、账号状态和网络连接；仍无法登录时联系系统管理员。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无操作权限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确认当前账号角色；确需操作时按客户权限管理流程申请授权。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装置连接失败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检查通信线缆、网络、串口参数或 USB 连接；确认装置处于可通信状态。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任务下载失败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检查试验对象参数是否完整、装置是否在线、通信配置是否正确。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数据上传失败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检查数据包格式、试验对象是否存在、数据库连接是否正常；失败数据不得手工改写入库。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发现重复上传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按系统提示处理；原则上不得覆盖历史记录，应保留可追溯处理结果。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查询结果异常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检查筛选条件、数据权限和时间范围；必要时由管理员检查数据库状态。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备份失败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检查备份路径、磁盘空间、数据库连接和管理员权限，排除后重新备份。</w:t>
            </w:r>
          </w:p>
        </w:tc>
      </w:tr>
    </w:tbl>
    <w:p/>
    <w:p>
      <w:pPr>
        <w:pStyle w:val="Heading1"/>
      </w:pPr>
      <w:r>
        <w:t>17. 安全与注意事项</w:t>
      </w:r>
    </w:p>
    <w:p>
      <w:pPr>
        <w:pStyle w:val="ListBullet"/>
        <w:spacing w:before="0" w:after="80" w:line="300" w:lineRule="auto"/>
      </w:pPr>
      <w:r>
        <w:t>账号应专人专用，不得多人共用同一账号。</w:t>
      </w:r>
    </w:p>
    <w:p>
      <w:pPr>
        <w:pStyle w:val="ListBullet"/>
        <w:spacing w:before="0" w:after="80" w:line="300" w:lineRule="auto"/>
      </w:pPr>
      <w:r>
        <w:t>普通用户不得执行数据库恢复、迁移、用户管理等高权限操作。</w:t>
      </w:r>
    </w:p>
    <w:p>
      <w:pPr>
        <w:pStyle w:val="ListBullet"/>
        <w:spacing w:before="0" w:after="80" w:line="300" w:lineRule="auto"/>
      </w:pPr>
      <w:r>
        <w:t>试验历史记录不得随意删除或覆盖。</w:t>
      </w:r>
    </w:p>
    <w:p>
      <w:pPr>
        <w:pStyle w:val="ListBullet"/>
        <w:spacing w:before="0" w:after="80" w:line="300" w:lineRule="auto"/>
      </w:pPr>
      <w:r>
        <w:t>导出文件应按客户数据管理要求保存和传递。</w:t>
      </w:r>
    </w:p>
    <w:p>
      <w:pPr>
        <w:pStyle w:val="ListBullet"/>
        <w:spacing w:before="0" w:after="80" w:line="300" w:lineRule="auto"/>
      </w:pPr>
      <w:r>
        <w:t>数据库恢复、迁移和批量删除等操作应先备份，并保留操作记录。</w:t>
      </w:r>
    </w:p>
    <w:p>
      <w:pPr>
        <w:pStyle w:val="ListBullet"/>
        <w:spacing w:before="0" w:after="80" w:line="300" w:lineRule="auto"/>
      </w:pPr>
      <w:r>
        <w:t>发现数据异常时，应先保留现场数据和日志，再进行问题排查。</w:t>
      </w:r>
    </w:p>
    <w:p>
      <w:pPr>
        <w:pStyle w:val="Heading1"/>
      </w:pPr>
      <w:r>
        <w:t>18. 记录与归档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60"/>
        <w:gridCol w:w="360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记录名称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形成环节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保存要求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用户操作日志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登录、维护、上传、下载、导出、备份等操作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系统自动保存，按客户要求留存。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任务下发记录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试验任务下载至测量装置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记录任务范围、装置编号、操作人员和时间。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数据上传记录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测量装置数据上传入库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记录上传范围、上传结果、操作人员和时间。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试验数据报告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查询、统计或报告导出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按项目或机组归档。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备份恢复记录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数据库备份、恢复、迁移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由系统管理员保存并定期核查。</w:t>
            </w:r>
          </w:p>
        </w:tc>
      </w:tr>
    </w:tbl>
    <w:p/>
    <w:p>
      <w:pPr>
        <w:pStyle w:val="Heading1"/>
      </w:pPr>
      <w:r>
        <w:t>附录 A 操作检查表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900"/>
        <w:gridCol w:w="15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6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检查项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1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当前账号权限满足本次操作要求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2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项目、机组、系统、贯穿件、阀门或部件台账已核对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3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测量装置编号和连接状态已确认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4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任务下发前关键试验参数已检查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5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数据上传后确认未覆盖历史记录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6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不合格或异常数据已完成标识和追溯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7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报告或数据文件已按要求导出和归档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8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数据库备份或维护操作已记录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□</w:t>
            </w:r>
          </w:p>
        </w:tc>
      </w:tr>
    </w:tbl>
    <w:p/>
    <w:p>
      <w:pPr>
        <w:pStyle w:val="Heading1"/>
      </w:pPr>
      <w:r>
        <w:t>附录 B 版本记录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4800"/>
        <w:gridCol w:w="15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修订内容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  <w:t>修订人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t>V1.0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2026年5月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初版，形成数据管理软件操作规程。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Char w:fldCharType="begin"/>
    <w:instrText xml:space="preserve">PAGE</w:instrText>
    <w:fldChar w:fldCharType="end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8"/>
      </w:rPr>
      <w:t>智能安全壳隔离阀泄漏率数据管理软件操作规程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