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bCs/>
          <w:rFonts w:ascii="Arial" w:hAnsi="Arial" w:cs="Arial"/>
          <w:sz w:val="22"/>
          <w:szCs w:val="22"/>
        </w:rPr>
        <w:t>UrbanPulse: estrategia de transformación digital para pasar de dashboards a sistemas inteligentes de decisión</w:t>
      </w:r>
    </w:p>
    <w:p>
      <w:pPr>
        <w:spacing w:before="0" w:after="0" w:line="240" w:lineRule="auto"/>
      </w:pPr>
      <w:r>
        <w:rPr>
          <w:b/>
          <w:bCs/>
          <w:rFonts w:ascii="Arial" w:hAnsi="Arial" w:cs="Arial"/>
          <w:sz w:val="22"/>
          <w:szCs w:val="22"/>
        </w:rPr>
        <w:t>Objetivo.</w:t>
      </w:r>
      <w:r>
        <w:rPr>
          <w:rFonts w:ascii="Arial" w:hAnsi="Arial" w:cs="Arial"/>
          <w:sz w:val="22"/>
          <w:szCs w:val="22"/>
        </w:rPr>
        <w:t xml:space="preserve"> Diseñar una estrategia de transformación digital que convierta a UrbanPulse en una plataforma AI-first y automation-driven, mejorando adopción, impacto operativo y escalabilidad regional en municipios de América Latina.</w:t>
      </w:r>
    </w:p>
    <w:p>
      <w:pPr>
        <w:spacing w:before="0" w:after="0" w:line="240" w:lineRule="auto"/>
      </w:pPr>
      <w:r>
        <w:rPr>
          <w:b/>
          <w:bCs/>
          <w:rFonts w:ascii="Arial" w:hAnsi="Arial" w:cs="Arial"/>
          <w:sz w:val="22"/>
          <w:szCs w:val="22"/>
        </w:rPr>
        <w:t>1. Análisis de mercado y validación</w:t>
      </w:r>
    </w:p>
    <w:p>
      <w:pPr>
        <w:spacing w:before="0" w:after="0" w:line="240" w:lineRule="auto"/>
      </w:pPr>
      <w:r>
        <w:rPr>
          <w:b/>
          <w:bCs/>
          <w:rFonts w:ascii="Arial" w:hAnsi="Arial" w:cs="Arial"/>
          <w:sz w:val="22"/>
          <w:szCs w:val="22"/>
        </w:rPr>
        <w:t>Proceso de descubrimiento en sector público.</w:t>
      </w:r>
      <w:r>
        <w:rPr>
          <w:rFonts w:ascii="Arial" w:hAnsi="Arial" w:cs="Arial"/>
          <w:sz w:val="22"/>
          <w:szCs w:val="22"/>
        </w:rPr>
        <w:t xml:space="preserve"> UrbanPulse debería estructurarlo en cuatro capas: (1) mapa de actores y decisión — intendencia, secretarios, directores operativos y equipos de calle; (2) mapeo de pains por área — residuos, movilidad, seguridad y atención ciudadana; (3) análisis del proceso actual de decisión — qué información usan, cada cuánto, con qué cuellos de botella y quién ejecuta; y (4) validación de valor — cuánto tiempo, costo o riesgo se reduce si el sistema recomienda o activa acciones. En gobierno no alcanza con detectar necesidad; hay que entender presupuesto, incentivos políticos, capacidad operativa y restricciones de compra.</w:t>
      </w:r>
    </w:p>
    <w:p>
      <w:pPr>
        <w:spacing w:before="0" w:after="0" w:line="240" w:lineRule="auto"/>
      </w:pPr>
      <w:r>
        <w:rPr>
          <w:b/>
          <w:bCs/>
          <w:rFonts w:ascii="Arial" w:hAnsi="Arial" w:cs="Arial"/>
          <w:sz w:val="22"/>
          <w:szCs w:val="22"/>
        </w:rPr>
        <w:t>Métodos cuantitativos y cualitativos.</w:t>
      </w:r>
      <w:r>
        <w:rPr>
          <w:rFonts w:ascii="Arial" w:hAnsi="Arial" w:cs="Arial"/>
          <w:sz w:val="22"/>
          <w:szCs w:val="22"/>
        </w:rPr>
        <w:t xml:space="preserve"> Cualitativos: entrevistas semiestructuradas con decisores y usuarios operativos, shadowing de jornadas reales, análisis de incidentes recientes y workshops de service blueprint para reconstruir el flujo desde el evento hasta la resolución. Cuantitativos: medición de tiempos de respuesta, cantidad de incidentes por tipo, nivel de uso de la plataforma, tasa de resolución dentro de SLA, frecuencia de acceso por perfil y encuestas breves de utilidad percibida. También conviene correr pilotos controlados con una sola problemática y comparar antes vs. después.</w:t>
      </w:r>
    </w:p>
    <w:p>
      <w:pPr>
        <w:spacing w:before="0" w:after="0" w:line="240" w:lineRule="auto"/>
      </w:pPr>
      <w:r>
        <w:rPr>
          <w:b/>
          <w:bCs/>
          <w:rFonts w:ascii="Arial" w:hAnsi="Arial" w:cs="Arial"/>
          <w:sz w:val="22"/>
          <w:szCs w:val="22"/>
        </w:rPr>
        <w:t>Hipótesis a validar primero.</w:t>
      </w:r>
      <w:r>
        <w:rPr>
          <w:rFonts w:ascii="Arial" w:hAnsi="Arial" w:cs="Arial"/>
          <w:sz w:val="22"/>
          <w:szCs w:val="22"/>
        </w:rPr>
        <w:t xml:space="preserve"> Primero, que existe un caso de uso con alto dolor, alta frecuencia y visibilidad política, por ejemplo residuos o movilidad. Segundo, que los municipios valoran más una herramienta que recomienda y dispara acciones que un dashboard tradicional. Tercero, que la integración mínima necesaria puede resolverse sin proyectos de datos excesivamente largos. Cuarto, que el ahorro o mejora operativa es demostrable en menos de 90 días. Quinto, que el producto puede venderse con una plantilla replicable y no como consultoría a medida.</w:t>
      </w:r>
    </w:p>
    <w:p>
      <w:pPr>
        <w:spacing w:before="0" w:after="0" w:line="240" w:lineRule="auto"/>
      </w:pPr>
      <w:r>
        <w:rPr>
          <w:b/>
          <w:bCs/>
          <w:rFonts w:ascii="Arial" w:hAnsi="Arial" w:cs="Arial"/>
          <w:sz w:val="22"/>
          <w:szCs w:val="22"/>
        </w:rPr>
        <w:t>2. Experiencia de usuario</w:t>
      </w:r>
    </w:p>
    <w:p>
      <w:pPr>
        <w:spacing w:before="0" w:after="0" w:line="240" w:lineRule="auto"/>
      </w:pPr>
      <w:r>
        <w:rPr>
          <w:b/>
          <w:bCs/>
          <w:rFonts w:ascii="Arial" w:hAnsi="Arial" w:cs="Arial"/>
          <w:sz w:val="22"/>
          <w:szCs w:val="22"/>
        </w:rPr>
        <w:t>Fricciones actuales.</w:t>
      </w:r>
      <w:r>
        <w:rPr>
          <w:rFonts w:ascii="Arial" w:hAnsi="Arial" w:cs="Arial"/>
          <w:sz w:val="22"/>
          <w:szCs w:val="22"/>
        </w:rPr>
        <w:t xml:space="preserve"> Las principales fricciones probables son: exceso de visualización y poca orientación a la acción; necesidad de interpretar datos manualmente; ausencia de prioridades claras; interfaces pensadas para usuarios analíticos y no para funcionarios con poco tiempo; y desconexión entre insight y ejecución, porque ver el problema no implica que alguien lo tome, lo asigne y lo cierre.</w:t>
      </w:r>
    </w:p>
    <w:p>
      <w:pPr>
        <w:spacing w:before="0" w:after="0" w:line="240" w:lineRule="auto"/>
      </w:pPr>
      <w:r>
        <w:rPr>
          <w:b/>
          <w:bCs/>
          <w:rFonts w:ascii="Arial" w:hAnsi="Arial" w:cs="Arial"/>
          <w:sz w:val="22"/>
          <w:szCs w:val="22"/>
        </w:rPr>
        <w:t>Evolución hacia una experiencia accionable.</w:t>
      </w:r>
      <w:r>
        <w:rPr>
          <w:rFonts w:ascii="Arial" w:hAnsi="Arial" w:cs="Arial"/>
          <w:sz w:val="22"/>
          <w:szCs w:val="22"/>
        </w:rPr>
        <w:t xml:space="preserve"> La interfaz debe pasar de tablero a centro de decisiones. En vez de mostrar solo indicadores, debe responder tres preguntas: qué está pasando, qué importa ahora y qué acción se recomienda. La pantalla inicial debería priorizar alertas por criticidad, impacto esperado, zona afectada y nivel de confianza. Cada hallazgo debe tener un CTA concreto: asignar cuadrilla, escalar, notificar responsable, generar ticket o marcar seguimiento. Además, conviene diseñar vistas por rol: ejecutivo, coordinador operativo y analista. Para aumentar adopción, el sistema debe reducir trabajo, no agregarlo; por eso son claves resúmenes automáticos, lenguaje claro y trazabilidad de decisiones.</w:t>
      </w:r>
    </w:p>
    <w:p>
      <w:pPr>
        <w:spacing w:before="0" w:after="0" w:line="240" w:lineRule="auto"/>
      </w:pPr>
      <w:r>
        <w:rPr>
          <w:b/>
          <w:bCs/>
          <w:rFonts w:ascii="Arial" w:hAnsi="Arial" w:cs="Arial"/>
          <w:sz w:val="22"/>
          <w:szCs w:val="22"/>
        </w:rPr>
        <w:t>3. Inteligencia artificial y automatización</w:t>
      </w:r>
    </w:p>
    <w:p>
      <w:pPr>
        <w:spacing w:before="0" w:after="0" w:line="240" w:lineRule="auto"/>
      </w:pPr>
      <w:r>
        <w:rPr>
          <w:b/>
          <w:bCs/>
          <w:rFonts w:ascii="Arial" w:hAnsi="Arial" w:cs="Arial"/>
          <w:sz w:val="22"/>
          <w:szCs w:val="22"/>
        </w:rPr>
        <w:t>Flujo propuesto.</w:t>
      </w:r>
    </w:p>
    <w:p>
      <w:pPr>
        <w:spacing w:before="0" w:after="0" w:line="240" w:lineRule="auto"/>
      </w:pPr>
      <w:r>
        <w:rPr>
          <w:rFonts w:ascii="Arial" w:hAnsi="Arial" w:cs="Arial"/>
          <w:sz w:val="22"/>
          <w:szCs w:val="22"/>
        </w:rPr>
        <w:t>Datos (sensores IoT, GPS, sistemas legacy, reclamos ciudadanos) → normalización/API layer → motor de reglas + modelos IA → score de prioridad y recomendación → acción automatizada (alerta, ticket, despacho, mensaje) → validación humana cuando corresponda → ejecución → medición de resultado → aprendizaje sobre outcomes.</w:t>
      </w:r>
    </w:p>
    <w:p>
      <w:pPr>
        <w:spacing w:before="0" w:after="0" w:line="240" w:lineRule="auto"/>
      </w:pPr>
      <w:r>
        <w:rPr>
          <w:b/>
          <w:bCs/>
          <w:rFonts w:ascii="Arial" w:hAnsi="Arial" w:cs="Arial"/>
          <w:sz w:val="22"/>
          <w:szCs w:val="22"/>
        </w:rPr>
        <w:t>Procesos a automatizar primero.</w:t>
      </w:r>
      <w:r>
        <w:rPr>
          <w:rFonts w:ascii="Arial" w:hAnsi="Arial" w:cs="Arial"/>
          <w:sz w:val="22"/>
          <w:szCs w:val="22"/>
        </w:rPr>
        <w:t xml:space="preserve"> Conviene empezar por procesos de baja ambigüedad y alto volumen: detección de desvíos de rutas de recolección, alertas por congestión atípica, incidentes repetidos en una zona, sensores fuera de rango y consolidación automática de reportes diarios. Son buenos candidatos porque tienen reglas relativamente claras, impacto visible y permiten mostrar valor temprano sin asumir riesgo político alto.</w:t>
      </w:r>
    </w:p>
    <w:p>
      <w:pPr>
        <w:spacing w:before="0" w:after="0" w:line="240" w:lineRule="auto"/>
      </w:pPr>
      <w:r>
        <w:rPr>
          <w:b/>
          <w:bCs/>
          <w:rFonts w:ascii="Arial" w:hAnsi="Arial" w:cs="Arial"/>
          <w:sz w:val="22"/>
          <w:szCs w:val="22"/>
        </w:rPr>
        <w:t>Human-in-the-loop.</w:t>
      </w:r>
      <w:r>
        <w:rPr>
          <w:rFonts w:ascii="Arial" w:hAnsi="Arial" w:cs="Arial"/>
          <w:sz w:val="22"/>
          <w:szCs w:val="22"/>
        </w:rPr>
        <w:t xml:space="preserve"> La intervención humana debe mantenerse en tres puntos: validación de eventos con baja confianza o alto impacto; aprobación de acciones que impliquen reasignación relevante de recursos o comunicación pública; y revisión de decisiones excepcionales para entrenar mejor el sistema. La lógica recomendada es progresiva: fase 1, IA detecta y recomienda; fase 2, IA crea ticket y propone acción; fase 3, automatización parcial sobre casos repetitivos y bien calibrados.</w:t>
      </w:r>
    </w:p>
    <w:p>
      <w:pPr>
        <w:spacing w:before="0" w:after="0" w:line="240" w:lineRule="auto"/>
      </w:pPr>
      <w:r>
        <w:rPr>
          <w:b/>
          <w:bCs/>
          <w:rFonts w:ascii="Arial" w:hAnsi="Arial" w:cs="Arial"/>
          <w:sz w:val="22"/>
          <w:szCs w:val="22"/>
        </w:rPr>
        <w:t>4. KPIs y métricas</w:t>
      </w:r>
    </w:p>
    <w:p>
      <w:pPr>
        <w:spacing w:before="0" w:after="0" w:line="240" w:lineRule="auto"/>
      </w:pPr>
      <w:r>
        <w:rPr>
          <w:b/>
          <w:bCs/>
          <w:rFonts w:ascii="Arial" w:hAnsi="Arial" w:cs="Arial"/>
          <w:sz w:val="22"/>
          <w:szCs w:val="22"/>
        </w:rPr>
        <w:t>Impacto operativo.</w:t>
      </w:r>
      <w:r>
        <w:rPr>
          <w:rFonts w:ascii="Arial" w:hAnsi="Arial" w:cs="Arial"/>
          <w:sz w:val="22"/>
          <w:szCs w:val="22"/>
        </w:rPr>
        <w:t xml:space="preserve"> Tiempo medio de detección a resolución (MTTR urbano) por tipo de incidente. Este KPI muestra si la plataforma realmente acelera respuesta y no solo mejora visibilidad.</w:t>
      </w:r>
    </w:p>
    <w:p>
      <w:pPr>
        <w:spacing w:before="0" w:after="0" w:line="240" w:lineRule="auto"/>
      </w:pPr>
      <w:r>
        <w:rPr>
          <w:b/>
          <w:bCs/>
          <w:rFonts w:ascii="Arial" w:hAnsi="Arial" w:cs="Arial"/>
          <w:sz w:val="22"/>
          <w:szCs w:val="22"/>
        </w:rPr>
        <w:t>Nivel de adopción.</w:t>
      </w:r>
      <w:r>
        <w:rPr>
          <w:rFonts w:ascii="Arial" w:hAnsi="Arial" w:cs="Arial"/>
          <w:sz w:val="22"/>
          <w:szCs w:val="22"/>
        </w:rPr>
        <w:t xml:space="preserve"> Porcentaje de incidentes gestionados desde UrbanPulse sobre el total de incidentes del proceso objetivo, complementado con usuarios activos semanales por rol. Mide uso real dentro del flujo operativo, no solo logins.</w:t>
      </w:r>
    </w:p>
    <w:p>
      <w:pPr>
        <w:spacing w:before="0" w:after="0" w:line="240" w:lineRule="auto"/>
      </w:pPr>
      <w:r>
        <w:rPr>
          <w:b/>
          <w:bCs/>
          <w:rFonts w:ascii="Arial" w:hAnsi="Arial" w:cs="Arial"/>
          <w:sz w:val="22"/>
          <w:szCs w:val="22"/>
        </w:rPr>
        <w:t>Crecimiento del negocio.</w:t>
      </w:r>
      <w:r>
        <w:rPr>
          <w:rFonts w:ascii="Arial" w:hAnsi="Arial" w:cs="Arial"/>
          <w:sz w:val="22"/>
          <w:szCs w:val="22"/>
        </w:rPr>
        <w:t xml:space="preserve"> Tiempo promedio de implementación por nueva ciudad y tasa de expansión de pilotos a contratos pagos. Este KPI refleja escalabilidad comercial y capacidad de replicación regional.</w:t>
      </w:r>
    </w:p>
    <w:p>
      <w:pPr>
        <w:spacing w:before="0" w:after="0" w:line="240" w:lineRule="auto"/>
      </w:pPr>
      <w:r>
        <w:rPr>
          <w:b/>
          <w:bCs/>
          <w:rFonts w:ascii="Arial" w:hAnsi="Arial" w:cs="Arial"/>
          <w:sz w:val="22"/>
          <w:szCs w:val="22"/>
        </w:rPr>
        <w:t>5. Escalabilidad e interoperabilidad</w:t>
      </w:r>
    </w:p>
    <w:p>
      <w:pPr>
        <w:spacing w:before="0" w:after="0" w:line="240" w:lineRule="auto"/>
      </w:pPr>
      <w:r>
        <w:rPr>
          <w:b/>
          <w:bCs/>
          <w:rFonts w:ascii="Arial" w:hAnsi="Arial" w:cs="Arial"/>
          <w:sz w:val="22"/>
          <w:szCs w:val="22"/>
        </w:rPr>
        <w:t>Diseño escalable para múltiples ciudades.</w:t>
      </w:r>
      <w:r>
        <w:rPr>
          <w:rFonts w:ascii="Arial" w:hAnsi="Arial" w:cs="Arial"/>
          <w:sz w:val="22"/>
          <w:szCs w:val="22"/>
        </w:rPr>
        <w:t xml:space="preserve"> UrbanPulse debería operar con una arquitectura modular: conectores de ingestión, modelo de datos urbano común, motor de reglas/IA configurable, capa de automatización y front-end por roles. La clave es separar lo estándar de lo local. Lo estándar incluye taxonomías de incidentes, pipeline de datos, reglas base, KPIs y plantillas de flujos. Lo local incluye fuentes disponibles, nomenclatura, responsables y umbrales operativos.</w:t>
      </w:r>
    </w:p>
    <w:p>
      <w:pPr>
        <w:spacing w:before="0" w:after="0" w:line="240" w:lineRule="auto"/>
      </w:pPr>
      <w:r>
        <w:rPr>
          <w:b/>
          <w:bCs/>
          <w:rFonts w:ascii="Arial" w:hAnsi="Arial" w:cs="Arial"/>
          <w:sz w:val="22"/>
          <w:szCs w:val="22"/>
        </w:rPr>
        <w:t>Rol de APIs e interoperabilidad.</w:t>
      </w:r>
      <w:r>
        <w:rPr>
          <w:rFonts w:ascii="Arial" w:hAnsi="Arial" w:cs="Arial"/>
          <w:sz w:val="22"/>
          <w:szCs w:val="22"/>
        </w:rPr>
        <w:t xml:space="preserve"> Las APIs son la base para integrarse con sistemas municipales, ERPs, CRMs, GPS, sensores y canales de mensajería. También permiten que UrbanPulse no quede aislado y pueda accionar sobre herramientas existentes. La interoperabilidad reduce dependencia de procesos manuales, acelera despliegues y facilita un enfoque composable, donde cada ciudad conecta las piezas que ya posee.</w:t>
      </w:r>
    </w:p>
    <w:p>
      <w:pPr>
        <w:spacing w:before="0" w:after="0" w:line="240" w:lineRule="auto"/>
      </w:pPr>
      <w:r>
        <w:rPr>
          <w:b/>
          <w:bCs/>
          <w:rFonts w:ascii="Arial" w:hAnsi="Arial" w:cs="Arial"/>
          <w:sz w:val="22"/>
          <w:szCs w:val="22"/>
        </w:rPr>
        <w:t>Cómo evitar soluciones no replicables.</w:t>
      </w:r>
      <w:r>
        <w:rPr>
          <w:rFonts w:ascii="Arial" w:hAnsi="Arial" w:cs="Arial"/>
          <w:sz w:val="22"/>
          <w:szCs w:val="22"/>
        </w:rPr>
        <w:t xml:space="preserve"> Hay que evitar desarrollos one-off por municipio. Para eso se necesitan conectores reutilizables, templates por vertical, playbooks de implementación de 30-60-90 días, configuración no-code/low-code para reglas y un catálogo de casos de uso priorizados. El principio debe ser 'configurar más, programar menos'. Si cada nuevo cliente exige rehacer integraciones, nomenclaturas y dashboards, la empresa no escala como producto.</w:t>
      </w:r>
    </w:p>
    <w:p>
      <w:pPr>
        <w:spacing w:before="0" w:after="0" w:line="240" w:lineRule="auto"/>
      </w:pPr>
      <w:r>
        <w:rPr>
          <w:b/>
          <w:bCs/>
          <w:rFonts w:ascii="Arial" w:hAnsi="Arial" w:cs="Arial"/>
          <w:sz w:val="22"/>
          <w:szCs w:val="22"/>
        </w:rPr>
        <w:t>Recomendaciones estratégicas finales</w:t>
      </w:r>
    </w:p>
    <w:p>
      <w:pPr>
        <w:spacing w:before="0" w:after="0" w:line="240" w:lineRule="auto"/>
      </w:pPr>
      <w:r>
        <w:rPr>
          <w:rFonts w:ascii="Arial" w:hAnsi="Arial" w:cs="Arial"/>
          <w:sz w:val="22"/>
          <w:szCs w:val="22"/>
        </w:rPr>
        <w:t>1) Elegir un caso de uso bandera, preferentemente residuos o movilidad, donde el impacto sea frecuente, visible y medible en menos de 90 días. 2) Rediseñar la plataforma como sistema de decisión y workflow, no como dashboard. 3) Implementar automatización progresiva con human-in-the-loop para ganar confianza institucional. 4) Estandarizar el modelo de datos y las integraciones para convertir implementaciones en plantillas replicables. 5) Vender impacto comprobable: menos tiempo de respuesta, más cumplimiento operativo y despliegue más rápido por ciudad.</w:t>
      </w:r>
    </w:p>
    <w:p>
      <w:pPr>
        <w:spacing w:before="0" w:after="0" w:line="240" w:lineRule="auto"/>
      </w:pPr>
      <w:r>
        <w:rPr>
          <w:b/>
          <w:bCs/>
          <w:rFonts w:ascii="Arial" w:hAnsi="Arial" w:cs="Arial"/>
          <w:sz w:val="22"/>
          <w:szCs w:val="22"/>
        </w:rPr>
        <w:t>Esquema resumen</w:t>
      </w:r>
    </w:p>
    <w:p>
      <w:pPr>
        <w:spacing w:before="0" w:after="0" w:line="240" w:lineRule="auto"/>
      </w:pPr>
      <w:r>
        <w:rPr>
          <w:rFonts w:ascii="Arial" w:hAnsi="Arial" w:cs="Arial"/>
          <w:sz w:val="22"/>
          <w:szCs w:val="22"/>
        </w:rPr>
        <w:t>Fuentes de datos → Normalización → IA/Reglas → Priorización → Acción → Medición → Aprendizaje</w:t>
      </w:r>
    </w:p>
    <w:p>
      <w:pPr>
        <w:spacing w:before="0" w:after="0" w:line="240" w:lineRule="auto"/>
      </w:pPr>
      <w:r>
        <w:rPr>
          <w:b/>
          <w:bCs/>
          <w:rFonts w:ascii="Arial" w:hAnsi="Arial" w:cs="Arial"/>
          <w:sz w:val="22"/>
          <w:szCs w:val="22"/>
        </w:rPr>
        <w:t>Conclusión.</w:t>
      </w:r>
      <w:r>
        <w:rPr>
          <w:rFonts w:ascii="Arial" w:hAnsi="Arial" w:cs="Arial"/>
          <w:sz w:val="22"/>
          <w:szCs w:val="22"/>
        </w:rPr>
        <w:t xml:space="preserve"> UrbanPulse puede diferenciarse en la región si deja de ser una plataforma que muestra lo que pasa y pasa a ser una capa operativa inteligente que detecta, prioriza, activa y mide. El valor no estará en tener más dashboards, sino en cerrar el ciclo entre dato, decisión y resultado.</w:t>
      </w:r>
    </w:p>
    <w:sectPr>
      <w:pgSz w:w="12240" w:h="15840"/>
      <w:pgMar w:top="1440" w:right="1440" w:bottom="1440" w:left="1440" w:header="720" w:footer="720" w:gutter="0"/>
      <w:cols w:space="720"/>
      <w:docGrid w:linePitch="240"/>
    </w:sectPr>
  </w:body>
</w:document>
</file>

<file path=word/styles.xml><?xml version="1.0" encoding="utf-8"?>
<w:styles xmlns:w="http://schemas.openxmlformats.org/wordprocessingml/2006/main">
  <w:docDefaults>
    <w:rPrDefault>
      <w:rPr>
        <w:rFonts w:ascii="Arial" w:hAnsi="Arial" w:cs="Arial"/>
        <w:sz w:val="22"/>
        <w:szCs w:val="22"/>
      </w:rPr>
    </w:rPrDefault>
    <w:pPrDefault>
      <w:pPr>
        <w:spacing w:before="0" w:after="0" w:line="240" w:lineRule="auto"/>
      </w:pPr>
    </w:pPrDefault>
  </w:docDefaults>
  <w:style w:type="paragraph" w:default="1" w:styleId="Normal">
    <w:name w:val="Normal"/>
    <w:qFormat/>
    <w:pPr>
      <w:spacing w:before="0" w:after="0" w:line="240" w:lineRule="auto"/>
    </w:pPr>
    <w:rPr>
      <w:rFonts w:ascii="Arial" w:hAnsi="Arial" w:cs="Arial"/>
      <w:sz w:val="22"/>
      <w:szCs w:val="22"/>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dc:title>
  <dc:creator>Maxxuel Smart</dc:creator>
  <cp:lastModifiedBy>Maxxuel Smart</cp:lastModifiedBy>
</cp:coreProperties>
</file>