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rsidR="00000000" w:rsidDel="00000000" w:rsidP="00000000" w:rsidRDefault="00000000" w:rsidRPr="00000000" w14:paraId="00000013">
      <w:pPr>
        <w:pBdr>
          <w:bottom w:color="c8922a" w:space="1" w:sz="8" w:val="single"/>
        </w:pBdr>
        <w:spacing w:after="600" w:lineRule="auto"/>
        <w:ind w:left="1440" w:right="1440" w:firstLine="0"/>
        <w:jc w:val="center"/>
        <w:rPr/>
      </w:pPr>
      <w:r w:rsidDel="00000000" w:rsidR="00000000" w:rsidRPr="00000000">
        <w:rPr>
          <w:rtl w:val="0"/>
        </w:rPr>
      </w:r>
    </w:p>
    <w:p w:rsidR="00000000" w:rsidDel="00000000" w:rsidP="00000000" w:rsidRDefault="00000000" w:rsidRPr="00000000" w14:paraId="00000014">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Contexto e introducción</w:t>
      </w:r>
      <w:r w:rsidDel="00000000" w:rsidR="00000000" w:rsidRPr="00000000">
        <w:rPr>
          <w:rtl w:val="0"/>
        </w:rPr>
      </w:r>
    </w:p>
    <w:p w:rsidR="00000000" w:rsidDel="00000000" w:rsidP="00000000" w:rsidRDefault="00000000" w:rsidRPr="00000000" w14:paraId="00000015">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2</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Problema, segmento y oportunidad</w:t>
      </w:r>
      <w:r w:rsidDel="00000000" w:rsidR="00000000" w:rsidRPr="00000000">
        <w:rPr>
          <w:rtl w:val="0"/>
        </w:rPr>
      </w:r>
    </w:p>
    <w:p w:rsidR="00000000" w:rsidDel="00000000" w:rsidP="00000000" w:rsidRDefault="00000000" w:rsidRPr="00000000" w14:paraId="00000016">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3</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Validación y customer discovery, buyer persona</w:t>
      </w:r>
      <w:r w:rsidDel="00000000" w:rsidR="00000000" w:rsidRPr="00000000">
        <w:rPr>
          <w:rtl w:val="0"/>
        </w:rPr>
      </w:r>
    </w:p>
    <w:p w:rsidR="00000000" w:rsidDel="00000000" w:rsidP="00000000" w:rsidRDefault="00000000" w:rsidRPr="00000000" w14:paraId="00000017">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4</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Enfoque general de solución</w:t>
      </w:r>
      <w:r w:rsidDel="00000000" w:rsidR="00000000" w:rsidRPr="00000000">
        <w:rPr>
          <w:rtl w:val="0"/>
        </w:rPr>
      </w:r>
    </w:p>
    <w:p w:rsidR="00000000" w:rsidDel="00000000" w:rsidP="00000000" w:rsidRDefault="00000000" w:rsidRPr="00000000" w14:paraId="00000018">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5</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Propuesta de valor</w:t>
      </w:r>
      <w:r w:rsidDel="00000000" w:rsidR="00000000" w:rsidRPr="00000000">
        <w:rPr>
          <w:rtl w:val="0"/>
        </w:rPr>
      </w:r>
    </w:p>
    <w:p w:rsidR="00000000" w:rsidDel="00000000" w:rsidP="00000000" w:rsidRDefault="00000000" w:rsidRPr="00000000" w14:paraId="00000019">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6</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Dimensionamiento de la oportunidad y del mercado</w:t>
      </w:r>
      <w:r w:rsidDel="00000000" w:rsidR="00000000" w:rsidRPr="00000000">
        <w:rPr>
          <w:rtl w:val="0"/>
        </w:rPr>
      </w:r>
    </w:p>
    <w:p w:rsidR="00000000" w:rsidDel="00000000" w:rsidP="00000000" w:rsidRDefault="00000000" w:rsidRPr="00000000" w14:paraId="0000001A">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7</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Productos y servicios</w:t>
      </w:r>
      <w:r w:rsidDel="00000000" w:rsidR="00000000" w:rsidRPr="00000000">
        <w:rPr>
          <w:rtl w:val="0"/>
        </w:rPr>
      </w:r>
    </w:p>
    <w:p w:rsidR="00000000" w:rsidDel="00000000" w:rsidP="00000000" w:rsidRDefault="00000000" w:rsidRPr="00000000" w14:paraId="0000001B">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8</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Entorno competitivo</w:t>
      </w:r>
      <w:r w:rsidDel="00000000" w:rsidR="00000000" w:rsidRPr="00000000">
        <w:rPr>
          <w:rtl w:val="0"/>
        </w:rPr>
      </w:r>
    </w:p>
    <w:p w:rsidR="00000000" w:rsidDel="00000000" w:rsidP="00000000" w:rsidRDefault="00000000" w:rsidRPr="00000000" w14:paraId="0000001C">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9</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Plan comercial físico y digital</w:t>
      </w:r>
      <w:r w:rsidDel="00000000" w:rsidR="00000000" w:rsidRPr="00000000">
        <w:rPr>
          <w:rtl w:val="0"/>
        </w:rPr>
      </w:r>
    </w:p>
    <w:p w:rsidR="00000000" w:rsidDel="00000000" w:rsidP="00000000" w:rsidRDefault="00000000" w:rsidRPr="00000000" w14:paraId="0000001D">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10</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Comentarios finales y conclusiones</w:t>
      </w:r>
      <w:r w:rsidDel="00000000" w:rsidR="00000000" w:rsidRPr="00000000">
        <w:rPr>
          <w:rtl w:val="0"/>
        </w:rPr>
      </w:r>
    </w:p>
    <w:p w:rsidR="00000000" w:rsidDel="00000000" w:rsidP="00000000" w:rsidRDefault="00000000" w:rsidRPr="00000000" w14:paraId="0000001E">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11</w:t>
      </w:r>
      <w:r w:rsidDel="00000000" w:rsidR="00000000" w:rsidRPr="00000000">
        <w:rPr>
          <w:rFonts w:ascii="Calibri" w:cs="Calibri" w:eastAsia="Calibri" w:hAnsi="Calibri"/>
          <w:sz w:val="40"/>
          <w:szCs w:val="40"/>
          <w:rtl w:val="0"/>
        </w:rPr>
        <w:t xml:space="preserve">   </w:t>
      </w:r>
      <w:r w:rsidDel="00000000" w:rsidR="00000000" w:rsidRPr="00000000">
        <w:rPr>
          <w:color w:val="1b3a5c"/>
          <w:sz w:val="36"/>
          <w:szCs w:val="36"/>
          <w:rtl w:val="0"/>
        </w:rPr>
        <w:t xml:space="preserve">Anexos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pPr/>
      <w:r>
        <w:t>La escala regional del problema confirma que no se trata de una dificultad marginal. El Banco Interamericano de Desarrollo sostuvo recientemente que alrededor del 45 % de los hogares de América Latina y el Caribe no accede a una vivienda adecuada, en una región donde cerca del 82 % de la población ya vive en ciudades. Esta doble condición resulta especialmente relevante para HabitatIA: la presión habitacional crece en contextos urbanos densos, mientras la necesidad de tomar decisiones más informadas, más rápidas y más eficientes se vuelve cada vez más visible.</w:t>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pPr/>
      <w:r>
        <w:t>Si se baja esta lectura al caso argentino, la magnitud también es contundente. La Cámara Argentina de la Construcción estimó para 2022 un déficit habitacional total cercano a 3,24 millones de viviendas. A su vez, Fundación Tejido Urbano, sobre base Censo 2022, sostuvo que alrededor de 10,7 millones de hogares urbanos, equivalentes al 73 % del total relevado, presentan al menos algún problema habitacional. Aunque ambas mediciones responden a metodologías distintas, coinciden en algo central: el universo de hogares que necesita mejorar, ampliar, reorganizar o resolver su situación habitacional es demasiado amplio como para pensar el problema como un nicho.</w:t>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t>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 Esta tendencia no se apoya solo en una percepción cualitativa. Si en América Latina y el Caribe cerca del 45 % de los hogares no accede todavía a una vivienda adecuada, entonces la necesidad de herramientas que mejoren la etapa inicial de decisión no pertenece a un segmento menor, sino a una masa crítica muy amplia.</w:t>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pPr>
      <w:r>
        <w:t>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 La escala económica del problema también ayuda a leer esta oportunidad con mayor precisión. El propio BID subrayó que la producción habitacional y la construcción movilizan una industria que en economías desarrolladas representa entre 5 % y 10 % del PIB. A eso se suma otra evidencia relevante para HabitatIA: la literatura y los relevamientos sectoriales ubican, de forma conservadora, el desperdicio de materiales de obra en una banda aproximada del 10 % al 15 %. Cuando ese desperdicio se combina con un mercado amplio, fragmentado y todavía poco transparente, ordenar información y recircular materiales deja de ser solo una mejora operativa y pasa a ser una oportunidad económica clara.</w:t>
      </w:r>
    </w:p>
    <w:p w:rsidR="00000000" w:rsidDel="00000000" w:rsidP="00000000" w:rsidRDefault="00000000" w:rsidRPr="00000000" w14:paraId="000000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B">
      <w:pPr>
        <w:spacing w:after="200" w:before="0" w:line="240" w:lineRule="auto"/>
        <w:rPr/>
      </w:pPr>
      <w:r>
        <w:t>ODS 11, Ciudades y comunidades sostenibles. La plataforma mejora el acceso a una planificación habitacional más eficiente y ordenada, con herramientas que ayudan a tomar decisiones iniciales con mayor claridad. Esta contribución gana peso en una región donde cerca del 82 % de la población vive en ciudades y donde el BID estima que una proporción muy significativa de los hogares todavía no accede a una vivienda adecuada.</w:t>
      </w:r>
    </w:p>
    <w:p w:rsidR="00000000" w:rsidDel="00000000" w:rsidP="00000000" w:rsidRDefault="00000000" w:rsidRPr="00000000" w14:paraId="0000004C">
      <w:pPr>
        <w:spacing w:after="200" w:before="0" w:line="240" w:lineRule="auto"/>
        <w:rPr/>
      </w:pPr>
      <w:r>
        <w:t>ODS 12, Producción y consumo responsables. El marketplace fomenta una lógica de economía circular al promover la reutilización de materiales de obra que de otro modo podrían quedar inmovilizados o desperdiciados. La pertinencia de este objetivo se vuelve más concreta cuando se considera que el desperdicio de materiales en construcción suele ubicarse, de manera conservadora, en un rango del 10 % al 15 %.</w:t>
      </w:r>
    </w:p>
    <w:p w:rsidR="00000000" w:rsidDel="00000000" w:rsidP="00000000" w:rsidRDefault="00000000" w:rsidRPr="00000000" w14:paraId="0000004D">
      <w:pPr>
        <w:spacing w:after="200" w:before="0" w:line="240" w:lineRule="auto"/>
        <w:rPr/>
      </w:pPr>
      <w:r>
        <w:t>ODS 9, Industria, innovación e infraestructura. HabitatIA digitaliza y moderniza una parte de los procesos de la industria de la construcción, especialmente en la etapa de preplanificación, comparación y organización de información. En un sector con peso económico estructural y alta fragmentación operativa, mejorar trazabilidad, comparabilidad y acceso a información útil tiene impacto más allá de la experiencia individual del usuario.</w:t>
      </w:r>
    </w:p>
    <w:p w:rsidR="00000000" w:rsidDel="00000000" w:rsidP="00000000" w:rsidRDefault="00000000" w:rsidRPr="00000000" w14:paraId="0000004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5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3">
      <w:pPr>
        <w:spacing w:after="160" w:before="160" w:line="240" w:lineRule="auto"/>
        <w:jc w:val="center"/>
        <w:rPr/>
      </w:pPr>
      <w:r w:rsidDel="00000000" w:rsidR="00000000" w:rsidRPr="00000000">
        <w:rPr/>
        <w:drawing>
          <wp:inline distB="0" distT="0" distL="0" distR="0">
            <wp:extent cx="6119820" cy="28448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5">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D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0">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1">
      <w:pPr>
        <w:spacing w:after="160" w:before="160" w:line="240" w:lineRule="auto"/>
        <w:jc w:val="center"/>
        <w:rPr/>
      </w:pPr>
      <w:r w:rsidDel="00000000" w:rsidR="00000000" w:rsidRPr="00000000">
        <w:rPr/>
        <w:drawing>
          <wp:inline distB="114300" distT="114300" distL="114300" distR="114300">
            <wp:extent cx="6119820" cy="41783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8">
      <w:pPr>
        <w:spacing w:after="200" w:before="0" w:line="240" w:lineRule="auto"/>
        <w:rPr/>
      </w:pPr>
      <w:r w:rsidDel="00000000" w:rsidR="00000000" w:rsidRPr="00000000">
        <w:rPr/>
        <w:drawing>
          <wp:inline distB="114300" distT="114300" distL="114300" distR="114300">
            <wp:extent cx="5543313" cy="694277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D">
      <w:pPr>
        <w:spacing w:after="200" w:before="0" w:line="240" w:lineRule="auto"/>
        <w:rPr/>
      </w:pPr>
      <w:r w:rsidDel="00000000" w:rsidR="00000000" w:rsidRPr="00000000">
        <w:rPr/>
        <w:drawing>
          <wp:inline distB="114300" distT="114300" distL="114300" distR="114300">
            <wp:extent cx="5914746" cy="7657148"/>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3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8">
      <w:pPr>
        <w:spacing w:after="160" w:before="160" w:line="240" w:lineRule="auto"/>
        <w:jc w:val="center"/>
        <w:rPr/>
      </w:pPr>
      <w:r w:rsidDel="00000000" w:rsidR="00000000" w:rsidRPr="00000000">
        <w:rPr/>
        <w:drawing>
          <wp:inline distB="0" distT="0" distL="0" distR="0">
            <wp:extent cx="6119820" cy="34417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6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6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r>
    </w:p>
    <w:p w:rsidR="00000000" w:rsidDel="00000000" w:rsidP="00000000" w:rsidRDefault="00000000" w:rsidRPr="00000000" w14:paraId="000001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r>
    </w:p>
    <w:p w:rsidR="00000000" w:rsidDel="00000000" w:rsidP="00000000" w:rsidRDefault="00000000" w:rsidRPr="00000000" w14:paraId="000001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r>
      <w:r w:rsidDel="00000000" w:rsidR="00000000" w:rsidRPr="00000000">
        <w:rPr>
          <w:rtl w:val="0"/>
        </w:rPr>
      </w:r>
    </w:p>
    <w:p w:rsidR="00000000" w:rsidDel="00000000" w:rsidP="00000000" w:rsidRDefault="00000000" w:rsidRPr="00000000" w14:paraId="0000018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 económicamente interpretado.</w:t>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pStyle w:val="Heading2"/>
        <w:spacing w:line="240" w:lineRule="auto"/>
        <w:rPr/>
      </w:pPr>
      <w:r w:rsidDel="00000000" w:rsidR="00000000" w:rsidRPr="00000000">
        <w:rPr/>
        <w:drawing>
          <wp:inline distB="114300" distT="114300" distL="114300" distR="114300">
            <wp:extent cx="6119820" cy="73914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982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5.23.1 Jobs to be done</w:t>
      </w:r>
      <w:r w:rsidDel="00000000" w:rsidR="00000000" w:rsidRPr="00000000">
        <w:rPr>
          <w:rtl w:val="0"/>
        </w:rPr>
      </w:r>
    </w:p>
    <w:p w:rsidR="00000000" w:rsidDel="00000000" w:rsidP="00000000" w:rsidRDefault="00000000" w:rsidRPr="00000000" w14:paraId="000002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segmento particular, el trabajo principal consiste en transformar una intención de vivienda en una decisión inicial más clara: entender qué podría construirse, con qué materiales, con qué costo aproximado y bajo qué restricciones. En el segmento profesional, el trabajo principal pasa por resolver la salida de materiales excedentes de forma rápida, ordenada y con el menor desgaste operativo posible.</w:t>
      </w:r>
      <w:r w:rsidDel="00000000" w:rsidR="00000000" w:rsidRPr="00000000">
        <w:rPr>
          <w:rtl w:val="0"/>
        </w:rPr>
      </w:r>
    </w:p>
    <w:p w:rsidR="00000000" w:rsidDel="00000000" w:rsidP="00000000" w:rsidRDefault="00000000" w:rsidRPr="00000000" w14:paraId="000002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5.23.2 Pains, dolores del cliente</w:t>
      </w:r>
      <w:r w:rsidDel="00000000" w:rsidR="00000000" w:rsidRPr="00000000">
        <w:rPr>
          <w:rtl w:val="0"/>
        </w:rPr>
      </w:r>
    </w:p>
    <w:p w:rsidR="00000000" w:rsidDel="00000000" w:rsidP="00000000" w:rsidRDefault="00000000" w:rsidRPr="00000000" w14:paraId="000002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particulares y familias, los dolores aparecen en la incertidumbre presupuestaria, el miedo a sobrecostos, la dificultad para calcular materiales, la falta de referencias confiables y la desconfianza frente a canales poco transparentes. En profesionales, los dolores se concentran en el stock inmovilizado, la pérdida de valor del material, la ocupación de espacio, la carga administrativa de publicar y la fricción logística o comercial de vender por canales informales.</w:t>
      </w:r>
      <w:r w:rsidDel="00000000" w:rsidR="00000000" w:rsidRPr="00000000">
        <w:rPr>
          <w:rtl w:val="0"/>
        </w:rPr>
      </w:r>
    </w:p>
    <w:p w:rsidR="00000000" w:rsidDel="00000000" w:rsidP="00000000" w:rsidRDefault="00000000" w:rsidRPr="00000000" w14:paraId="0000020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5.23.3 Gains, ganancias esperadas</w:t>
      </w:r>
      <w:r w:rsidDel="00000000" w:rsidR="00000000" w:rsidRPr="00000000">
        <w:rPr>
          <w:rtl w:val="0"/>
        </w:rPr>
      </w:r>
    </w:p>
    <w:p w:rsidR="00000000" w:rsidDel="00000000" w:rsidP="00000000" w:rsidRDefault="00000000" w:rsidRPr="00000000" w14:paraId="000002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cliente particular espera ganar claridad, previsibilidad, una base más segura para decidir y una oportunidad real de ahorro. El cliente profesional espera recuperar capital, liberar espacio, reducir desperdicio y encontrar una salida más eficiente para sus excedentes. En ambos casos, la ganancia también pasa por reducir fricción y mejorar la calidad de la decisión.</w:t>
      </w:r>
      <w:r w:rsidDel="00000000" w:rsidR="00000000" w:rsidRPr="00000000">
        <w:rPr>
          <w:rtl w:val="0"/>
        </w:rPr>
      </w:r>
    </w:p>
    <w:p w:rsidR="00000000" w:rsidDel="00000000" w:rsidP="00000000" w:rsidRDefault="00000000" w:rsidRPr="00000000" w14:paraId="0000021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1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1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Se trata de un universo muy grande por al menos cuatro razones:</w:t>
      </w:r>
      <w:r w:rsidDel="00000000" w:rsidR="00000000" w:rsidRPr="00000000">
        <w:rPr>
          <w:rtl w:val="0"/>
        </w:rPr>
      </w:r>
    </w:p>
    <w:p w:rsidR="00000000" w:rsidDel="00000000" w:rsidP="00000000" w:rsidRDefault="00000000" w:rsidRPr="00000000" w14:paraId="000002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darle escala cuantitativa a esta capa amplia, el dato estructural más relevante es el problema habitacional argentino. Distintas fuentes permiten mostrar que no se trata de un nicho pequeño. Por un lado, la Cámara Argentina de la Construcción estimó para 2022 un déficit habitacional total cercano a 3,24 millones de viviendas. Por otro, una lectura más amplia de Fundación Tejido Urbano sobre base Censo 2022 sostuvo que alrededor de 10,7 millones de hogares urbanos, equivalentes al 73 % del total relevado, presentan al menos algún problema habitacional. Aunque ambas fuentes usan metodologías y alcances distintos, coinciden en un punto clave: el universo de hogares con necesidad de mejora, ampliación, reorganización o acceso habitacional es masivo.</w:t>
      </w:r>
      <w:r w:rsidDel="00000000" w:rsidR="00000000" w:rsidRPr="00000000">
        <w:rPr>
          <w:rtl w:val="0"/>
        </w:rPr>
      </w:r>
    </w:p>
    <w:p w:rsidR="00000000" w:rsidDel="00000000" w:rsidP="00000000" w:rsidRDefault="00000000" w:rsidRPr="00000000" w14:paraId="000002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embargo, la utilidad del TAM es principalmente contextual. Sirve para mostrar que HabitatIA no opera en un nicho artificial o marginal. No alcanza, por sí solo, para justificar una estrategia concreta.</w:t>
      </w:r>
      <w:r w:rsidDel="00000000" w:rsidR="00000000" w:rsidRPr="00000000">
        <w:rPr>
          <w:rtl w:val="0"/>
        </w:rPr>
      </w:r>
    </w:p>
    <w:p w:rsidR="00000000" w:rsidDel="00000000" w:rsidP="00000000" w:rsidRDefault="00000000" w:rsidRPr="00000000" w14:paraId="0000021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SAM de HabitatIA debe estar definido por los segmentos a los que el proyecto puede servir en una primera etapa con una propuesta plausible y defendible. Desde esa perspectiva, el mercado disponible servible incluye principalmente:</w:t>
      </w:r>
      <w:r w:rsidDel="00000000" w:rsidR="00000000" w:rsidRPr="00000000">
        <w:rPr>
          <w:rtl w:val="0"/>
        </w:rPr>
      </w:r>
    </w:p>
    <w:p w:rsidR="00000000" w:rsidDel="00000000" w:rsidP="00000000" w:rsidRDefault="00000000" w:rsidRPr="00000000" w14:paraId="000002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hogares con intención de construir o ampliar una vivienda y alta sensibilidad al costo;</w:t>
      </w:r>
      <w:r w:rsidDel="00000000" w:rsidR="00000000" w:rsidRPr="00000000">
        <w:rPr>
          <w:rtl w:val="0"/>
        </w:rPr>
      </w:r>
    </w:p>
    <w:p w:rsidR="00000000" w:rsidDel="00000000" w:rsidP="00000000" w:rsidRDefault="00000000" w:rsidRPr="00000000" w14:paraId="0000021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 que necesitan una primera traducción de su idea en proyecto;</w:t>
      </w:r>
      <w:r w:rsidDel="00000000" w:rsidR="00000000" w:rsidRPr="00000000">
        <w:rPr>
          <w:rtl w:val="0"/>
        </w:rPr>
      </w:r>
    </w:p>
    <w:p w:rsidR="00000000" w:rsidDel="00000000" w:rsidP="00000000" w:rsidRDefault="00000000" w:rsidRPr="00000000" w14:paraId="0000022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estudios y profesionales con materiales sobrantes de obras recientes;</w:t>
      </w:r>
      <w:r w:rsidDel="00000000" w:rsidR="00000000" w:rsidRPr="00000000">
        <w:rPr>
          <w:rtl w:val="0"/>
        </w:rPr>
      </w:r>
    </w:p>
    <w:p w:rsidR="00000000" w:rsidDel="00000000" w:rsidP="00000000" w:rsidRDefault="00000000" w:rsidRPr="00000000" w14:paraId="0000022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 y desarrolladores con interés en optimización de costos.</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Ese número no equivale automáticamente al mercado efectivo de HabitatIA, porque no todos esos hogares estarán en etapa activa de obra ni todos pertenecerán al segmento de ingresos más compatible con una primera adopción digital. Sin embargo, funciona como proxy robusta para el SAM: muestra que existe un subconjunto muy amplio de hogares que no parten desde cero en términos de tenencia y que, precisamente por eso, tienen mayor probabilidad de necesitar herramientas para proyectar, ampliar, construir por etapas u optimizar costos. Allí es donde HabitatIA encuentra su espacio más lógico de entrada, especialmente en sectores medios y medios-bajos con alta sensibilidad al error presupuestario.</w:t>
      </w:r>
      <w:r w:rsidDel="00000000" w:rsidR="00000000" w:rsidRPr="00000000">
        <w:rPr>
          <w:rtl w:val="0"/>
        </w:rPr>
      </w:r>
    </w:p>
    <w:p w:rsidR="00000000" w:rsidDel="00000000" w:rsidP="00000000" w:rsidRDefault="00000000" w:rsidRPr="00000000" w14:paraId="000002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recorte es importante porque ubica el proyecto en un espacio alcanzable. La ambición no es resolver “todo el mercado de la construcción”, sino crear valor en un segmento donde la propuesta de diseño preliminar más ahorro puede tener mayor tracción inicial.</w:t>
      </w:r>
      <w:r w:rsidDel="00000000" w:rsidR="00000000" w:rsidRPr="00000000">
        <w:rPr>
          <w:rtl w:val="0"/>
        </w:rPr>
      </w:r>
    </w:p>
    <w:p w:rsidR="00000000" w:rsidDel="00000000" w:rsidP="00000000" w:rsidRDefault="00000000" w:rsidRPr="00000000" w14:paraId="0000022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SOM, o mercado obtenible, representa la porción que HabitatIA podría captar efectivamente en una etapa inicial. En este tipo de proyectos, es más sensato pensar el SOM en términos de masa crítica funcional que en participación porcentual ambiciosa. Es decir, más importante que una cuota abstracta es contar con una base inicial suficiente para demostrar uso, generar casos de valor y activar el marketplace.</w:t>
      </w:r>
      <w:r w:rsidDel="00000000" w:rsidR="00000000" w:rsidRPr="00000000">
        <w:rPr>
          <w:rtl w:val="0"/>
        </w:rPr>
      </w:r>
    </w:p>
    <w:p w:rsidR="00000000" w:rsidDel="00000000" w:rsidP="00000000" w:rsidRDefault="00000000" w:rsidRPr="00000000" w14:paraId="0000022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SOM razonable en términos conceptuales podría expresarse como:</w:t>
      </w:r>
      <w:r w:rsidDel="00000000" w:rsidR="00000000" w:rsidRPr="00000000">
        <w:rPr>
          <w:rtl w:val="0"/>
        </w:rPr>
      </w:r>
    </w:p>
    <w:p w:rsidR="00000000" w:rsidDel="00000000" w:rsidP="00000000" w:rsidRDefault="00000000" w:rsidRPr="00000000" w14:paraId="000002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primeros usuarios que completen el flujo y encuentren valor en la propuesta generada;</w:t>
      </w:r>
      <w:r w:rsidDel="00000000" w:rsidR="00000000" w:rsidRPr="00000000">
        <w:rPr>
          <w:rtl w:val="0"/>
        </w:rPr>
      </w:r>
    </w:p>
    <w:p w:rsidR="00000000" w:rsidDel="00000000" w:rsidP="00000000" w:rsidRDefault="00000000" w:rsidRPr="00000000" w14:paraId="000002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primeros oferentes de materiales capaces de poblar el marketplace con publicaciones útiles;</w:t>
      </w:r>
      <w:r w:rsidDel="00000000" w:rsidR="00000000" w:rsidRPr="00000000">
        <w:rPr>
          <w:rtl w:val="0"/>
        </w:rPr>
      </w:r>
    </w:p>
    <w:p w:rsidR="00000000" w:rsidDel="00000000" w:rsidP="00000000" w:rsidRDefault="00000000" w:rsidRPr="00000000" w14:paraId="000002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primeras coincidencias exitosas entre necesidades de proyectos y materiales ofrecidos;</w:t>
      </w:r>
      <w:r w:rsidDel="00000000" w:rsidR="00000000" w:rsidRPr="00000000">
        <w:rPr>
          <w:rtl w:val="0"/>
        </w:rPr>
      </w:r>
    </w:p>
    <w:p w:rsidR="00000000" w:rsidDel="00000000" w:rsidP="00000000" w:rsidRDefault="00000000" w:rsidRPr="00000000" w14:paraId="0000022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primeras señales de repetición o recomendación.</w:t>
      </w:r>
      <w:r w:rsidDel="00000000" w:rsidR="00000000" w:rsidRPr="00000000">
        <w:rPr>
          <w:rtl w:val="0"/>
        </w:rPr>
      </w:r>
    </w:p>
    <w:p w:rsidR="00000000" w:rsidDel="00000000" w:rsidP="00000000" w:rsidRDefault="00000000" w:rsidRPr="00000000" w14:paraId="000002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4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6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6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6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6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A">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B">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C">
      <w:pPr>
        <w:spacing w:after="160" w:before="160" w:line="240" w:lineRule="auto"/>
        <w:jc w:val="center"/>
        <w:rPr/>
      </w:pPr>
      <w:r w:rsidDel="00000000" w:rsidR="00000000" w:rsidRPr="00000000">
        <w:rPr/>
        <w:drawing>
          <wp:inline distB="0" distT="0" distL="0" distR="0">
            <wp:extent cx="6119820" cy="2857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E">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F">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70">
      <w:pPr>
        <w:pStyle w:val="Heading2"/>
        <w:spacing w:line="240" w:lineRule="auto"/>
        <w:rPr/>
      </w:pPr>
      <w:bookmarkStart w:colFirst="0" w:colLast="0" w:name="_4wvdhh7akcdz"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71">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72">
      <w:pPr>
        <w:spacing w:after="200" w:before="0" w:line="240" w:lineRule="auto"/>
        <w:rPr/>
      </w:pPr>
      <w:r w:rsidDel="00000000" w:rsidR="00000000" w:rsidRPr="00000000">
        <w:rPr>
          <w:rtl w:val="0"/>
        </w:rPr>
      </w:r>
    </w:p>
    <w:p w:rsidR="00000000" w:rsidDel="00000000" w:rsidP="00000000" w:rsidRDefault="00000000" w:rsidRPr="00000000" w14:paraId="000002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8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9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Para usuarios finales</w:t>
      </w:r>
      <w:r w:rsidDel="00000000" w:rsidR="00000000" w:rsidRPr="00000000">
        <w:rPr>
          <w:rFonts w:ascii="Calibri" w:cs="Calibri" w:eastAsia="Calibri" w:hAnsi="Calibri"/>
          <w:b w:val="0"/>
          <w:bCs w:val="0"/>
          <w:i w:val="0"/>
          <w:iCs w:val="0"/>
          <w:color w:val="1a1a2e"/>
          <w:sz w:val="26"/>
          <w:szCs w:val="26"/>
          <w:rtl w:val="0"/>
        </w:rPr>
        <w:t xml:space="preserve">, HabitatIA podría ofrecer versiones premium con más alternativas, estilos adicionales, nuevas distribuciones, reportes más detallados o simulaciones económicas más profundas. </w:t>
      </w:r>
      <w:r w:rsidDel="00000000" w:rsidR="00000000" w:rsidRPr="00000000">
        <w:rPr>
          <w:rFonts w:ascii="Calibri" w:cs="Calibri" w:eastAsia="Calibri" w:hAnsi="Calibri"/>
          <w:b w:val="1"/>
          <w:bCs w:val="1"/>
          <w:i w:val="0"/>
          <w:iCs w:val="0"/>
          <w:color w:val="1a1a2e"/>
          <w:sz w:val="26"/>
          <w:szCs w:val="26"/>
          <w:rtl w:val="0"/>
        </w:rPr>
        <w:t xml:space="preserve">Para profesionales</w:t>
      </w:r>
      <w:r w:rsidDel="00000000" w:rsidR="00000000" w:rsidRPr="00000000">
        <w:rPr>
          <w:rFonts w:ascii="Calibri" w:cs="Calibri" w:eastAsia="Calibri" w:hAnsi="Calibri"/>
          <w:b w:val="0"/>
          <w:bCs w:val="0"/>
          <w:i w:val="0"/>
          <w:iCs w:val="0"/>
          <w:color w:val="1a1a2e"/>
          <w:sz w:val="26"/>
          <w:szCs w:val="26"/>
          <w:rtl w:val="0"/>
        </w:rPr>
        <w:t xml:space="preserve">, podría sumar publicaciones destacadas, mayor visibilidad, herramientas analíticas o una interfaz de gestión más robusta. </w:t>
      </w:r>
      <w:r w:rsidDel="00000000" w:rsidR="00000000" w:rsidRPr="00000000">
        <w:rPr>
          <w:rFonts w:ascii="Calibri" w:cs="Calibri" w:eastAsia="Calibri" w:hAnsi="Calibri"/>
          <w:b w:val="1"/>
          <w:bCs w:val="1"/>
          <w:i w:val="0"/>
          <w:iCs w:val="0"/>
          <w:color w:val="1a1a2e"/>
          <w:sz w:val="26"/>
          <w:szCs w:val="26"/>
          <w:rtl w:val="0"/>
        </w:rPr>
        <w:t xml:space="preserve">Como capa opcional</w:t>
      </w:r>
      <w:r w:rsidDel="00000000" w:rsidR="00000000" w:rsidRPr="00000000">
        <w:rPr>
          <w:rFonts w:ascii="Calibri" w:cs="Calibri" w:eastAsia="Calibri" w:hAnsi="Calibri"/>
          <w:b w:val="0"/>
          <w:bCs w:val="0"/>
          <w:i w:val="0"/>
          <w:iCs w:val="0"/>
          <w:color w:val="1a1a2e"/>
          <w:sz w:val="26"/>
          <w:szCs w:val="26"/>
          <w:rtl w:val="0"/>
        </w:rPr>
        <w:t xml:space="preserve">, más adelante también podría incorporar soporte humano o vinculación con profesionales para cerrar la brecha entre la propuesta preliminar y la siguiente etapa técnica.</w:t>
      </w:r>
      <w:r w:rsidDel="00000000" w:rsidR="00000000" w:rsidRPr="00000000">
        <w:rPr>
          <w:rtl w:val="0"/>
        </w:rPr>
      </w:r>
    </w:p>
    <w:p w:rsidR="00000000" w:rsidDel="00000000" w:rsidP="00000000" w:rsidRDefault="00000000" w:rsidRPr="00000000" w14:paraId="000002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puede leerse en tres capas. </w:t>
      </w:r>
      <w:r w:rsidDel="00000000" w:rsidR="00000000" w:rsidRPr="00000000">
        <w:rPr>
          <w:rFonts w:ascii="Calibri" w:cs="Calibri" w:eastAsia="Calibri" w:hAnsi="Calibri"/>
          <w:b w:val="1"/>
          <w:bCs w:val="1"/>
          <w:i w:val="0"/>
          <w:iCs w:val="0"/>
          <w:color w:val="1a1a2e"/>
          <w:sz w:val="26"/>
          <w:szCs w:val="26"/>
          <w:rtl w:val="0"/>
        </w:rPr>
        <w:t xml:space="preserve">Acceso inicial</w:t>
      </w:r>
      <w:r w:rsidDel="00000000" w:rsidR="00000000" w:rsidRPr="00000000">
        <w:rPr>
          <w:rFonts w:ascii="Calibri" w:cs="Calibri" w:eastAsia="Calibri" w:hAnsi="Calibri"/>
          <w:b w:val="0"/>
          <w:bCs w:val="0"/>
          <w:i w:val="0"/>
          <w:iCs w:val="0"/>
          <w:color w:val="1a1a2e"/>
          <w:sz w:val="26"/>
          <w:szCs w:val="26"/>
          <w:rtl w:val="0"/>
        </w:rPr>
        <w:t xml:space="preserve">, donde entran la propuesta preliminar, la visualización y una referencia económica básica. </w:t>
      </w:r>
      <w:r w:rsidDel="00000000" w:rsidR="00000000" w:rsidRPr="00000000">
        <w:rPr>
          <w:rFonts w:ascii="Calibri" w:cs="Calibri" w:eastAsia="Calibri" w:hAnsi="Calibri"/>
          <w:b w:val="1"/>
          <w:bCs w:val="1"/>
          <w:i w:val="0"/>
          <w:iCs w:val="0"/>
          <w:color w:val="1a1a2e"/>
          <w:sz w:val="26"/>
          <w:szCs w:val="26"/>
          <w:rtl w:val="0"/>
        </w:rPr>
        <w:t xml:space="preserve">Optimización</w:t>
      </w:r>
      <w:r w:rsidDel="00000000" w:rsidR="00000000" w:rsidRPr="00000000">
        <w:rPr>
          <w:rFonts w:ascii="Calibri" w:cs="Calibri" w:eastAsia="Calibri" w:hAnsi="Calibri"/>
          <w:b w:val="0"/>
          <w:bCs w:val="0"/>
          <w:i w:val="0"/>
          <w:iCs w:val="0"/>
          <w:color w:val="1a1a2e"/>
          <w:sz w:val="26"/>
          <w:szCs w:val="26"/>
          <w:rtl w:val="0"/>
        </w:rPr>
        <w:t xml:space="preserve">, donde aparecen el cómputo más estructurado y el cruce con marketplace. </w:t>
      </w:r>
      <w:r w:rsidDel="00000000" w:rsidR="00000000" w:rsidRPr="00000000">
        <w:rPr>
          <w:rFonts w:ascii="Calibri" w:cs="Calibri" w:eastAsia="Calibri" w:hAnsi="Calibri"/>
          <w:b w:val="1"/>
          <w:bCs w:val="1"/>
          <w:i w:val="0"/>
          <w:iCs w:val="0"/>
          <w:color w:val="1a1a2e"/>
          <w:sz w:val="26"/>
          <w:szCs w:val="26"/>
          <w:rtl w:val="0"/>
        </w:rPr>
        <w:t xml:space="preserve">Servicios ampliados</w:t>
      </w:r>
      <w:r w:rsidDel="00000000" w:rsidR="00000000" w:rsidRPr="00000000">
        <w:rPr>
          <w:rFonts w:ascii="Calibri" w:cs="Calibri" w:eastAsia="Calibri" w:hAnsi="Calibri"/>
          <w:b w:val="0"/>
          <w:bCs w:val="0"/>
          <w:i w:val="0"/>
          <w:iCs w:val="0"/>
          <w:color w:val="1a1a2e"/>
          <w:sz w:val="26"/>
          <w:szCs w:val="26"/>
          <w:rtl w:val="0"/>
        </w:rPr>
        <w:t xml:space="preserve">, que abren la puerta a funcionalidades premium, integración con aliados o soporte profesional. Leída de esta manera, la cartera conserva orden y evita mezclar desde el comienzo promesas que pertenecen a momentos distintos del recorrido.</w:t>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Después</w:t>
      </w:r>
      <w:r w:rsidDel="00000000" w:rsidR="00000000" w:rsidRPr="00000000">
        <w:rPr>
          <w:rFonts w:ascii="Calibri" w:cs="Calibri" w:eastAsia="Calibri" w:hAnsi="Calibri"/>
          <w:b w:val="0"/>
          <w:bCs w:val="0"/>
          <w:i w:val="0"/>
          <w:iCs w:val="0"/>
          <w:color w:val="1a1a2e"/>
          <w:sz w:val="26"/>
          <w:szCs w:val="26"/>
          <w:rtl w:val="0"/>
        </w:rPr>
        <w:t xml:space="preserve">, una monetización temprana del servicio principal, sin necesidad de cobrar el acceso inicial. Una hipótesis razonable sería mantener gratuita la primera experiencia orientativa y cobrar un plan premium cuando el usuario quiera descargar un cómputo más detallado, variantes comparativas o un reporte exportable. Como referencia preliminar, ese plan podría ubicarse en un rango equivalente a una consulta arquitectónica breve de mercado, por ejemplo entre ARS 25.000 y ARS 40.000 por proyecto, con un punto de entrada sugerido cercano a ARS 29.900 para la descarga del cómputo detallado en Excel y reporte ampliado.</w:t>
      </w:r>
      <w:r w:rsidDel="00000000" w:rsidR="00000000" w:rsidRPr="00000000">
        <w:rPr>
          <w:rtl w:val="0"/>
        </w:rPr>
      </w:r>
    </w:p>
    <w:p w:rsidR="00000000" w:rsidDel="00000000" w:rsidP="00000000" w:rsidRDefault="00000000" w:rsidRPr="00000000" w14:paraId="000002A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En una tercera fase</w:t>
      </w:r>
      <w:r w:rsidDel="00000000" w:rsidR="00000000" w:rsidRPr="00000000">
        <w:rPr>
          <w:rFonts w:ascii="Calibri" w:cs="Calibri" w:eastAsia="Calibri" w:hAnsi="Calibri"/>
          <w:b w:val="0"/>
          <w:bCs w:val="0"/>
          <w:i w:val="0"/>
          <w:iCs w:val="0"/>
          <w:color w:val="1a1a2e"/>
          <w:sz w:val="26"/>
          <w:szCs w:val="26"/>
          <w:rtl w:val="0"/>
        </w:rPr>
        <w:t xml:space="preserve">, si el marketplace empieza a mostrar movimiento real, la plataforma podría capturar valor mediante comisión por transacción, publicación destacada o servicios de visibilidad para oferentes. Como hipótesis inicial de pricing, una comisión del 8 % sobre la operación aparece como un punto intermedio razonable: suficientemente baja como para no desalentar la publicación de excedentes, pero suficientemente alta como para capturar valor por intermediación, confianza, visibilidad y matching contextualizado. Esta fase exige más madurez porque depende de confianza, volumen y calidad de coincidencias.</w:t>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Más adelante</w:t>
      </w:r>
      <w:r w:rsidDel="00000000" w:rsidR="00000000" w:rsidRPr="00000000">
        <w:rPr>
          <w:rFonts w:ascii="Calibri" w:cs="Calibri" w:eastAsia="Calibri" w:hAnsi="Calibri"/>
          <w:b w:val="0"/>
          <w:bCs w:val="0"/>
          <w:i w:val="0"/>
          <w:iCs w:val="0"/>
          <w:color w:val="1a1a2e"/>
          <w:sz w:val="26"/>
          <w:szCs w:val="26"/>
          <w:rtl w:val="0"/>
        </w:rPr>
        <w:t xml:space="preserve">, HabitatIA podría combinar ingresos provenientes de usuarios finales, actores del marketplace y acuerdos con aliados. Esa diversificación fortalecería la sustentabilidad del modelo.</w:t>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w:t>
      </w:r>
      <w:r w:rsidDel="00000000" w:rsidR="00000000" w:rsidRPr="00000000">
        <w:rPr>
          <w:rtl w:val="0"/>
        </w:rPr>
      </w:r>
    </w:p>
    <w:p w:rsidR="00000000" w:rsidDel="00000000" w:rsidP="00000000" w:rsidRDefault="00000000" w:rsidRPr="00000000" w14:paraId="000002B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8.2.1 Estudios de arquitectura tradicionales</w:t>
      </w:r>
      <w:r w:rsidDel="00000000" w:rsidR="00000000" w:rsidRPr="00000000">
        <w:rPr>
          <w:rtl w:val="0"/>
        </w:rPr>
      </w:r>
    </w:p>
    <w:p w:rsidR="00000000" w:rsidDel="00000000" w:rsidP="00000000" w:rsidRDefault="00000000" w:rsidRPr="00000000" w14:paraId="000002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Resuelven personalización, criterio técnico y acompañamiento profesional. Su mayor fortaleza está en la profundidad del servicio. Su mayor limitación, en relación con HabitatIA, aparece en el costo de entrada, la velocidad y la menor capacidad de ofrecer una experiencia inmediata para la etapa exploratoria.</w:t>
      </w:r>
      <w:r w:rsidDel="00000000" w:rsidR="00000000" w:rsidRPr="00000000">
        <w:rPr>
          <w:rtl w:val="0"/>
        </w:rPr>
      </w:r>
    </w:p>
    <w:p w:rsidR="00000000" w:rsidDel="00000000" w:rsidP="00000000" w:rsidRDefault="00000000" w:rsidRPr="00000000" w14:paraId="000002B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8.2.2 Plataformas de inspiración visual y renders</w:t>
      </w:r>
      <w:r w:rsidDel="00000000" w:rsidR="00000000" w:rsidRPr="00000000">
        <w:rPr>
          <w:rtl w:val="0"/>
        </w:rPr>
      </w:r>
    </w:p>
    <w:p w:rsidR="00000000" w:rsidDel="00000000" w:rsidP="00000000" w:rsidRDefault="00000000" w:rsidRPr="00000000" w14:paraId="000002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Son útiles para inspirar, imaginar o explorar estilos, pero suelen carecer de conexión con materiales, costos y lógica de proyecto. En ese sentido, pueden competir por la atención del usuario, pero no cubren la misma profundidad funcional.</w:t>
      </w:r>
      <w:r w:rsidDel="00000000" w:rsidR="00000000" w:rsidRPr="00000000">
        <w:rPr>
          <w:rtl w:val="0"/>
        </w:rPr>
      </w:r>
    </w:p>
    <w:p w:rsidR="00000000" w:rsidDel="00000000" w:rsidP="00000000" w:rsidRDefault="00000000" w:rsidRPr="00000000" w14:paraId="000002B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8.2.3 Marketplaces generales de materiales</w:t>
      </w:r>
      <w:r w:rsidDel="00000000" w:rsidR="00000000" w:rsidRPr="00000000">
        <w:rPr>
          <w:rtl w:val="0"/>
        </w:rPr>
      </w:r>
    </w:p>
    <w:p w:rsidR="00000000" w:rsidDel="00000000" w:rsidP="00000000" w:rsidRDefault="00000000" w:rsidRPr="00000000" w14:paraId="000002C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Compiten por el lado transaccional del marketplace, pero no integran una demanda guiada por un proyecto habitacional específico. Esa falta de contexto debilita la experiencia comparada con la propuesta de HabitatIA.</w:t>
      </w:r>
      <w:r w:rsidDel="00000000" w:rsidR="00000000" w:rsidRPr="00000000">
        <w:rPr>
          <w:rtl w:val="0"/>
        </w:rPr>
      </w:r>
    </w:p>
    <w:p w:rsidR="00000000" w:rsidDel="00000000" w:rsidP="00000000" w:rsidRDefault="00000000" w:rsidRPr="00000000" w14:paraId="000002C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8.2.4 Soluciones modulares o constructoras especializadas</w:t>
      </w:r>
      <w:r w:rsidDel="00000000" w:rsidR="00000000" w:rsidRPr="00000000">
        <w:rPr>
          <w:rtl w:val="0"/>
        </w:rPr>
      </w:r>
    </w:p>
    <w:p w:rsidR="00000000" w:rsidDel="00000000" w:rsidP="00000000" w:rsidRDefault="00000000" w:rsidRPr="00000000" w14:paraId="000002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captar usuarios que buscan rapidez y estandarización. Su debilidad relativa puede estar en la menor personalización y en la falta de integración con una lógica de ahorro por reutilización.</w:t>
      </w:r>
      <w:r w:rsidDel="00000000" w:rsidR="00000000" w:rsidRPr="00000000">
        <w:rPr>
          <w:rtl w:val="0"/>
        </w:rPr>
      </w:r>
    </w:p>
    <w:p w:rsidR="00000000" w:rsidDel="00000000" w:rsidP="00000000" w:rsidRDefault="00000000" w:rsidRPr="00000000" w14:paraId="000002C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8.2.5 Herramientas de presupuesto o cálculo aislado</w:t>
      </w:r>
      <w:r w:rsidDel="00000000" w:rsidR="00000000" w:rsidRPr="00000000">
        <w:rPr>
          <w:rtl w:val="0"/>
        </w:rPr>
      </w:r>
    </w:p>
    <w:p w:rsidR="00000000" w:rsidDel="00000000" w:rsidP="00000000" w:rsidRDefault="00000000" w:rsidRPr="00000000" w14:paraId="000002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casos, pueden resolver una parte del problema económico, pero no acompañan con la misma potencia visual ni con la integración del marketplace.</w:t>
      </w:r>
      <w:r w:rsidDel="00000000" w:rsidR="00000000" w:rsidRPr="00000000">
        <w:rPr>
          <w:rtl w:val="0"/>
        </w:rPr>
      </w:r>
    </w:p>
    <w:p w:rsidR="00000000" w:rsidDel="00000000" w:rsidP="00000000" w:rsidRDefault="00000000" w:rsidRPr="00000000" w14:paraId="000002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analizar el posicionamiento de HabitatIA conviene mirar algunas variables concretas: </w:t>
      </w:r>
      <w:r w:rsidDel="00000000" w:rsidR="00000000" w:rsidRPr="00000000">
        <w:rPr>
          <w:rFonts w:ascii="Calibri" w:cs="Calibri" w:eastAsia="Calibri" w:hAnsi="Calibri"/>
          <w:b w:val="1"/>
          <w:bCs w:val="1"/>
          <w:i w:val="0"/>
          <w:iCs w:val="0"/>
          <w:color w:val="1a1a2e"/>
          <w:sz w:val="26"/>
          <w:szCs w:val="26"/>
          <w:rtl w:val="0"/>
        </w:rPr>
        <w:t xml:space="preserve">grado de personalización, accesibilidad económica de entrada, claridad presupuestaria, experiencia digital integrada, capacidad de generar ahorro aplicable, incorporación de sostenibilidad y facilidad de uso para no especialistas</w:t>
      </w:r>
      <w:r w:rsidDel="00000000" w:rsidR="00000000" w:rsidRPr="00000000">
        <w:rPr>
          <w:rFonts w:ascii="Calibri" w:cs="Calibri" w:eastAsia="Calibri" w:hAnsi="Calibri"/>
          <w:b w:val="0"/>
          <w:bCs w:val="0"/>
          <w:i w:val="0"/>
          <w:iCs w:val="0"/>
          <w:color w:val="1a1a2e"/>
          <w:sz w:val="26"/>
          <w:szCs w:val="26"/>
          <w:rtl w:val="0"/>
        </w:rPr>
        <w:t xml:space="preserve">. Esa combinación permite comparar no solo funcionalidades, sino también calidad de experiencia y pertinencia real para el usuario.</w:t>
      </w:r>
      <w:r w:rsidDel="00000000" w:rsidR="00000000" w:rsidRPr="00000000">
        <w:rPr>
          <w:rtl w:val="0"/>
        </w:rPr>
      </w:r>
    </w:p>
    <w:p w:rsidR="00000000" w:rsidDel="00000000" w:rsidP="00000000" w:rsidRDefault="00000000" w:rsidRPr="00000000" w14:paraId="000002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clara de ubicar a HabitatIA dentro del entorno competitivo es cruzar los principales tipos de competidor con cuatro atributos centrales: </w:t>
      </w:r>
      <w:r w:rsidDel="00000000" w:rsidR="00000000" w:rsidRPr="00000000">
        <w:rPr>
          <w:rFonts w:ascii="Calibri" w:cs="Calibri" w:eastAsia="Calibri" w:hAnsi="Calibri"/>
          <w:b w:val="1"/>
          <w:bCs w:val="1"/>
          <w:i w:val="0"/>
          <w:iCs w:val="0"/>
          <w:color w:val="1a1a2e"/>
          <w:sz w:val="26"/>
          <w:szCs w:val="26"/>
          <w:rtl w:val="0"/>
        </w:rPr>
        <w:t xml:space="preserve">accesibilidad, personalización, criterio económico y circularidad</w:t>
      </w:r>
      <w:r w:rsidDel="00000000" w:rsidR="00000000" w:rsidRPr="00000000">
        <w:rPr>
          <w:rFonts w:ascii="Calibri" w:cs="Calibri" w:eastAsia="Calibri" w:hAnsi="Calibri"/>
          <w:b w:val="0"/>
          <w:bCs w:val="0"/>
          <w:i w:val="0"/>
          <w:iCs w:val="0"/>
          <w:color w:val="1a1a2e"/>
          <w:sz w:val="26"/>
          <w:szCs w:val="26"/>
          <w:rtl w:val="0"/>
        </w:rPr>
        <w:t xml:space="preserve">.</w:t>
      </w:r>
      <w:r w:rsidDel="00000000" w:rsidR="00000000" w:rsidRPr="00000000">
        <w:rPr>
          <w:rtl w:val="0"/>
        </w:rPr>
      </w:r>
    </w:p>
    <w:tbl>
      <w:tblPr>
        <w:tblStyle w:val="Table1"/>
        <w:tblW w:w="9360.0" w:type="dxa"/>
        <w:jc w:val="left"/>
        <w:tblBorders>
          <w:top w:color="c8922a" w:space="0" w:sz="4" w:val="single"/>
          <w:left w:color="dddddd" w:space="0" w:sz="4" w:val="single"/>
          <w:bottom w:color="c8922a" w:space="0" w:sz="4" w:val="single"/>
          <w:right w:color="dddddd" w:space="0" w:sz="4" w:val="single"/>
          <w:insideH w:color="dddddd" w:space="0" w:sz="4" w:val="single"/>
          <w:insideV w:color="dddddd"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b3a5c" w:val="clear"/>
            <w:tcMar>
              <w:top w:w="80.0" w:type="dxa"/>
              <w:left w:w="120.0" w:type="dxa"/>
              <w:bottom w:w="80.0" w:type="dxa"/>
              <w:right w:w="120.0" w:type="dxa"/>
            </w:tcMar>
          </w:tcPr>
          <w:p w:rsidR="00000000" w:rsidDel="00000000" w:rsidP="00000000" w:rsidRDefault="00000000" w:rsidRPr="00000000" w14:paraId="000002C9">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Actor / atributo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A">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Accesibilidad</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B">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Personalización</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C">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Criterio económico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D">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Circularidad</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C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HabitatIA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C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2">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3">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Estudios tradicionales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4">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5">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6">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7">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D8">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Apps de renders / inspiración</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9">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A">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B">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C">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D">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Marketplaces de materiales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r>
    </w:tbl>
    <w:p w:rsidR="00000000" w:rsidDel="00000000" w:rsidP="00000000" w:rsidRDefault="00000000" w:rsidRPr="00000000" w14:paraId="000002E2">
      <w:pPr>
        <w:spacing w:line="240" w:lineRule="auto"/>
        <w:rPr/>
      </w:pPr>
      <w:r w:rsidDel="00000000" w:rsidR="00000000" w:rsidRPr="00000000">
        <w:rPr>
          <w:rtl w:val="0"/>
        </w:rPr>
      </w:r>
    </w:p>
    <w:p w:rsidR="00000000" w:rsidDel="00000000" w:rsidP="00000000" w:rsidRDefault="00000000" w:rsidRPr="00000000" w14:paraId="000002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lectura del mapa muestra una posición diferencial clara. </w:t>
      </w:r>
      <w:r w:rsidDel="00000000" w:rsidR="00000000" w:rsidRPr="00000000">
        <w:rPr>
          <w:rFonts w:ascii="Calibri" w:cs="Calibri" w:eastAsia="Calibri" w:hAnsi="Calibri"/>
          <w:b w:val="1"/>
          <w:bCs w:val="1"/>
          <w:i w:val="0"/>
          <w:iCs w:val="0"/>
          <w:color w:val="1a1a2e"/>
          <w:sz w:val="26"/>
          <w:szCs w:val="26"/>
          <w:rtl w:val="0"/>
        </w:rPr>
        <w:t xml:space="preserve">Los estudios tradicionales</w:t>
      </w:r>
      <w:r w:rsidDel="00000000" w:rsidR="00000000" w:rsidRPr="00000000">
        <w:rPr>
          <w:rFonts w:ascii="Calibri" w:cs="Calibri" w:eastAsia="Calibri" w:hAnsi="Calibri"/>
          <w:b w:val="0"/>
          <w:bCs w:val="0"/>
          <w:i w:val="0"/>
          <w:iCs w:val="0"/>
          <w:color w:val="1a1a2e"/>
          <w:sz w:val="26"/>
          <w:szCs w:val="26"/>
          <w:rtl w:val="0"/>
        </w:rPr>
        <w:t xml:space="preserve"> concentran profundidad técnica y personalización, pero con una barrera de entrada más alta. </w:t>
      </w:r>
      <w:r w:rsidDel="00000000" w:rsidR="00000000" w:rsidRPr="00000000">
        <w:rPr>
          <w:rFonts w:ascii="Calibri" w:cs="Calibri" w:eastAsia="Calibri" w:hAnsi="Calibri"/>
          <w:b w:val="1"/>
          <w:bCs w:val="1"/>
          <w:i w:val="0"/>
          <w:iCs w:val="0"/>
          <w:color w:val="1a1a2e"/>
          <w:sz w:val="26"/>
          <w:szCs w:val="26"/>
          <w:rtl w:val="0"/>
        </w:rPr>
        <w:t xml:space="preserve">Las apps de renders</w:t>
      </w:r>
      <w:r w:rsidDel="00000000" w:rsidR="00000000" w:rsidRPr="00000000">
        <w:rPr>
          <w:rFonts w:ascii="Calibri" w:cs="Calibri" w:eastAsia="Calibri" w:hAnsi="Calibri"/>
          <w:b w:val="0"/>
          <w:bCs w:val="0"/>
          <w:i w:val="0"/>
          <w:iCs w:val="0"/>
          <w:color w:val="1a1a2e"/>
          <w:sz w:val="26"/>
          <w:szCs w:val="26"/>
          <w:rtl w:val="0"/>
        </w:rPr>
        <w:t xml:space="preserve"> ofrecen acceso rápido y atractivo visual, aunque con poco criterio económico y sin una lógica de circularidad. </w:t>
      </w:r>
      <w:r w:rsidDel="00000000" w:rsidR="00000000" w:rsidRPr="00000000">
        <w:rPr>
          <w:rFonts w:ascii="Calibri" w:cs="Calibri" w:eastAsia="Calibri" w:hAnsi="Calibri"/>
          <w:b w:val="1"/>
          <w:bCs w:val="1"/>
          <w:i w:val="0"/>
          <w:iCs w:val="0"/>
          <w:color w:val="1a1a2e"/>
          <w:sz w:val="26"/>
          <w:szCs w:val="26"/>
          <w:rtl w:val="0"/>
        </w:rPr>
        <w:t xml:space="preserve">Los marketplaces</w:t>
      </w:r>
      <w:r w:rsidDel="00000000" w:rsidR="00000000" w:rsidRPr="00000000">
        <w:rPr>
          <w:rFonts w:ascii="Calibri" w:cs="Calibri" w:eastAsia="Calibri" w:hAnsi="Calibri"/>
          <w:b w:val="0"/>
          <w:bCs w:val="0"/>
          <w:i w:val="0"/>
          <w:iCs w:val="0"/>
          <w:color w:val="1a1a2e"/>
          <w:sz w:val="26"/>
          <w:szCs w:val="26"/>
          <w:rtl w:val="0"/>
        </w:rPr>
        <w:t xml:space="preserve"> resuelven parte de la transacción, pero sin suficiente personalización ni conexión directa con el proyecto habitacional. </w:t>
      </w:r>
      <w:r w:rsidDel="00000000" w:rsidR="00000000" w:rsidRPr="00000000">
        <w:rPr>
          <w:rFonts w:ascii="Calibri" w:cs="Calibri" w:eastAsia="Calibri" w:hAnsi="Calibri"/>
          <w:b w:val="1"/>
          <w:bCs w:val="1"/>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ocupa el cruce entre accesibilidad, personalización, lectura económica y reutilización de materiales dentro de una misma experiencia.</w:t>
      </w:r>
      <w:r w:rsidDel="00000000" w:rsidR="00000000" w:rsidRPr="00000000">
        <w:rPr>
          <w:rtl w:val="0"/>
        </w:rPr>
      </w:r>
    </w:p>
    <w:p w:rsidR="00000000" w:rsidDel="00000000" w:rsidP="00000000" w:rsidRDefault="00000000" w:rsidRPr="00000000" w14:paraId="000002E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es probablemente su diferencial más fuerte. La propuesta integra visualización, plano, materiales, presupuesto y ahorro potencial en un mismo recorrido.</w:t>
      </w:r>
      <w:r w:rsidDel="00000000" w:rsidR="00000000" w:rsidRPr="00000000">
        <w:rPr>
          <w:rtl w:val="0"/>
        </w:rPr>
      </w:r>
    </w:p>
    <w:p w:rsidR="00000000" w:rsidDel="00000000" w:rsidP="00000000" w:rsidRDefault="00000000" w:rsidRPr="00000000" w14:paraId="000002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E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E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E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F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F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F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F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F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F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F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F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3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3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3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3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3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3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3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3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30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3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3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3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3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3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31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3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31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3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31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3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31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3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3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3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31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3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31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2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2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2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27">
      <w:pPr>
        <w:spacing w:after="200" w:before="0" w:line="240" w:lineRule="auto"/>
        <w:rPr/>
      </w:pPr>
      <w:r w:rsidDel="00000000" w:rsidR="00000000" w:rsidRPr="00000000">
        <w:rPr>
          <w:rtl w:val="0"/>
        </w:rPr>
      </w:r>
    </w:p>
    <w:p w:rsidR="00000000" w:rsidDel="00000000" w:rsidP="00000000" w:rsidRDefault="00000000" w:rsidRPr="00000000" w14:paraId="0000032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3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campañas segmentadas pueden resultar útiles para validar mensajes y acelerar aprendizaje. La pauta no debería orientarse solo a tráfico, sino a señales concretas de interés: formularios completados, demos solicitadas, pruebas del flujo o publicaciones de materiales.</w:t>
      </w:r>
      <w:r w:rsidDel="00000000" w:rsidR="00000000" w:rsidRPr="00000000">
        <w:rPr>
          <w:rtl w:val="0"/>
        </w:rPr>
      </w:r>
    </w:p>
    <w:p w:rsidR="00000000" w:rsidDel="00000000" w:rsidP="00000000" w:rsidRDefault="00000000" w:rsidRPr="00000000" w14:paraId="000003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4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4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4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4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4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4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eventualmente nodos de derivación de usuarios.</w:t>
      </w:r>
      <w:r w:rsidDel="00000000" w:rsidR="00000000" w:rsidRPr="00000000">
        <w:rPr>
          <w:rtl w:val="0"/>
        </w:rPr>
      </w:r>
    </w:p>
    <w:p w:rsidR="00000000" w:rsidDel="00000000" w:rsidP="00000000" w:rsidRDefault="00000000" w:rsidRPr="00000000" w14:paraId="000003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aliados estratégicos o incluso beneficiarios de ciertos servicios premium futuros.</w:t>
      </w:r>
      <w:r w:rsidDel="00000000" w:rsidR="00000000" w:rsidRPr="00000000">
        <w:rPr>
          <w:rtl w:val="0"/>
        </w:rPr>
      </w:r>
    </w:p>
    <w:p w:rsidR="00000000" w:rsidDel="00000000" w:rsidP="00000000" w:rsidRDefault="00000000" w:rsidRPr="00000000" w14:paraId="000003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w:t>
      </w:r>
      <w:r w:rsidDel="00000000" w:rsidR="00000000" w:rsidRPr="00000000">
        <w:rPr>
          <w:rtl w:val="0"/>
        </w:rPr>
      </w:r>
    </w:p>
    <w:p w:rsidR="00000000" w:rsidDel="00000000" w:rsidP="00000000" w:rsidRDefault="00000000" w:rsidRPr="00000000" w14:paraId="000003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Captar usuarios mediante contenido, pauta, SEO, alianzas y presencia en espacios relevantes.</w:t>
      </w:r>
      <w:r w:rsidDel="00000000" w:rsidR="00000000" w:rsidRPr="00000000">
        <w:rPr>
          <w:rtl w:val="0"/>
        </w:rPr>
      </w:r>
    </w:p>
    <w:p w:rsidR="00000000" w:rsidDel="00000000" w:rsidP="00000000" w:rsidRDefault="00000000" w:rsidRPr="00000000" w14:paraId="000003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Lograr que el usuario pruebe la propuesta o deje sus datos para iniciar el recorrido.</w:t>
      </w:r>
      <w:r w:rsidDel="00000000" w:rsidR="00000000" w:rsidRPr="00000000">
        <w:rPr>
          <w:rtl w:val="0"/>
        </w:rPr>
      </w:r>
    </w:p>
    <w:p w:rsidR="00000000" w:rsidDel="00000000" w:rsidP="00000000" w:rsidRDefault="00000000" w:rsidRPr="00000000" w14:paraId="000003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Entregar una experiencia suficientemente valiosa como para que el usuario perciba utilidad real en el producto.</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Avanzar sobre premium, comisiones, publicaciones destacadas o servicios complementarios según el segmento.</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w:t>
      </w:r>
      <w:r w:rsidDel="00000000" w:rsidR="00000000" w:rsidRPr="00000000">
        <w:rPr>
          <w:rtl w:val="0"/>
        </w:rPr>
      </w:r>
    </w:p>
    <w:p w:rsidR="00000000" w:rsidDel="00000000" w:rsidP="00000000" w:rsidRDefault="00000000" w:rsidRPr="00000000" w14:paraId="000003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6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w:t>
      </w:r>
      <w:r w:rsidDel="00000000" w:rsidR="00000000" w:rsidRPr="00000000">
        <w:rPr>
          <w:rtl w:val="0"/>
        </w:rPr>
      </w:r>
    </w:p>
    <w:p w:rsidR="00000000" w:rsidDel="00000000" w:rsidP="00000000" w:rsidRDefault="00000000" w:rsidRPr="00000000" w14:paraId="0000037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7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7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contenido educativo y demos guiadas.</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podrían definirse indicadores iniciales tales como tasa de inicio y finalización del formulario, porcentaje de usuarios que visualizan el presupuesto completo, tasa de usuarios que consultan el ahorro potencial, cantidad de materiales publicados por oferente, porcentaje de publicaciones con consulta o interés, costo de adquisición por lead relevante y tasa de activación de usuarios que completan la experiencia principal.</w:t>
      </w:r>
      <w:r w:rsidDel="00000000" w:rsidR="00000000" w:rsidRPr="00000000">
        <w:rPr>
          <w:rtl w:val="0"/>
        </w:rPr>
      </w:r>
    </w:p>
    <w:p w:rsidR="00000000" w:rsidDel="00000000" w:rsidP="00000000" w:rsidRDefault="00000000" w:rsidRPr="00000000" w14:paraId="000003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9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9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9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9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A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A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A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A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A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A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B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B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B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BA">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BB">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BC">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BD">
      <w:pPr>
        <w:spacing w:after="160" w:before="160" w:line="240" w:lineRule="auto"/>
        <w:jc w:val="center"/>
        <w:rPr/>
      </w:pPr>
      <w:r w:rsidDel="00000000" w:rsidR="00000000" w:rsidRPr="00000000">
        <w:rPr/>
        <w:drawing>
          <wp:inline distB="0" distT="0" distL="0" distR="0">
            <wp:extent cx="6119820" cy="326390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C0">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C1">
      <w:pPr>
        <w:pStyle w:val="Heading2"/>
        <w:spacing w:line="240" w:lineRule="auto"/>
        <w:rPr/>
      </w:pPr>
      <w:bookmarkStart w:colFirst="0" w:colLast="0" w:name="_v8wpn17qqsrl"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C2">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C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C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C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C7">
      <w:pPr>
        <w:spacing w:after="160" w:before="160" w:line="240" w:lineRule="auto"/>
        <w:jc w:val="center"/>
        <w:rPr/>
      </w:pPr>
      <w:r w:rsidDel="00000000" w:rsidR="00000000" w:rsidRPr="00000000">
        <w:rPr/>
        <w:drawing>
          <wp:inline distB="0" distT="0" distL="0" distR="0">
            <wp:extent cx="6119820" cy="31242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C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D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D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D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D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D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D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D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D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D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D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D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D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E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4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4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4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4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4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4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41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4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41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4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2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3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3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4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4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5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6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7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7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8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8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8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488">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89">
      <w:pPr>
        <w:spacing w:after="200" w:before="0" w:line="240" w:lineRule="auto"/>
        <w:rPr>
          <w:b w:val="1"/>
          <w:bCs w:val="1"/>
        </w:rPr>
      </w:pPr>
      <w:hyperlink r:id="rId18">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8A">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8B">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8C">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8D">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8E">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8F">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90">
      <w:pPr>
        <w:spacing w:after="200" w:before="0" w:line="240" w:lineRule="auto"/>
        <w:rPr>
          <w:b w:val="1"/>
          <w:bCs w:val="1"/>
          <w:color w:val="1b3a5c"/>
          <w:sz w:val="32"/>
          <w:szCs w:val="32"/>
        </w:rPr>
      </w:pPr>
      <w:r w:rsidDel="00000000" w:rsidR="00000000" w:rsidRPr="00000000">
        <w:rPr>
          <w:b w:val="1"/>
          <w:bCs w:val="1"/>
          <w:color w:val="1b3a5c"/>
          <w:sz w:val="32"/>
          <w:szCs w:val="32"/>
        </w:rPr>
        <w:drawing>
          <wp:inline distB="114300" distT="114300" distL="114300" distR="114300">
            <wp:extent cx="6119820" cy="79121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19820" cy="7912100"/>
                    </a:xfrm>
                    <a:prstGeom prst="rect"/>
                    <a:ln/>
                  </pic:spPr>
                </pic:pic>
              </a:graphicData>
            </a:graphic>
          </wp:inline>
        </w:drawing>
      </w:r>
      <w:r w:rsidDel="00000000" w:rsidR="00000000" w:rsidRPr="00000000">
        <w:rPr>
          <w:rtl w:val="0"/>
        </w:rPr>
      </w:r>
    </w:p>
    <w:sectPr>
      <w:headerReference r:id="rId20"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92">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hyperlink" Target="https://docs.google.com/spreadsheets/d/15taX3JsNnOizvyF9ycVTXIKut8VPVFiwoYt2RpNed3M/edit?usp=sharing" TargetMode="Externa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