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Análisis de cartera de créditos Catamarca</w:t>
      </w:r>
    </w:p>
    <w:p>
      <w:r>
        <w:t>Alcance: análisis de toda la hoja de depósitos y de todas las hojas de cobranzas disponibles en el archivo de Cecilia. El estado operativo y la semaforización se leen con corte en el último mes disponible del archivo de cobranzas.</w:t>
      </w:r>
    </w:p>
    <w:p>
      <w:pPr>
        <w:pStyle w:val="Heading2"/>
      </w:pPr>
      <w:r>
        <w:t>1. Alcance del análisis</w:t>
      </w:r>
    </w:p>
    <w:p>
      <w:r>
        <w:t>Este informe toma la cartera completa presente en la hoja DEPOSITOS y la cruza contra todo el historial mensual disponible en el archivo de cobranzas. Esto permite leer la evolución de la cobranza por hoja, además del estado operativo al último corte cargado.</w:t>
      </w:r>
    </w:p>
    <w:p>
      <w:pPr>
        <w:pStyle w:val="Heading2"/>
      </w:pPr>
      <w:r>
        <w:t>2. Indicadores generales de cartera</w:t>
      </w:r>
    </w:p>
    <w:p>
      <w:r>
        <w:t>Se analizaron 0 créditos. El monto depositado total asciende a $ 0.00 y el monto total a cobrar asciende a $ 0.00.</w:t>
      </w:r>
    </w:p>
    <w:p>
      <w:pPr>
        <w:pStyle w:val="Heading2"/>
      </w:pPr>
      <w:r>
        <w:t>3. Lectura al último corte de cobranza</w:t>
      </w:r>
    </w:p>
    <w:p>
      <w:r>
        <w:t>Al último corte reflejado en el dashboard, el monto cobrado del último mes asciende a $ 0.00. La mora operativa alcanza 0 casos y concentra un monto de cartera de $ 0.00. El porcentaje de créditos con cobro en el último mes es 0.00% y el porcentaje de mora operativa es 0.00%.</w:t>
      </w:r>
    </w:p>
    <w:p>
      <w:pPr>
        <w:pStyle w:val="Heading2"/>
      </w:pPr>
      <w:r>
        <w:t>4. Resumen por hojas mensuales</w:t>
      </w:r>
    </w:p>
    <w:p>
      <w:pPr>
        <w:pStyle w:val="ListBullet"/>
      </w:pPr>
      <w:r>
        <w:t>febrero,marzo,abril 2025: registros 75, cuotas cobradas 117, monto total cobrado $ 14,017,000.00.</w:t>
      </w:r>
    </w:p>
    <w:p>
      <w:pPr>
        <w:pStyle w:val="ListBullet"/>
      </w:pPr>
      <w:r>
        <w:t>mayo 2025: registros 131, cuotas cobradas 56, monto total cobrado $ 7,886,000.00.</w:t>
      </w:r>
    </w:p>
    <w:p>
      <w:pPr>
        <w:pStyle w:val="ListBullet"/>
      </w:pPr>
      <w:r>
        <w:t>junio: registros 164, cuotas cobradas 90, monto total cobrado $ 11,627,000.00.</w:t>
      </w:r>
    </w:p>
    <w:p>
      <w:pPr>
        <w:pStyle w:val="ListBullet"/>
      </w:pPr>
      <w:r>
        <w:t>julio2025: registros 211, cuotas cobradas 177, monto total cobrado $ 22,049,000.00.</w:t>
      </w:r>
    </w:p>
    <w:p>
      <w:pPr>
        <w:pStyle w:val="ListBullet"/>
      </w:pPr>
      <w:r>
        <w:t>agosto2025: registros 257, cuotas cobradas 122, monto total cobrado $ 14,300,000.00.</w:t>
      </w:r>
    </w:p>
    <w:p>
      <w:pPr>
        <w:pStyle w:val="ListBullet"/>
      </w:pPr>
      <w:r>
        <w:t>septiembre2025: registros 289, cuotas cobradas 186, monto total cobrado $ 23,859,000.00.</w:t>
      </w:r>
    </w:p>
    <w:p>
      <w:pPr>
        <w:pStyle w:val="ListBullet"/>
      </w:pPr>
      <w:r>
        <w:t>octubre2025: registros 331, cuotas cobradas 232, monto total cobrado $ 29,731,000.00.</w:t>
      </w:r>
    </w:p>
    <w:p>
      <w:pPr>
        <w:pStyle w:val="ListBullet"/>
      </w:pPr>
      <w:r>
        <w:t>noviembre2025: registros 365, cuotas cobradas 177, monto total cobrado $ 23,265,000.00.</w:t>
      </w:r>
    </w:p>
    <w:p>
      <w:pPr>
        <w:pStyle w:val="ListBullet"/>
      </w:pPr>
      <w:r>
        <w:t>diciembre2025: registros 381, cuotas cobradas 237, monto total cobrado $ 33,256,150.00.</w:t>
      </w:r>
    </w:p>
    <w:p>
      <w:pPr>
        <w:pStyle w:val="ListBullet"/>
      </w:pPr>
      <w:r>
        <w:t>enero2026: registros 416, cuotas cobradas 223, monto total cobrado $ 34,108,500.00.</w:t>
      </w:r>
    </w:p>
    <w:p>
      <w:pPr>
        <w:pStyle w:val="ListBullet"/>
      </w:pPr>
      <w:r>
        <w:t>febrero2026: registros 428, cuotas cobradas 334, monto total cobrado $ 45,257,000.00.</w:t>
      </w:r>
    </w:p>
    <w:p>
      <w:pPr>
        <w:pStyle w:val="ListBullet"/>
      </w:pPr>
      <w:r>
        <w:t>marzo2026: registros 489, cuotas cobradas 252, monto total cobrado $ 35,245,000.00.</w:t>
      </w:r>
    </w:p>
    <w:p>
      <w:pPr>
        <w:pStyle w:val="Heading2"/>
      </w:pPr>
      <w:r>
        <w:t>5. Cómo leer el Excel entregado</w:t>
      </w:r>
    </w:p>
    <w:p>
      <w:r>
        <w:t>La hoja Dashboard resume la cartera completa y el último corte operativo. La hoja Meses muestra el resumen por cada hoja de cobranzas. La hoja Mora lista únicamente los casos semaforizados en rojo. La hoja Consolidado permite revisar cliente por cliente el crédito, el estado al último mes y el historial resumido de todas las hojas.</w:t>
      </w:r>
    </w:p>
    <w:p>
      <w:pPr>
        <w:pStyle w:val="Heading2"/>
      </w:pPr>
      <w:r>
        <w:t>6. Observación metodológica</w:t>
      </w:r>
    </w:p>
    <w:p>
      <w:r>
        <w:t>La mora usada en este archivo es operativa. No surge de un calendario contractual externo, sino del cruce entre fecha de otorgamiento, cuotas esperables al corte y ausencia de cobro o ausencia de registro en el último mes disponible, salvo cuando el caso figura como cancelado o finalizado.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