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Análisis de cartera de créditos Catamarca</w:t>
      </w:r>
    </w:p>
    <w:p>
      <w:r>
        <w:t xml:space="preserve">Período analizado: créditos otorgados desde diciembre 2025 hasta abril 2026, cruzados contra la planilla de cobranzas devuelta por Cecilia hasta marzo 2026.</w:t>
      </w:r>
    </w:p>
    <w:p>
      <w:r>
        <w:rPr>
          <w:b/>
        </w:rPr>
        <w:t>1. Alcance y fuentes</w:t>
      </w:r>
    </w:p>
    <w:p>
      <w:r>
        <w:t xml:space="preserve">Se analizaron dos archivos. El primero contiene la base de depósitos/créditos otorgados. El segundo reúne las respuestas mensuales de cobranza. El cruce se realizó por CUIL, CBU y, como respaldo, nombre normalizado.</w:t>
      </w:r>
    </w:p>
    <w:p>
      <w:r>
        <w:rPr>
          <w:b/>
        </w:rPr>
        <w:t>2. Tamaño de la cartera reciente</w:t>
      </w:r>
    </w:p>
    <w:p>
      <w:r>
        <w:t xml:space="preserve">Se identificaron 162 créditos en el tramo diciembre 2025 a abril 2026. El monto total depositado en ese conjunto asciende a $ 70.588.070 y el monto total a cobrar asciende a $ 293.652.000.</w:t>
      </w:r>
    </w:p>
    <w:p>
      <w:r>
        <w:rPr>
          <w:b/>
        </w:rPr>
        <w:t>3. Comportamiento de cobranza al cierre de marzo 2026</w:t>
      </w:r>
    </w:p>
    <w:p>
      <w:r>
        <w:t xml:space="preserve">De los 162 créditos recientes. 59 registran cobranza en marzo 2026. 23 figuran como cancelados o finalizados. 59 aparecen sin cobranza en marzo y 25 no tienen registro en la hoja marzo 2026. El monto cobrado en marzo para este conjunto asciende a $ 8.740.000.</w:t>
      </w:r>
    </w:p>
    <w:p>
      <w:r>
        <w:rPr>
          <w:b/>
        </w:rPr>
        <w:t>4. Lectura operativa de mora</w:t>
      </w:r>
    </w:p>
    <w:p>
      <w:r>
        <w:t xml:space="preserve">Para este informe se tomó una definición operativa de mora. Se consideró en mora operativa a todo crédito que, por su fecha de otorgamiento, ya debería tener al menos una cuota exigible al cierre de marzo 2026 y que, aun así, no registra cobranza en marzo o no aparece en la hoja de marzo, salvo que figure como cancelado o finalizado.</w:t>
      </w:r>
    </w:p>
    <w:p>
      <w:r>
        <w:t xml:space="preserve">Con ese criterio. la cartera en mora operativa asciende a 59 créditos. equivalente a un monto total de cartera de $ 106.806.000.</w:t>
      </w:r>
    </w:p>
    <w:p>
      <w:r>
        <w:rPr>
          <w:b/>
        </w:rPr>
        <w:t>5. Observaciones de calidad de datos</w:t>
      </w:r>
    </w:p>
    <w:p>
      <w:r>
        <w:t xml:space="preserve">La base de depósitos contiene fechas anteriores a diciembre 2025, aunque el pedido operativo se enfocó en los créditos desde diciembre 2025. También apareció al menos una fecha futura inconsistente que conviene revisar en origen. Además, existen clientes repetidos, lo que puede responder a renovaciones, nuevos créditos o recargas duplicadas.</w:t>
      </w:r>
    </w:p>
    <w:p>
      <w:r>
        <w:rPr>
          <w:b/>
        </w:rPr>
        <w:t>6. Entregables adjuntos</w:t>
      </w:r>
    </w:p>
    <w:p>
      <w:r>
        <w:t xml:space="preserve">El archivo Excel adjunto incluye una hoja Resumen con indicadores clave y una hoja Consolidado con el detalle cliente por cliente, incluyendo fecha, monto, estado en marzo, mora operativa, observaciones y trazabilidad del historial de diciembre 2025 a marzo 2026.</w:t>
      </w:r>
    </w:p>
    <w:sectPr>
      <w:pgSz w:w="12240" w:h="15840"/>
      <w:pgMar w:top="1440" w:right="1440" w:bottom="1440" w:left="1440" w:header="708" w:footer="708" w:gutter="0"/>
    </w:sectPr>
  </w:body>
</w:document>
</file>

<file path=docProps/app.xml><?xml version="1.0" encoding="utf-8"?>
<Properties xmlns="http://schemas.openxmlformats.org/officeDocument/2006/extended-properties" xmlns:vt="http://schemas.openxmlformats.org/officeDocument/2006/docPropsVTypes">
  <Application>OpenClaw</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cartera Catamarca</dc:title>
  <dc:creator>OpenClaw</dc:creator>
  <cp:lastModifiedBy>OpenClaw</cp:lastModifiedBy>
  <dcterms:created xsi:type="dcterms:W3CDTF">2026-04-23T15:40:21.114079Z</dcterms:created>
</cp:coreProperties>
</file>