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Análisis de cartera de créditos Catamarca</w:t>
      </w:r>
    </w:p>
    <w:p>
      <w:r>
        <w:t>Período analizado: créditos otorgados desde diciembre 2025 hasta abril 2026, cruzados contra la planilla de cobranzas de Cecilia con corte en marzo 2026.</w:t>
      </w:r>
    </w:p>
    <w:p>
      <w:pPr>
        <w:pStyle w:val="Heading2"/>
      </w:pPr>
      <w:r>
        <w:t>1. Alcance y fuentes</w:t>
      </w:r>
    </w:p>
    <w:p>
      <w:r>
        <w:t>Se trabajó sobre dos archivos: la base de depósitos/créditos otorgados y la planilla de cobranzas mensual. El cruce se realizó por CUIL, CBU y, como respaldo, nombre normalizado.</w:t>
      </w:r>
    </w:p>
    <w:p>
      <w:pPr>
        <w:pStyle w:val="Heading2"/>
      </w:pPr>
      <w:r>
        <w:t>2. Tamaño de la cartera reciente</w:t>
      </w:r>
    </w:p>
    <w:p>
      <w:r>
        <w:t>Se identificaron 162 créditos en el tramo diciembre 2025 a abril 2026. El monto total depositado en ese conjunto asciende a $ 70,588,070.00 y el monto total a cobrar asciende a $ 293,652,000.00.</w:t>
      </w:r>
    </w:p>
    <w:p>
      <w:pPr>
        <w:pStyle w:val="Heading2"/>
      </w:pPr>
      <w:r>
        <w:t>3. Comportamiento de cobranza al cierre de marzo 2026</w:t>
      </w:r>
    </w:p>
    <w:p>
      <w:r>
        <w:t>De los 162 créditos recientes, 59 registran cobranza en marzo 2026, 23 figuran como cancelados o finalizados, 59 aparecen sin cobranza en marzo y 25 no tienen registro en la hoja de marzo 2026. El monto cobrado en marzo para este conjunto asciende a $ 8,740,000.00.</w:t>
      </w:r>
    </w:p>
    <w:p>
      <w:pPr>
        <w:pStyle w:val="Heading2"/>
      </w:pPr>
      <w:r>
        <w:t>4. Lectura operativa de mora</w:t>
      </w:r>
    </w:p>
    <w:p>
      <w:r>
        <w:t>Para este informe se tomó una definición operativa de mora. Se consideró en mora operativa a todo crédito que, por su fecha de otorgamiento, ya debería tener al menos una cuota exigible al cierre de marzo 2026 y que, aun así, no registra cobranza en marzo o no aparece en la hoja de marzo, salvo que figure como cancelado o finalizado.</w:t>
      </w:r>
    </w:p>
    <w:p>
      <w:r>
        <w:t>Con ese criterio, la cartera en mora operativa asciende a 59 créditos, equivalente a un monto total de cartera de $ 106,806,000.00.</w:t>
      </w:r>
    </w:p>
    <w:p>
      <w:pPr>
        <w:pStyle w:val="Heading2"/>
      </w:pPr>
      <w:r>
        <w:t>5. Indicadores clave</w:t>
      </w:r>
    </w:p>
    <w:p>
      <w:pPr>
        <w:pStyle w:val="ListBullet"/>
      </w:pPr>
      <w:r>
        <w:t>Ticket promedio depositado: $ 435,728.83</w:t>
      </w:r>
    </w:p>
    <w:p>
      <w:pPr>
        <w:pStyle w:val="ListBullet"/>
      </w:pPr>
      <w:r>
        <w:t>Porcentaje de créditos con cobro en marzo: 36.42%</w:t>
      </w:r>
    </w:p>
    <w:p>
      <w:pPr>
        <w:pStyle w:val="ListBullet"/>
      </w:pPr>
      <w:r>
        <w:t>Porcentaje de mora operativa: 36.42%</w:t>
      </w:r>
    </w:p>
    <w:p>
      <w:pPr>
        <w:pStyle w:val="ListBullet"/>
      </w:pPr>
      <w:r>
        <w:t>Clientes con estado finalizado o cancelado: 23</w:t>
      </w:r>
    </w:p>
    <w:p>
      <w:pPr>
        <w:pStyle w:val="Heading2"/>
      </w:pPr>
      <w:r>
        <w:t>6. Observaciones de calidad de datos</w:t>
      </w:r>
    </w:p>
    <w:p>
      <w:pPr>
        <w:pStyle w:val="ListBullet"/>
      </w:pPr>
      <w:r>
        <w:t>La base de depósitos contiene registros fuera del tramo pedido originalmente, por eso el análisis fue filtrado desde 2025-12-01.</w:t>
      </w:r>
    </w:p>
    <w:p>
      <w:pPr>
        <w:pStyle w:val="ListBullet"/>
      </w:pPr>
      <w:r>
        <w:t>Aparece al menos una fecha futura inconsistente en la base original, que no fue tomada para este corte.</w:t>
      </w:r>
    </w:p>
    <w:p>
      <w:pPr>
        <w:pStyle w:val="ListBullet"/>
      </w:pPr>
      <w:r>
        <w:t>Existen clientes repetidos, lo que puede responder a renovaciones, nuevos créditos o cargas duplicadas.</w:t>
      </w:r>
    </w:p>
    <w:p>
      <w:pPr>
        <w:pStyle w:val="Heading2"/>
      </w:pPr>
      <w:r>
        <w:t>7. Entregables adjuntos</w:t>
      </w:r>
    </w:p>
    <w:p>
      <w:r>
        <w:t>El Excel adjunto incluye un Dashboard, una hoja de KPIs, una hoja de Mora y una hoja Consolidado con el detalle cliente por cliente. La lectura de mora operativa está explicitada para evitar inferencias no respaldadas por la planilla original.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