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rId66.png" ContentType="image/png"/>
  <Override PartName="/word/media/rId53.png" ContentType="image/png"/>
  <Override PartName="/word/media/image8.png" ContentType="image/png"/>
  <Override PartName="/word/media/image7.png" ContentType="image/png"/>
  <Override PartName="/word/media/image6.png" ContentType="image/png"/>
  <Override PartName="/word/media/image5.png" ContentType="image/png"/>
  <Override PartName="/word/media/image4.png" ContentType="image/png"/>
  <Override PartName="/word/media/image3.png" ContentType="image/png"/>
  <Override PartName="/word/media/image2.png" ContentType="image/png"/>
  <Override PartName="/word/media/image1.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ns7="http://schemas.openxmlformats.org/officeDocument/2006/math"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w:body>
    <w:bookmarkStart w:id="78" w:name="机械制造设施工程预测方法的建模及计算仿真报告"/>
    <w:p>
      <w:pPr>
        <w:pStyle w:val="2"/>
      </w:pPr>
      <w:r>
        <w:rPr>
          <w:rFonts w:hint="eastAsia"/>
        </w:rPr>
        <w:t xml:space="preserve">机械制造设施工程预测方法的建模及计算仿真报告</w:t>
      </w:r>
    </w:p>
    <w:p>
      <w:pPr>
        <w:pStyle w:val="BlockText"/>
      </w:pPr>
      <w:r>
        <w:rPr>
          <w:rFonts w:hint="eastAsia"/>
          <w:b/>
          <w:bCs/>
        </w:rPr>
        <w:t xml:space="preserve">报告日期：</w:t>
      </w:r>
      <w:r>
        <w:t xml:space="preserve"> </w:t>
      </w:r>
      <w:r>
        <w:t xml:space="preserve">2026 </w:t>
      </w:r>
      <w:r>
        <w:rPr>
          <w:rFonts w:hint="eastAsia"/>
        </w:rPr>
        <w:t xml:space="preserve">年</w:t>
      </w:r>
      <w:r>
        <w:t xml:space="preserve"> 7 </w:t>
      </w:r>
      <w:r>
        <w:rPr>
          <w:rFonts w:hint="eastAsia"/>
        </w:rPr>
        <w:t xml:space="preserve">月</w:t>
      </w:r>
      <w:r>
        <w:t xml:space="preserve"> 15 </w:t>
      </w:r>
      <w:r>
        <w:rPr>
          <w:rFonts w:hint="eastAsia"/>
        </w:rPr>
        <w:t xml:space="preserve">日</w:t>
      </w:r>
    </w:p>
    <w:p>
      <w:pPr>
        <w:pStyle w:val="BlockText"/>
      </w:pPr>
      <w:r>
        <w:rPr>
          <w:rFonts w:hint="eastAsia"/>
          <w:b/>
          <w:bCs/>
        </w:rPr>
        <w:t xml:space="preserve">数据版本：</w:t>
      </w:r>
      <w:r>
        <w:t xml:space="preserve"> </w:t>
      </w:r>
      <w:r>
        <w:t xml:space="preserve">2026 </w:t>
      </w:r>
      <w:r>
        <w:rPr>
          <w:rFonts w:hint="eastAsia"/>
        </w:rPr>
        <w:t xml:space="preserve">年</w:t>
      </w:r>
      <w:r>
        <w:t xml:space="preserve"> 7 </w:t>
      </w:r>
      <w:r>
        <w:rPr>
          <w:rFonts w:hint="eastAsia"/>
        </w:rPr>
        <w:t xml:space="preserve">月</w:t>
      </w:r>
      <w:r>
        <w:t xml:space="preserve"> 14 </w:t>
      </w:r>
      <w:r>
        <w:rPr>
          <w:rFonts w:hint="eastAsia"/>
        </w:rPr>
        <w:t xml:space="preserve">日冻结数据</w:t>
      </w:r>
    </w:p>
    <w:p>
      <w:pPr>
        <w:pStyle w:val="BlockText"/>
      </w:pPr>
      <w:r>
        <w:rPr>
          <w:rFonts w:hint="eastAsia"/>
          <w:b/>
          <w:bCs/>
        </w:rPr>
        <w:t xml:space="preserve">预测对象：</w:t>
      </w:r>
      <w:r>
        <w:t xml:space="preserve"> </w:t>
      </w:r>
      <w:r>
        <w:rPr>
          <w:rFonts w:hint="eastAsia"/>
        </w:rPr>
        <w:t xml:space="preserve">机械制造设施外部热辐射作用下的设施级损伤指数及损伤等级</w:t>
      </w:r>
    </w:p>
    <w:p>
      <w:r>
        <w:pict>
          <v:rect style="width:0;height:1.5pt" o:hralign="center" o:hrstd="t" o:hr="t"/>
        </w:pict>
      </w:r>
    </w:p>
    <w:bookmarkStart w:id="38" w:name="引言"/>
    <w:p>
      <w:pPr>
        <w:pStyle w:val="3"/>
      </w:pPr>
      <w:r>
        <w:rPr>
          <w:rFonts w:hint="eastAsia"/>
        </w:rPr>
        <w:t xml:space="preserve">引言</w:t>
      </w:r>
    </w:p>
    <w:p>
      <w:pPr>
        <w:pStyle w:val="FirstParagraph"/>
      </w:pPr>
      <w:r>
        <w:rPr>
          <w:rFonts w:hint="eastAsia"/>
        </w:rPr>
        <w:t xml:space="preserve">机械制造设施承担零部件加工、部件装配、整机总装和综合制造等任务，生产线连续性、关键机床与控制系统的可用性直接影响产能恢复。本报告覆盖总装、部件装配、切削加工、综合机械制造及不同尺度的通用机械加工厂房。此类设施通常采用大跨生产空间，内部布置机床、装配线、起重与输送设备、控制和配电单元，并伴随油品、涂装材料、包装材料及局部气体供应。外部热辐射从不同方位和俯仰角作用时，围护结构、门窗、物流门和通风开口对能量传递的影响不同，使设施级损伤同时具有非线性、方向性和尺度效应。</w:t>
      </w:r>
    </w:p>
    <w:p>
      <w:pPr>
        <w:pStyle w:val="BodyText"/>
      </w:pPr>
      <w:r>
        <w:rPr>
          <w:rFonts w:hint="eastAsia"/>
        </w:rPr>
        <w:t xml:space="preserve">本报告建立基于</w:t>
      </w:r>
      <w:r>
        <w:t xml:space="preserve"> FDS </w:t>
      </w:r>
      <w:r>
        <w:rPr>
          <w:rFonts w:hint="eastAsia"/>
        </w:rPr>
        <w:t xml:space="preserve">数值模拟数据的机械制造设施工程预测方法。模型以热源工况特征与设施构型及目标特征为输入，同时预测连续损伤指数</w:t>
      </w:r>
      <w:r>
        <w:t xml:space="preserve"> Dk </w:t>
      </w:r>
      <w:r>
        <w:rPr>
          <w:rFonts w:hint="eastAsia"/>
        </w:rPr>
        <w:t xml:space="preserve">和四级损伤结果。通过等级约束机制，连续值与工程等级保持一致，可用于热辐射工况快速筛查、阈值方向分析和代表性工况选择。</w:t>
      </w:r>
    </w:p>
    <w:p>
      <w:pPr>
        <w:pStyle w:val="BodyText"/>
      </w:pPr>
      <w:r>
        <w:rPr>
          <w:rFonts w:hint="eastAsia"/>
        </w:rPr>
        <w:t xml:space="preserve">当前合格数据共包含</w:t>
      </w:r>
      <w:r>
        <w:t xml:space="preserve"> 38 </w:t>
      </w:r>
      <w:r>
        <w:rPr>
          <w:rFonts w:hint="eastAsia"/>
        </w:rPr>
        <w:t xml:space="preserve">个设施的</w:t>
      </w:r>
      <w:r>
        <w:t xml:space="preserve"> 6584 </w:t>
      </w:r>
      <w:r>
        <w:rPr>
          <w:rFonts w:hint="eastAsia"/>
        </w:rPr>
        <w:t xml:space="preserve">条模拟工况，其中机械制造设施为</w:t>
      </w:r>
      <w:r>
        <w:t xml:space="preserve"> 7 </w:t>
      </w:r>
      <w:r>
        <w:rPr>
          <w:rFonts w:hint="eastAsia"/>
        </w:rPr>
        <w:t xml:space="preserve">个、803</w:t>
      </w:r>
      <w:r>
        <w:t xml:space="preserve"> </w:t>
      </w:r>
      <w:r>
        <w:rPr>
          <w:rFonts w:hint="eastAsia"/>
        </w:rPr>
        <w:t xml:space="preserve">条工况，包括</w:t>
      </w:r>
      <w:r>
        <w:t xml:space="preserve"> 4 </w:t>
      </w:r>
      <w:r>
        <w:rPr>
          <w:rFonts w:hint="eastAsia"/>
        </w:rPr>
        <w:t xml:space="preserve">个特异设施模型和</w:t>
      </w:r>
      <w:r>
        <w:t xml:space="preserve"> 3 </w:t>
      </w:r>
      <w:r>
        <w:rPr>
          <w:rFonts w:hint="eastAsia"/>
        </w:rPr>
        <w:t xml:space="preserve">个大、中、小等效设施模型。模型对各设施分别训练逐设施代理模型，以保证评价口径和模型参数一致；同时对机械制造类测试子集和各机械制造设施分别进行专项统计，并通过专项因素重要性分析解释阈值分布特征。</w:t>
      </w:r>
    </w:p>
    <w:p>
      <w:r>
        <w:pict>
          <v:rect style="width:0;height:1.5pt" o:hralign="center" o:hrstd="t" o:hr="t"/>
        </w:pict>
      </w:r>
    </w:p>
    <w:bookmarkEnd w:id="38"/>
    <w:bookmarkStart w:id="42" w:name="X29b31ee7b5ace5146af424fd1f23e48a6358181"/>
    <w:p>
      <w:pPr>
        <w:pStyle w:val="3"/>
      </w:pPr>
      <w:r>
        <w:t xml:space="preserve">1 </w:t>
      </w:r>
      <w:r>
        <w:rPr>
          <w:rFonts w:hint="eastAsia"/>
        </w:rPr>
        <w:t xml:space="preserve">研究对象与工程特征</w:t>
      </w:r>
    </w:p>
    <w:bookmarkStart w:id="39" w:name="X1d82166e2d0de7f2105cca8a15f20b1362feb50"/>
    <w:p>
      <w:pPr>
        <w:pStyle w:val="4"/>
      </w:pPr>
      <w:r>
        <w:t xml:space="preserve">1.1 </w:t>
      </w:r>
      <w:r>
        <w:rPr>
          <w:rFonts w:hint="eastAsia"/>
        </w:rPr>
        <w:t xml:space="preserve">机械制造设施分类</w:t>
      </w:r>
    </w:p>
    <w:p>
      <w:pPr>
        <w:pStyle w:val="FirstParagraph"/>
      </w:pPr>
      <w:r>
        <w:rPr>
          <w:rFonts w:hint="eastAsia"/>
        </w:rPr>
        <w:t xml:space="preserve">本报告涉及的机械制造设施共</w:t>
      </w:r>
      <w:r>
        <w:t xml:space="preserve"> 7 </w:t>
      </w:r>
      <w:r>
        <w:rPr>
          <w:rFonts w:hint="eastAsia"/>
        </w:rPr>
        <w:t xml:space="preserve">个。其中，弗莱马斯特总装设施、格里森切削工具设施、哈比森-费希尔部装设施和特斯拉机械制造设施属于具有明确工程对象的特异设施模型；大型、中型和小型机械制造等效设施用于表征不同尺度下的通用厂房、设备和目标组合，属于等效设施模型。两类模型均包含完整的计算域、建筑与设备几何、开口、测点和资产损伤信息。</w:t>
      </w:r>
    </w:p>
    <w:p>
      <w:pPr>
        <w:pStyle w:val="BodyText"/>
      </w:pPr>
      <w:r>
        <w:rPr>
          <w:rFonts w:hint="eastAsia"/>
        </w:rPr>
        <w:t xml:space="preserve">总装设施通常需要连续大空间与较大的物流开口，部装设施以装配工位、局部生产单元和物料暂存区为主，切削加工设施则具有机床密集、切削液与润滑系统集中的特点，综合机械制造设施同时包含加工、装配、物流和辅助动力区域。厂房多采用钢结构或钢筋混凝土结构，外墙、屋面、采光带、门窗和通风系统共同决定外部辐射的衰减与进入路径。物流门、卷帘门及通风百叶较集中的方向，可能使迎火侧设备更直接受热；围护完整或设备远离外墙的方向则可能保持较低设施级损伤。</w:t>
      </w:r>
    </w:p>
    <w:p>
      <w:pPr>
        <w:pStyle w:val="BodyText"/>
      </w:pPr>
      <w:r>
        <w:rPr>
          <w:rFonts w:hint="eastAsia"/>
          <w:b/>
          <w:bCs/>
        </w:rPr>
        <w:t xml:space="preserve">表</w:t>
      </w:r>
      <w:r>
        <w:rPr>
          <w:b/>
          <w:bCs/>
        </w:rPr>
        <w:t xml:space="preserve"> 1 </w:t>
      </w:r>
      <w:r>
        <w:rPr>
          <w:rFonts w:hint="eastAsia"/>
          <w:b/>
          <w:bCs/>
        </w:rPr>
        <w:t xml:space="preserve">机械制造设施模拟工况构成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rPr>
                <w:rFonts w:hint="eastAsia"/>
              </w:rPr>
              <w:t xml:space="preserve">序号</w:t>
            </w:r>
          </w:p>
        </w:tc>
        <w:tc>
          <w:tcPr/>
          <w:p>
            <w:pPr>
              <w:pStyle w:val="Compact"/>
            </w:pPr>
            <w:r>
              <w:rPr>
                <w:rFonts w:hint="eastAsia"/>
              </w:rPr>
              <w:t xml:space="preserve">设施名称</w:t>
            </w:r>
          </w:p>
        </w:tc>
        <w:tc>
          <w:tcPr/>
          <w:p>
            <w:pPr>
              <w:pStyle w:val="Compact"/>
            </w:pPr>
            <w:r>
              <w:rPr>
                <w:rFonts w:hint="eastAsia"/>
              </w:rPr>
              <w:t xml:space="preserve">模型类型</w:t>
            </w:r>
          </w:p>
        </w:tc>
        <w:tc>
          <w:tcPr/>
          <w:p>
            <w:pPr>
              <w:pStyle w:val="Compact"/>
            </w:pPr>
            <w:r>
              <w:rPr>
                <w:rFonts w:hint="eastAsia"/>
              </w:rPr>
              <w:t xml:space="preserve">工程分类</w:t>
            </w:r>
          </w:p>
        </w:tc>
        <w:tc>
          <w:tcPr/>
          <w:p>
            <w:pPr>
              <w:pStyle w:val="Compact"/>
              <w:jc w:val="right"/>
            </w:pPr>
            <w:r>
              <w:rPr>
                <w:rFonts w:hint="eastAsia"/>
              </w:rPr>
              <w:t xml:space="preserve">合格工况数</w:t>
            </w:r>
          </w:p>
        </w:tc>
      </w:tr>
      <w:tr>
        <w:tc>
          <w:tcPr/>
          <w:p>
            <w:pPr>
              <w:pStyle w:val="Compact"/>
              <w:jc w:val="right"/>
            </w:pPr>
            <w:r>
              <w:t xml:space="preserve">1</w:t>
            </w:r>
          </w:p>
        </w:tc>
        <w:tc>
          <w:tcPr/>
          <w:p>
            <w:pPr>
              <w:pStyle w:val="Compact"/>
            </w:pPr>
            <w:r>
              <w:rPr>
                <w:rFonts w:hint="eastAsia"/>
              </w:rPr>
              <w:t xml:space="preserve">弗莱马斯特总装设施</w:t>
            </w:r>
          </w:p>
        </w:tc>
        <w:tc>
          <w:tcPr/>
          <w:p>
            <w:pPr>
              <w:pStyle w:val="Compact"/>
            </w:pPr>
            <w:r>
              <w:rPr>
                <w:rFonts w:hint="eastAsia"/>
              </w:rPr>
              <w:t xml:space="preserve">特异设施模型</w:t>
            </w:r>
          </w:p>
        </w:tc>
        <w:tc>
          <w:tcPr/>
          <w:p>
            <w:pPr>
              <w:pStyle w:val="Compact"/>
            </w:pPr>
            <w:r>
              <w:rPr>
                <w:rFonts w:hint="eastAsia"/>
              </w:rPr>
              <w:t xml:space="preserve">总装设施</w:t>
            </w:r>
          </w:p>
        </w:tc>
        <w:tc>
          <w:tcPr/>
          <w:p>
            <w:pPr>
              <w:pStyle w:val="Compact"/>
              <w:jc w:val="right"/>
            </w:pPr>
            <w:r>
              <w:t xml:space="preserve">108</w:t>
            </w:r>
          </w:p>
        </w:tc>
      </w:tr>
      <w:tr>
        <w:tc>
          <w:tcPr/>
          <w:p>
            <w:pPr>
              <w:pStyle w:val="Compact"/>
              <w:jc w:val="right"/>
            </w:pPr>
            <w:r>
              <w:t xml:space="preserve">2</w:t>
            </w:r>
          </w:p>
        </w:tc>
        <w:tc>
          <w:tcPr/>
          <w:p>
            <w:pPr>
              <w:pStyle w:val="Compact"/>
            </w:pPr>
            <w:r>
              <w:rPr>
                <w:rFonts w:hint="eastAsia"/>
              </w:rPr>
              <w:t xml:space="preserve">格里森切削工具设施</w:t>
            </w:r>
          </w:p>
        </w:tc>
        <w:tc>
          <w:tcPr/>
          <w:p>
            <w:pPr>
              <w:pStyle w:val="Compact"/>
            </w:pPr>
            <w:r>
              <w:rPr>
                <w:rFonts w:hint="eastAsia"/>
              </w:rPr>
              <w:t xml:space="preserve">特异设施模型</w:t>
            </w:r>
          </w:p>
        </w:tc>
        <w:tc>
          <w:tcPr/>
          <w:p>
            <w:pPr>
              <w:pStyle w:val="Compact"/>
            </w:pPr>
            <w:r>
              <w:rPr>
                <w:rFonts w:hint="eastAsia"/>
              </w:rPr>
              <w:t xml:space="preserve">切削加工设施</w:t>
            </w:r>
          </w:p>
        </w:tc>
        <w:tc>
          <w:tcPr/>
          <w:p>
            <w:pPr>
              <w:pStyle w:val="Compact"/>
              <w:jc w:val="right"/>
            </w:pPr>
            <w:r>
              <w:t xml:space="preserve">108</w:t>
            </w:r>
          </w:p>
        </w:tc>
      </w:tr>
      <w:tr>
        <w:tc>
          <w:tcPr/>
          <w:p>
            <w:pPr>
              <w:pStyle w:val="Compact"/>
              <w:jc w:val="right"/>
            </w:pPr>
            <w:r>
              <w:t xml:space="preserve">3</w:t>
            </w:r>
          </w:p>
        </w:tc>
        <w:tc>
          <w:tcPr/>
          <w:p>
            <w:pPr>
              <w:pStyle w:val="Compact"/>
            </w:pPr>
            <w:r>
              <w:rPr>
                <w:rFonts w:hint="eastAsia"/>
              </w:rPr>
              <w:t xml:space="preserve">哈比森-费希尔部装设施</w:t>
            </w:r>
          </w:p>
        </w:tc>
        <w:tc>
          <w:tcPr/>
          <w:p>
            <w:pPr>
              <w:pStyle w:val="Compact"/>
            </w:pPr>
            <w:r>
              <w:rPr>
                <w:rFonts w:hint="eastAsia"/>
              </w:rPr>
              <w:t xml:space="preserve">特异设施模型</w:t>
            </w:r>
          </w:p>
        </w:tc>
        <w:tc>
          <w:tcPr/>
          <w:p>
            <w:pPr>
              <w:pStyle w:val="Compact"/>
            </w:pPr>
            <w:r>
              <w:rPr>
                <w:rFonts w:hint="eastAsia"/>
              </w:rPr>
              <w:t xml:space="preserve">部件装配设施</w:t>
            </w:r>
          </w:p>
        </w:tc>
        <w:tc>
          <w:tcPr/>
          <w:p>
            <w:pPr>
              <w:pStyle w:val="Compact"/>
              <w:jc w:val="right"/>
            </w:pPr>
            <w:r>
              <w:t xml:space="preserve">108</w:t>
            </w:r>
          </w:p>
        </w:tc>
      </w:tr>
      <w:tr>
        <w:tc>
          <w:tcPr/>
          <w:p>
            <w:pPr>
              <w:pStyle w:val="Compact"/>
              <w:jc w:val="right"/>
            </w:pPr>
            <w:r>
              <w:t xml:space="preserve">4</w:t>
            </w:r>
          </w:p>
        </w:tc>
        <w:tc>
          <w:tcPr/>
          <w:p>
            <w:pPr>
              <w:pStyle w:val="Compact"/>
            </w:pPr>
            <w:r>
              <w:rPr>
                <w:rFonts w:hint="eastAsia"/>
              </w:rPr>
              <w:t xml:space="preserve">特斯拉机械制造设施</w:t>
            </w:r>
          </w:p>
        </w:tc>
        <w:tc>
          <w:tcPr/>
          <w:p>
            <w:pPr>
              <w:pStyle w:val="Compact"/>
            </w:pPr>
            <w:r>
              <w:rPr>
                <w:rFonts w:hint="eastAsia"/>
              </w:rPr>
              <w:t xml:space="preserve">特异设施模型</w:t>
            </w:r>
          </w:p>
        </w:tc>
        <w:tc>
          <w:tcPr/>
          <w:p>
            <w:pPr>
              <w:pStyle w:val="Compact"/>
            </w:pPr>
            <w:r>
              <w:rPr>
                <w:rFonts w:hint="eastAsia"/>
              </w:rPr>
              <w:t xml:space="preserve">综合机械制造设施</w:t>
            </w:r>
          </w:p>
        </w:tc>
        <w:tc>
          <w:tcPr/>
          <w:p>
            <w:pPr>
              <w:pStyle w:val="Compact"/>
              <w:jc w:val="right"/>
            </w:pPr>
            <w:r>
              <w:t xml:space="preserve">83</w:t>
            </w:r>
          </w:p>
        </w:tc>
      </w:tr>
      <w:tr>
        <w:tc>
          <w:tcPr/>
          <w:p>
            <w:pPr>
              <w:pStyle w:val="Compact"/>
              <w:jc w:val="right"/>
            </w:pPr>
            <w:r>
              <w:t xml:space="preserve">5</w:t>
            </w:r>
          </w:p>
        </w:tc>
        <w:tc>
          <w:tcPr/>
          <w:p>
            <w:pPr>
              <w:pStyle w:val="Compact"/>
            </w:pPr>
            <w:r>
              <w:rPr>
                <w:rFonts w:hint="eastAsia"/>
              </w:rPr>
              <w:t xml:space="preserve">大型机械制造等效设施</w:t>
            </w:r>
          </w:p>
        </w:tc>
        <w:tc>
          <w:tcPr/>
          <w:p>
            <w:pPr>
              <w:pStyle w:val="Compact"/>
            </w:pPr>
            <w:r>
              <w:rPr>
                <w:rFonts w:hint="eastAsia"/>
              </w:rPr>
              <w:t xml:space="preserve">等效设施模型</w:t>
            </w:r>
          </w:p>
        </w:tc>
        <w:tc>
          <w:tcPr/>
          <w:p>
            <w:pPr>
              <w:pStyle w:val="Compact"/>
            </w:pPr>
            <w:r>
              <w:rPr>
                <w:rFonts w:hint="eastAsia"/>
              </w:rPr>
              <w:t xml:space="preserve">通用机械制造设施（大）</w:t>
            </w:r>
          </w:p>
        </w:tc>
        <w:tc>
          <w:tcPr/>
          <w:p>
            <w:pPr>
              <w:pStyle w:val="Compact"/>
              <w:jc w:val="right"/>
            </w:pPr>
            <w:r>
              <w:t xml:space="preserve">108</w:t>
            </w:r>
          </w:p>
        </w:tc>
      </w:tr>
      <w:tr>
        <w:tc>
          <w:tcPr/>
          <w:p>
            <w:pPr>
              <w:pStyle w:val="Compact"/>
              <w:jc w:val="right"/>
            </w:pPr>
            <w:r>
              <w:t xml:space="preserve">6</w:t>
            </w:r>
          </w:p>
        </w:tc>
        <w:tc>
          <w:tcPr/>
          <w:p>
            <w:pPr>
              <w:pStyle w:val="Compact"/>
            </w:pPr>
            <w:r>
              <w:rPr>
                <w:rFonts w:hint="eastAsia"/>
              </w:rPr>
              <w:t xml:space="preserve">中型机械制造等效设施</w:t>
            </w:r>
          </w:p>
        </w:tc>
        <w:tc>
          <w:tcPr/>
          <w:p>
            <w:pPr>
              <w:pStyle w:val="Compact"/>
            </w:pPr>
            <w:r>
              <w:rPr>
                <w:rFonts w:hint="eastAsia"/>
              </w:rPr>
              <w:t xml:space="preserve">等效设施模型</w:t>
            </w:r>
          </w:p>
        </w:tc>
        <w:tc>
          <w:tcPr/>
          <w:p>
            <w:pPr>
              <w:pStyle w:val="Compact"/>
            </w:pPr>
            <w:r>
              <w:rPr>
                <w:rFonts w:hint="eastAsia"/>
              </w:rPr>
              <w:t xml:space="preserve">通用机械制造设施（中）</w:t>
            </w:r>
          </w:p>
        </w:tc>
        <w:tc>
          <w:tcPr/>
          <w:p>
            <w:pPr>
              <w:pStyle w:val="Compact"/>
              <w:jc w:val="right"/>
            </w:pPr>
            <w:r>
              <w:t xml:space="preserve">132</w:t>
            </w:r>
          </w:p>
        </w:tc>
      </w:tr>
      <w:tr>
        <w:tc>
          <w:tcPr/>
          <w:p>
            <w:pPr>
              <w:pStyle w:val="Compact"/>
              <w:jc w:val="right"/>
            </w:pPr>
            <w:r>
              <w:t xml:space="preserve">7</w:t>
            </w:r>
          </w:p>
        </w:tc>
        <w:tc>
          <w:tcPr/>
          <w:p>
            <w:pPr>
              <w:pStyle w:val="Compact"/>
            </w:pPr>
            <w:r>
              <w:rPr>
                <w:rFonts w:hint="eastAsia"/>
              </w:rPr>
              <w:t xml:space="preserve">小型机械制造等效设施</w:t>
            </w:r>
          </w:p>
        </w:tc>
        <w:tc>
          <w:tcPr/>
          <w:p>
            <w:pPr>
              <w:pStyle w:val="Compact"/>
            </w:pPr>
            <w:r>
              <w:rPr>
                <w:rFonts w:hint="eastAsia"/>
              </w:rPr>
              <w:t xml:space="preserve">等效设施模型</w:t>
            </w:r>
          </w:p>
        </w:tc>
        <w:tc>
          <w:tcPr/>
          <w:p>
            <w:pPr>
              <w:pStyle w:val="Compact"/>
            </w:pPr>
            <w:r>
              <w:rPr>
                <w:rFonts w:hint="eastAsia"/>
              </w:rPr>
              <w:t xml:space="preserve">通用机械制造设施（小）</w:t>
            </w:r>
          </w:p>
        </w:tc>
        <w:tc>
          <w:tcPr/>
          <w:p>
            <w:pPr>
              <w:pStyle w:val="Compact"/>
              <w:jc w:val="right"/>
            </w:pPr>
            <w:r>
              <w:t xml:space="preserve">156</w:t>
            </w:r>
          </w:p>
        </w:tc>
      </w:tr>
      <w:tr>
        <w:tc>
          <w:tcPr/>
          <w:p>
            <w:pPr>
              <w:pStyle w:val="Compact"/>
              <w:jc w:val="right"/>
            </w:pPr>
            <w:r>
              <w:rPr>
                <w:rFonts w:hint="eastAsia"/>
                <w:b/>
                <w:bCs/>
              </w:rPr>
              <w:t xml:space="preserve">合计</w:t>
            </w:r>
          </w:p>
        </w:tc>
        <w:tc>
          <w:tcPr/>
          <w:p>
            <w:pPr>
              <w:pStyle w:val="Compact"/>
            </w:pPr>
            <w:r>
              <w:rPr>
                <w:b/>
                <w:bCs/>
              </w:rPr>
              <w:t xml:space="preserve">7 </w:t>
            </w:r>
            <w:r>
              <w:rPr>
                <w:rFonts w:hint="eastAsia"/>
                <w:b/>
                <w:bCs/>
              </w:rPr>
              <w:t xml:space="preserve">个设施</w:t>
            </w:r>
          </w:p>
        </w:tc>
        <w:tc>
          <w:tcPr/>
          <w:p>
            <w:pPr>
              <w:pStyle w:val="Compact"/>
            </w:pPr>
            <w:r>
              <w:rPr>
                <w:b/>
                <w:bCs/>
              </w:rPr>
              <w:t xml:space="preserve">4 </w:t>
            </w:r>
            <w:r>
              <w:rPr>
                <w:rFonts w:hint="eastAsia"/>
                <w:b/>
                <w:bCs/>
              </w:rPr>
              <w:t xml:space="preserve">个特异设施模型、3</w:t>
            </w:r>
            <w:r>
              <w:rPr>
                <w:b/>
                <w:bCs/>
              </w:rPr>
              <w:t xml:space="preserve"> </w:t>
            </w:r>
            <w:r>
              <w:rPr>
                <w:rFonts w:hint="eastAsia"/>
                <w:b/>
                <w:bCs/>
              </w:rPr>
              <w:t xml:space="preserve">个等效设施模型</w:t>
            </w:r>
          </w:p>
        </w:tc>
        <w:tc>
          <w:tcPr/>
          <w:p>
            <w:pPr>
              <w:pStyle w:val="Compact"/>
            </w:pPr>
            <w:r>
              <w:t xml:space="preserve">—</w:t>
            </w:r>
          </w:p>
        </w:tc>
        <w:tc>
          <w:tcPr/>
          <w:p>
            <w:pPr>
              <w:pStyle w:val="Compact"/>
              <w:jc w:val="right"/>
            </w:pPr>
            <w:r>
              <w:rPr>
                <w:b/>
                <w:bCs/>
              </w:rPr>
              <w:t xml:space="preserve">803</w:t>
            </w:r>
          </w:p>
        </w:tc>
      </w:tr>
    </w:tbl>
    <w:bookmarkEnd w:id="39"/>
    <w:bookmarkStart w:id="40" w:name="Xb498d7fd7a57df470abcaf4c33f2bf22f110df3"/>
    <w:p>
      <w:pPr>
        <w:pStyle w:val="4"/>
      </w:pPr>
      <w:r>
        <w:t xml:space="preserve">1.2 </w:t>
      </w:r>
      <w:r>
        <w:rPr>
          <w:rFonts w:hint="eastAsia"/>
        </w:rPr>
        <w:t xml:space="preserve">热辐射损伤特征</w:t>
      </w:r>
    </w:p>
    <w:p>
      <w:pPr>
        <w:pStyle w:val="FirstParagraph"/>
      </w:pPr>
      <w:r>
        <w:rPr>
          <w:rFonts w:hint="eastAsia"/>
        </w:rPr>
        <w:t xml:space="preserve">机械制造设施的设施级损伤主要受热源强度、作用时间、受热方向、厂房尺度、迎火侧开口和生产设备分布共同影响。热通量和热剂量决定输入能量；方位角和俯仰角决定具体受热墙面以及辐射进入厂房的路径；厂房尺度通过迎火侧墙面面积、总开口比例等模型输入反映热量作用的空间条件；迎火侧机床、控制设备、油品及其他敏感目标比例则决定可能形成有效损伤的资产数量和价值。</w:t>
      </w:r>
    </w:p>
    <w:p>
      <w:pPr>
        <w:pStyle w:val="BodyText"/>
      </w:pPr>
      <w:r>
        <w:rPr>
          <w:rFonts w:hint="eastAsia"/>
        </w:rPr>
        <w:t xml:space="preserve">不同工程对象的响应可能存在显著差异。围护较完整、敏感资产距外墙较远的总装或加工设施，在现有短时作用下可能只产生局部温升；设备集中、迎火侧开口较大或高价值目标直接暴露的方向，则可能在较低热通量下跨越设施级阈值。大、中、小等效设施进一步反映了建筑体量、目标密度和局部损伤占总资产价值比例随尺度变化的影响。</w:t>
      </w:r>
    </w:p>
    <w:bookmarkEnd w:id="40"/>
    <w:bookmarkStart w:id="41" w:name="X5f476d0092714377705e21301cf11c49e221140"/>
    <w:p>
      <w:pPr>
        <w:pStyle w:val="4"/>
      </w:pPr>
      <w:r>
        <w:t xml:space="preserve">1.3 </w:t>
      </w:r>
      <w:r>
        <w:rPr>
          <w:rFonts w:hint="eastAsia"/>
        </w:rPr>
        <w:t xml:space="preserve">研究目标</w:t>
      </w:r>
    </w:p>
    <w:p>
      <w:pPr>
        <w:pStyle w:val="FirstParagraph"/>
      </w:pPr>
      <w:r>
        <w:rPr>
          <w:rFonts w:hint="eastAsia"/>
        </w:rPr>
        <w:t xml:space="preserve">本研究面向机械制造设施的工程快速评估需求，在</w:t>
      </w:r>
      <w:r>
        <w:t xml:space="preserve"> FDS </w:t>
      </w:r>
      <w:r>
        <w:rPr>
          <w:rFonts w:hint="eastAsia"/>
        </w:rPr>
        <w:t xml:space="preserve">计算结果基础上建立热辐射工况与设施级</w:t>
      </w:r>
      <w:r>
        <w:t xml:space="preserve"> Dk </w:t>
      </w:r>
      <w:r>
        <w:rPr>
          <w:rFonts w:hint="eastAsia"/>
        </w:rPr>
        <w:t xml:space="preserve">之间的映射。模型既输出连续</w:t>
      </w:r>
      <w:r>
        <w:t xml:space="preserve"> </w:t>
      </w:r>
      <w:r>
        <w:rPr>
          <w:rFonts w:hint="eastAsia"/>
        </w:rPr>
        <w:t xml:space="preserve">Dk，用于同等级内部的风险排序，又输出基本完好、轻微破坏、中等破坏和严重破坏四级结果，用于工程判定。通过批量扫描热通量、方位角、俯仰角和持续时间，可形成各机械制造设施在不同方向与工况下的损伤响应规律，为重点方向识别和精细仿真工况选择提供依据。</w:t>
      </w:r>
    </w:p>
    <w:p>
      <w:r>
        <w:pict>
          <v:rect style="width:0;height:1.5pt" o:hralign="center" o:hrstd="t" o:hr="t"/>
        </w:pict>
      </w:r>
    </w:p>
    <w:bookmarkEnd w:id="41"/>
    <w:bookmarkEnd w:id="42"/>
    <w:bookmarkStart w:id="47" w:name="Xb9d6ad9f54286da7506c16c77b99e6b750f4959"/>
    <w:p>
      <w:pPr>
        <w:pStyle w:val="3"/>
      </w:pPr>
      <w:r>
        <w:t xml:space="preserve">2 FDS </w:t>
      </w:r>
      <w:r>
        <w:rPr>
          <w:rFonts w:hint="eastAsia"/>
        </w:rPr>
        <w:t xml:space="preserve">模拟数据体系</w:t>
      </w:r>
    </w:p>
    <w:bookmarkStart w:id="43" w:name="Xa7c7a5f597259e235081e64014a83576a10dac3"/>
    <w:p>
      <w:pPr>
        <w:pStyle w:val="4"/>
      </w:pPr>
      <w:r>
        <w:t xml:space="preserve">2.1 </w:t>
      </w:r>
      <w:r>
        <w:rPr>
          <w:rFonts w:hint="eastAsia"/>
        </w:rPr>
        <w:t xml:space="preserve">数据组成</w:t>
      </w:r>
    </w:p>
    <w:p>
      <w:pPr>
        <w:pStyle w:val="FirstParagraph"/>
      </w:pPr>
      <w:r>
        <w:rPr>
          <w:rFonts w:hint="eastAsia"/>
        </w:rPr>
        <w:t xml:space="preserve">每条工况由设施</w:t>
      </w:r>
      <w:r>
        <w:t xml:space="preserve"> FDS </w:t>
      </w:r>
      <w:r>
        <w:rPr>
          <w:rFonts w:hint="eastAsia"/>
        </w:rPr>
        <w:t xml:space="preserve">模型和对应的损伤计算结果共同组成。FDS</w:t>
      </w:r>
      <w:r>
        <w:t xml:space="preserve"> </w:t>
      </w:r>
      <w:r>
        <w:rPr>
          <w:rFonts w:hint="eastAsia"/>
        </w:rPr>
        <w:t xml:space="preserve">模型提供建筑计算域、障碍物、门窗与通风口、设备测点、敏感目标位置以及热辐射输入；损伤计算结果提供设施修复成本、资产价值和连续损伤指数</w:t>
      </w:r>
      <w:r>
        <w:t xml:space="preserve"> </w:t>
      </w:r>
      <w:r>
        <w:rPr>
          <w:rFonts w:hint="eastAsia"/>
        </w:rPr>
        <w:t xml:space="preserve">Dk。经过完整性、有效性和取值范围检查后，形成</w:t>
      </w:r>
      <w:r>
        <w:t xml:space="preserve"> 6584 </w:t>
      </w:r>
      <w:r>
        <w:rPr>
          <w:rFonts w:hint="eastAsia"/>
        </w:rPr>
        <w:t xml:space="preserve">条合格工况，其中机械制造设施</w:t>
      </w:r>
      <w:r>
        <w:t xml:space="preserve"> 803 </w:t>
      </w:r>
      <w:r>
        <w:rPr>
          <w:rFonts w:hint="eastAsia"/>
        </w:rPr>
        <w:t xml:space="preserve">条。</w:t>
      </w:r>
    </w:p>
    <w:p>
      <w:pPr>
        <w:pStyle w:val="BodyText"/>
      </w:pPr>
      <w:r>
        <w:rPr>
          <w:rFonts w:hint="eastAsia"/>
        </w:rPr>
        <w:t xml:space="preserve">大、中、小等效设施按建筑平面尺度划分，用以表征不同体量下目标密度、开口比例和局部损伤占总资产价值比例的差异。由于实际厂房尺度是连续分布，无法逐一模拟，各规模档以一段长度、宽度范围定义，模拟时取该范围内的代表值。机械制造等效设施涵盖总装、部装和机械加工等典型生产空间，各规模的几何参数范围与代表值如下表所示。</w:t>
      </w:r>
    </w:p>
    <w:p>
      <w:pPr>
        <w:pStyle w:val="BodyText"/>
      </w:pPr>
      <w:r>
        <w:rPr>
          <w:rFonts w:hint="eastAsia"/>
          <w:b/>
          <w:bCs/>
        </w:rPr>
        <w:t xml:space="preserve">表</w:t>
      </w:r>
      <w:r>
        <w:rPr>
          <w:b/>
          <w:bCs/>
        </w:rPr>
        <w:t xml:space="preserve"> 2 </w:t>
      </w:r>
      <w:r>
        <w:rPr>
          <w:rFonts w:hint="eastAsia"/>
          <w:b/>
          <w:bCs/>
        </w:rPr>
        <w:t xml:space="preserve">机械制造等效设施规模分级与典型几何参数</w:t>
      </w:r>
    </w:p>
    <w:p>
      <w:pPr>
        <w:pStyle w:val="BodyText"/>
      </w:pPr>
      <w:r>
        <w:rPr>
          <w:rFonts w:hint="eastAsia"/>
        </w:rPr>
        <w:t xml:space="preserve">从规模分级看，总装车间跨度最大，反映整机装配对连续大空间和物流开口的需求；部装车间以装配工位和局部生产单元为主，尺度相对紧凑；机械加工车间介于两者之间，以机床密集布置为主要特征。三种功能空间在大、中、小三个尺度下均保持单层大跨结构，高度随规模小幅增加，体现了厂房在满足生产净空前提下向水平方向扩展的典型形态。模拟代表值即各规模档在</w:t>
      </w:r>
      <w:r>
        <w:t xml:space="preserve"> FDS </w:t>
      </w:r>
      <w:r>
        <w:rPr>
          <w:rFonts w:hint="eastAsia"/>
        </w:rPr>
        <w:t xml:space="preserve">建模中实际采用的长宽高，相邻档位之间以代表值中点划分边界。</w:t>
      </w:r>
    </w:p>
    <w:p>
      <w:pPr>
        <w:pStyle w:val="BodyText"/>
      </w:pPr>
      <w:r>
        <w:rPr>
          <w:rFonts w:hint="eastAsia"/>
          <w:b/>
          <w:bCs/>
        </w:rPr>
        <w:t xml:space="preserve">表 2-1a 机械制造等效设施整体建筑面积范围</w:t>
      </w:r>
    </w:p>
    <w:tbl>
      <w:tblPr>
        <w:tblStyle w:val="Table"/>
        <w:tblW w:type="auto" w:w="0"/>
        <w:tblLook w:firstRow="1" w:lastRow="0" w:firstColumn="0" w:lastColumn="0" w:noHBand="0" w:noVBand="0" w:val="0020"/>
      </w:tblPr>
      <w:tblGrid>
        <w:gridCol w:w="1800"/>
        <w:gridCol w:w="6200"/>
      </w:tblGrid>
      <w:tr>
        <w:trPr>
          <w:tblHeader w:val="on"/>
        </w:trPr>
        <w:tc>
          <w:tcPr>
            <w:tcW w:w="1800" w:type="dxa"/>
          </w:tcPr>
          <w:p>
            <w:pPr>
              <w:pStyle w:val="Compact"/>
            </w:pPr>
            <w:r>
              <w:rPr>
                <w:rFonts w:hint="eastAsia"/>
              </w:rPr>
              <w:t xml:space="preserve">规模</w:t>
            </w:r>
          </w:p>
        </w:tc>
        <w:tc>
          <w:tcPr>
            <w:tcW w:w="6200" w:type="dxa"/>
          </w:tcPr>
          <w:p>
            <w:pPr>
              <w:pStyle w:val="Compact"/>
            </w:pPr>
            <w:r>
              <w:rPr>
                <w:rFonts w:hint="eastAsia"/>
              </w:rPr>
              <w:t xml:space="preserve">设施总建筑面积范围（m²）</w:t>
            </w:r>
          </w:p>
        </w:tc>
      </w:tr>
      <w:tr>
        <w:tc>
          <w:tcPr>
            <w:tcW w:w="1800" w:type="dxa"/>
          </w:tcPr>
          <w:p>
            <w:pPr>
              <w:pStyle w:val="Compact"/>
            </w:pPr>
            <w:r>
              <w:rPr>
                <w:rFonts w:hint="eastAsia"/>
              </w:rPr>
              <w:t xml:space="preserve">小</w:t>
            </w:r>
          </w:p>
        </w:tc>
        <w:tc>
          <w:tcPr>
            <w:tcW w:w="6200" w:type="dxa"/>
          </w:tcPr>
          <w:p>
            <w:pPr>
              <w:pStyle w:val="Compact"/>
            </w:pPr>
            <w:r>
              <w:rPr>
                <w:rFonts w:hint="eastAsia"/>
              </w:rPr>
              <w:t xml:space="preserve">≤24,000</w:t>
            </w:r>
          </w:p>
        </w:tc>
      </w:tr>
      <w:tr>
        <w:tc>
          <w:tcPr>
            <w:tcW w:w="1800" w:type="dxa"/>
          </w:tcPr>
          <w:p>
            <w:pPr>
              <w:pStyle w:val="Compact"/>
            </w:pPr>
            <w:r>
              <w:rPr>
                <w:rFonts w:hint="eastAsia"/>
              </w:rPr>
              <w:t xml:space="preserve">中</w:t>
            </w:r>
          </w:p>
        </w:tc>
        <w:tc>
          <w:tcPr>
            <w:tcW w:w="6200" w:type="dxa"/>
          </w:tcPr>
          <w:p>
            <w:pPr>
              <w:pStyle w:val="Compact"/>
            </w:pPr>
            <w:r>
              <w:rPr>
                <w:rFonts w:hint="eastAsia"/>
              </w:rPr>
              <w:t xml:space="preserve">24,000–43,510</w:t>
            </w:r>
          </w:p>
        </w:tc>
      </w:tr>
      <w:tr>
        <w:tc>
          <w:tcPr>
            <w:tcW w:w="1800" w:type="dxa"/>
          </w:tcPr>
          <w:p>
            <w:pPr>
              <w:pStyle w:val="Compact"/>
            </w:pPr>
            <w:r>
              <w:rPr>
                <w:rFonts w:hint="eastAsia"/>
              </w:rPr>
              <w:t xml:space="preserve">大</w:t>
            </w:r>
          </w:p>
        </w:tc>
        <w:tc>
          <w:tcPr>
            <w:tcW w:w="6200" w:type="dxa"/>
          </w:tcPr>
          <w:p>
            <w:pPr>
              <w:pStyle w:val="Compact"/>
            </w:pPr>
            <w:r>
              <w:rPr>
                <w:rFonts w:hint="eastAsia"/>
              </w:rPr>
              <w:t xml:space="preserve">&gt;43,510</w:t>
            </w:r>
          </w:p>
        </w:tc>
      </w:tr>
    </w:tbl>
    <w:p>
      <w:pPr>
        <w:pStyle w:val="BodyText"/>
      </w:pPr>
      <w:r>
        <w:rPr>
          <w:rFonts w:hint="eastAsia"/>
        </w:rPr>
        <w:t xml:space="preserve">整体建筑面积范围由各建筑在该规模档内的长度与宽度范围换算得到，反映设施级面积对应的小、中、大区间；表中上、下限是相邻规模档的分界值，不表示任一规模档只能取该具体面积。</w:t>
      </w:r>
    </w:p>
    <w:bookmarkEnd w:id="43"/>
    <w:bookmarkStart w:id="44" w:name="X1c721b7fcdb64e317edc0c8a9f4e792eee34c64"/>
    <w:p>
      <w:pPr>
        <w:pStyle w:val="4"/>
      </w:pPr>
      <w:r>
        <w:t xml:space="preserve">2.2 </w:t>
      </w:r>
      <w:r>
        <w:rPr>
          <w:rFonts w:hint="eastAsia"/>
        </w:rPr>
        <w:t xml:space="preserve">工况覆盖</w:t>
      </w:r>
    </w:p>
    <w:p>
      <w:pPr>
        <w:pStyle w:val="FirstParagraph"/>
      </w:pPr>
      <w:r>
        <w:rPr>
          <w:rFonts w:hint="eastAsia"/>
        </w:rPr>
        <w:t xml:space="preserve">机械制造设施工况统一覆盖热通量、方位角、俯仰角和辐射持续时间四类热源条件。全部机械制造数据综合覆盖</w:t>
      </w:r>
      <w:r>
        <w:t xml:space="preserve"> </w:t>
      </w:r>
      <w:r>
        <w:rPr>
          <w:rFonts w:hint="eastAsia"/>
        </w:rPr>
        <w:t xml:space="preserve">500～20000</w:t>
      </w:r>
      <w:r>
        <w:t xml:space="preserve"> </w:t>
      </w:r>
      <w:r>
        <w:rPr>
          <w:rFonts w:hint="eastAsia"/>
        </w:rPr>
        <w:t xml:space="preserve">kW/m²热通量，主要方位角为</w:t>
      </w:r>
      <w:r>
        <w:t xml:space="preserve"> </w:t>
      </w:r>
      <w:r>
        <w:rPr>
          <w:rFonts w:hint="eastAsia"/>
        </w:rPr>
        <w:t xml:space="preserve">0°、90°、180°和</w:t>
      </w:r>
      <w:r>
        <w:t xml:space="preserve"> </w:t>
      </w:r>
      <w:r>
        <w:rPr>
          <w:rFonts w:hint="eastAsia"/>
        </w:rPr>
        <w:t xml:space="preserve">270°，俯仰角为</w:t>
      </w:r>
      <w:r>
        <w:t xml:space="preserve"> </w:t>
      </w:r>
      <w:r>
        <w:rPr>
          <w:rFonts w:hint="eastAsia"/>
        </w:rPr>
        <w:t xml:space="preserve">0°、30°、45°和</w:t>
      </w:r>
      <w:r>
        <w:t xml:space="preserve"> </w:t>
      </w:r>
      <w:r>
        <w:rPr>
          <w:rFonts w:hint="eastAsia"/>
        </w:rPr>
        <w:t xml:space="preserve">60°，辐射持续时间为</w:t>
      </w:r>
      <w:r>
        <w:t xml:space="preserve"> 1.36 s、2.10 s </w:t>
      </w:r>
      <w:r>
        <w:rPr>
          <w:rFonts w:hint="eastAsia"/>
        </w:rPr>
        <w:t xml:space="preserve">和</w:t>
      </w:r>
      <w:r>
        <w:t xml:space="preserve"> 7.50 </w:t>
      </w:r>
      <w:r>
        <w:rPr>
          <w:rFonts w:hint="eastAsia"/>
        </w:rPr>
        <w:t xml:space="preserve">s。三个持续时间分别包含</w:t>
      </w:r>
      <w:r>
        <w:t xml:space="preserve"> 242、243 </w:t>
      </w:r>
      <w:r>
        <w:rPr>
          <w:rFonts w:hint="eastAsia"/>
        </w:rPr>
        <w:t xml:space="preserve">和</w:t>
      </w:r>
      <w:r>
        <w:t xml:space="preserve"> 273 </w:t>
      </w:r>
      <w:r>
        <w:rPr>
          <w:rFonts w:hint="eastAsia"/>
        </w:rPr>
        <w:t xml:space="preserve">条合格工况，可用于比较不同短时热作用条件下的损伤响应。</w:t>
      </w:r>
    </w:p>
    <w:p>
      <w:pPr>
        <w:pStyle w:val="BodyText"/>
      </w:pPr>
      <w:r>
        <w:rPr>
          <w:rFonts w:hint="eastAsia"/>
        </w:rPr>
        <w:t xml:space="preserve">设施计算域、开口与敏感目标采用各自</w:t>
      </w:r>
      <w:r>
        <w:t xml:space="preserve"> FDS </w:t>
      </w:r>
      <w:r>
        <w:rPr>
          <w:rFonts w:hint="eastAsia"/>
        </w:rPr>
        <w:t xml:space="preserve">模型中的实际参数。工况组合在统一规则下组织，使模型能够学习热源条件与设施工程特征之间的耦合作用，同时保持特异设施模型和等效设施模型的数据表达一致。</w:t>
      </w:r>
    </w:p>
    <w:bookmarkEnd w:id="44"/>
    <w:bookmarkStart w:id="45" w:name="X83d2ca0be0c2152b2582a610b87cb56fa739407"/>
    <w:p>
      <w:pPr>
        <w:pStyle w:val="4"/>
      </w:pPr>
      <w:r>
        <w:t xml:space="preserve">2.3 </w:t>
      </w:r>
      <w:r>
        <w:rPr>
          <w:rFonts w:hint="eastAsia"/>
        </w:rPr>
        <w:t xml:space="preserve">设施构型与目标特征覆盖</w:t>
      </w:r>
    </w:p>
    <w:p>
      <w:pPr>
        <w:pStyle w:val="FirstParagraph"/>
      </w:pPr>
      <w:r>
        <w:rPr>
          <w:rFonts w:hint="eastAsia"/>
        </w:rPr>
        <w:t xml:space="preserve">机械制造设施中的可燃物与敏感目标具有明显的工艺聚集性。切削和磨削区域关注切削液、润滑油、液压油、油雾及金属粉尘，装配和总装区域关注电缆、塑料和橡胶部件、包装材料、涂装或清洗用液体以及局部气瓶和供气装置；机床、机器人、数控系统、配电柜和生产线控制单元则属于高价值敏感目标。不同物料的燃烧、挥发或粉尘风险并不直接构成新的模型变量，而是用于解释实际</w:t>
      </w:r>
      <w:r>
        <w:t xml:space="preserve"> FDS </w:t>
      </w:r>
      <w:r>
        <w:rPr>
          <w:rFonts w:hint="eastAsia"/>
        </w:rPr>
        <w:t xml:space="preserve">模型中目标布置和方向响应的差异。</w:t>
      </w:r>
    </w:p>
    <w:p>
      <w:pPr>
        <w:pStyle w:val="BodyText"/>
      </w:pPr>
      <w:r>
        <w:rPr>
          <w:rFonts w:hint="eastAsia"/>
        </w:rPr>
        <w:t xml:space="preserve">上述信息统一归并到当前特征体系：热通量、持续时间和入射方向归入热源工况特征；厂房尺度、迎火侧墙面、门窗和总开口比例，以及可燃物与敏感目标的密度及迎火侧比例统一归入设施构型及目标特征。设施类别通过"每设施一个模型"的结构体现，不作为独立输入特征，也不恢复旧式材料权重或旧模型输入。</w:t>
      </w:r>
    </w:p>
    <w:bookmarkEnd w:id="45"/>
    <w:bookmarkStart w:id="46" w:name="X66940864058b84d96bf4c487b78775c2ac126dd"/>
    <w:p>
      <w:pPr>
        <w:pStyle w:val="4"/>
      </w:pPr>
      <w:r>
        <w:t xml:space="preserve">2.4 </w:t>
      </w:r>
      <w:r>
        <w:rPr>
          <w:rFonts w:hint="eastAsia"/>
        </w:rPr>
        <w:t xml:space="preserve">机械制造类</w:t>
      </w:r>
      <w:r>
        <w:t xml:space="preserve"> Dk </w:t>
      </w:r>
      <w:r>
        <w:rPr>
          <w:rFonts w:hint="eastAsia"/>
        </w:rPr>
        <w:t xml:space="preserve">分布</w:t>
      </w:r>
    </w:p>
    <w:p>
      <w:pPr>
        <w:pStyle w:val="FirstParagraph"/>
      </w:pPr>
      <w:r>
        <w:rPr>
          <w:rFonts w:hint="eastAsia"/>
          <w:b/>
          <w:bCs/>
        </w:rPr>
        <w:t xml:space="preserve">表</w:t>
      </w:r>
      <w:r>
        <w:rPr>
          <w:b/>
          <w:bCs/>
        </w:rPr>
        <w:t xml:space="preserve"> 3 </w:t>
      </w:r>
      <w:r>
        <w:rPr>
          <w:rFonts w:hint="eastAsia"/>
          <w:b/>
          <w:bCs/>
        </w:rPr>
        <w:t xml:space="preserve">机械制造设施</w:t>
      </w:r>
      <w:r>
        <w:rPr>
          <w:b/>
          <w:bCs/>
        </w:rPr>
        <w:t xml:space="preserve"> Dk </w:t>
      </w:r>
      <w:r>
        <w:rPr>
          <w:rFonts w:hint="eastAsia"/>
          <w:b/>
          <w:bCs/>
        </w:rPr>
        <w:t xml:space="preserve">与损伤等级分布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损伤等级</w:t>
            </w:r>
          </w:p>
        </w:tc>
        <w:tc>
          <w:tcPr/>
          <w:p>
            <w:pPr>
              <w:pStyle w:val="Compact"/>
              <w:jc w:val="right"/>
            </w:pPr>
            <w:r>
              <w:t xml:space="preserve">Dk </w:t>
            </w:r>
            <w:r>
              <w:rPr>
                <w:rFonts w:hint="eastAsia"/>
              </w:rPr>
              <w:t xml:space="preserve">范围</w:t>
            </w:r>
          </w:p>
        </w:tc>
        <w:tc>
          <w:tcPr/>
          <w:p>
            <w:pPr>
              <w:pStyle w:val="Compact"/>
              <w:jc w:val="right"/>
            </w:pPr>
            <w:r>
              <w:rPr>
                <w:rFonts w:hint="eastAsia"/>
              </w:rPr>
              <w:t xml:space="preserve">工况数</w:t>
            </w:r>
          </w:p>
        </w:tc>
        <w:tc>
          <w:tcPr/>
          <w:p>
            <w:pPr>
              <w:pStyle w:val="Compact"/>
              <w:jc w:val="right"/>
            </w:pPr>
            <w:r>
              <w:rPr>
                <w:rFonts w:hint="eastAsia"/>
              </w:rPr>
              <w:t xml:space="preserve">占比</w:t>
            </w:r>
          </w:p>
        </w:tc>
      </w:tr>
      <w:tr>
        <w:tc>
          <w:tcPr/>
          <w:p>
            <w:pPr>
              <w:pStyle w:val="Compact"/>
            </w:pPr>
            <w:r>
              <w:rPr>
                <w:rFonts w:hint="eastAsia"/>
              </w:rPr>
              <w:t xml:space="preserve">基本完好</w:t>
            </w:r>
          </w:p>
        </w:tc>
        <w:tc>
          <w:tcPr/>
          <w:p>
            <w:pPr>
              <w:pStyle w:val="Compact"/>
              <w:jc w:val="right"/>
            </w:pPr>
            <w:r>
              <w:rPr>
                <w:rStyle w:val="VerbatimChar"/>
              </w:rPr>
              <w:t xml:space="preserve">0 &lt;= Dk &lt; 0.04</w:t>
            </w:r>
          </w:p>
        </w:tc>
        <w:tc>
          <w:tcPr/>
          <w:p>
            <w:pPr>
              <w:pStyle w:val="Compact"/>
              <w:jc w:val="right"/>
            </w:pPr>
            <w:r>
              <w:t xml:space="preserve">640</w:t>
            </w:r>
          </w:p>
        </w:tc>
        <w:tc>
          <w:tcPr/>
          <w:p>
            <w:pPr>
              <w:pStyle w:val="Compact"/>
              <w:jc w:val="right"/>
            </w:pPr>
            <w:r>
              <w:t xml:space="preserve">79.70%</w:t>
            </w:r>
          </w:p>
        </w:tc>
      </w:tr>
      <w:tr>
        <w:tc>
          <w:tcPr/>
          <w:p>
            <w:pPr>
              <w:pStyle w:val="Compact"/>
            </w:pPr>
            <w:r>
              <w:rPr>
                <w:rFonts w:hint="eastAsia"/>
              </w:rPr>
              <w:t xml:space="preserve">轻微破坏</w:t>
            </w:r>
          </w:p>
        </w:tc>
        <w:tc>
          <w:tcPr/>
          <w:p>
            <w:pPr>
              <w:pStyle w:val="Compact"/>
              <w:jc w:val="right"/>
            </w:pPr>
            <w:r>
              <w:rPr>
                <w:rStyle w:val="VerbatimChar"/>
              </w:rPr>
              <w:t xml:space="preserve">0.04 &lt;= Dk &lt; 0.10</w:t>
            </w:r>
          </w:p>
        </w:tc>
        <w:tc>
          <w:tcPr/>
          <w:p>
            <w:pPr>
              <w:pStyle w:val="Compact"/>
              <w:jc w:val="right"/>
            </w:pPr>
            <w:r>
              <w:t xml:space="preserve">54</w:t>
            </w:r>
          </w:p>
        </w:tc>
        <w:tc>
          <w:tcPr/>
          <w:p>
            <w:pPr>
              <w:pStyle w:val="Compact"/>
              <w:jc w:val="right"/>
            </w:pPr>
            <w:r>
              <w:t xml:space="preserve">6.72%</w:t>
            </w:r>
          </w:p>
        </w:tc>
      </w:tr>
      <w:tr>
        <w:tc>
          <w:tcPr/>
          <w:p>
            <w:pPr>
              <w:pStyle w:val="Compact"/>
            </w:pPr>
            <w:r>
              <w:rPr>
                <w:rFonts w:hint="eastAsia"/>
              </w:rPr>
              <w:t xml:space="preserve">中等破坏</w:t>
            </w:r>
          </w:p>
        </w:tc>
        <w:tc>
          <w:tcPr/>
          <w:p>
            <w:pPr>
              <w:pStyle w:val="Compact"/>
              <w:jc w:val="right"/>
            </w:pPr>
            <w:r>
              <w:rPr>
                <w:rStyle w:val="VerbatimChar"/>
              </w:rPr>
              <w:t xml:space="preserve">0.10 &lt;= Dk &lt; 0.40</w:t>
            </w:r>
          </w:p>
        </w:tc>
        <w:tc>
          <w:tcPr/>
          <w:p>
            <w:pPr>
              <w:pStyle w:val="Compact"/>
              <w:jc w:val="right"/>
            </w:pPr>
            <w:r>
              <w:t xml:space="preserve">40</w:t>
            </w:r>
          </w:p>
        </w:tc>
        <w:tc>
          <w:tcPr/>
          <w:p>
            <w:pPr>
              <w:pStyle w:val="Compact"/>
              <w:jc w:val="right"/>
            </w:pPr>
            <w:r>
              <w:t xml:space="preserve">4.98%</w:t>
            </w:r>
          </w:p>
        </w:tc>
      </w:tr>
      <w:tr>
        <w:tc>
          <w:tcPr/>
          <w:p>
            <w:pPr>
              <w:pStyle w:val="Compact"/>
            </w:pPr>
            <w:r>
              <w:rPr>
                <w:rFonts w:hint="eastAsia"/>
              </w:rPr>
              <w:t xml:space="preserve">严重破坏</w:t>
            </w:r>
          </w:p>
        </w:tc>
        <w:tc>
          <w:tcPr/>
          <w:p>
            <w:pPr>
              <w:pStyle w:val="Compact"/>
              <w:jc w:val="right"/>
            </w:pPr>
            <w:r>
              <w:rPr>
                <w:rStyle w:val="VerbatimChar"/>
              </w:rPr>
              <w:t xml:space="preserve">0.40 &lt;= Dk &lt;= 1.00</w:t>
            </w:r>
          </w:p>
        </w:tc>
        <w:tc>
          <w:tcPr/>
          <w:p>
            <w:pPr>
              <w:pStyle w:val="Compact"/>
              <w:jc w:val="right"/>
            </w:pPr>
            <w:r>
              <w:t xml:space="preserve">69</w:t>
            </w:r>
          </w:p>
        </w:tc>
        <w:tc>
          <w:tcPr/>
          <w:p>
            <w:pPr>
              <w:pStyle w:val="Compact"/>
              <w:jc w:val="right"/>
            </w:pPr>
            <w:r>
              <w:t xml:space="preserve">8.59%</w:t>
            </w:r>
          </w:p>
        </w:tc>
      </w:tr>
      <w:tr>
        <w:tc>
          <w:tcPr/>
          <w:p>
            <w:pPr>
              <w:pStyle w:val="Compact"/>
            </w:pPr>
            <w:r>
              <w:rPr>
                <w:rFonts w:hint="eastAsia"/>
                <w:b/>
                <w:bCs/>
              </w:rPr>
              <w:t xml:space="preserve">合计</w:t>
            </w:r>
          </w:p>
        </w:tc>
        <w:tc>
          <w:tcPr/>
          <w:p>
            <w:pPr>
              <w:pStyle w:val="Compact"/>
              <w:jc w:val="right"/>
            </w:pPr>
            <w:r>
              <w:t xml:space="preserve">—</w:t>
            </w:r>
          </w:p>
        </w:tc>
        <w:tc>
          <w:tcPr/>
          <w:p>
            <w:pPr>
              <w:pStyle w:val="Compact"/>
              <w:jc w:val="right"/>
            </w:pPr>
            <w:r>
              <w:rPr>
                <w:b/>
                <w:bCs/>
              </w:rPr>
              <w:t xml:space="preserve">803</w:t>
            </w:r>
          </w:p>
        </w:tc>
        <w:tc>
          <w:tcPr/>
          <w:p>
            <w:pPr>
              <w:pStyle w:val="Compact"/>
              <w:jc w:val="right"/>
            </w:pPr>
            <w:r>
              <w:rPr>
                <w:b/>
                <w:bCs/>
              </w:rPr>
              <w:t xml:space="preserve">100.00%</w:t>
            </w:r>
          </w:p>
        </w:tc>
      </w:tr>
    </w:tbl>
    <w:p>
      <w:pPr>
        <w:pStyle w:val="BodyText"/>
      </w:pPr>
      <w:r>
        <w:rPr>
          <w:rFonts w:hint="eastAsia"/>
        </w:rPr>
        <w:t xml:space="preserve">机械制造数据以基本完好工况为主，同时保留了轻微、中等和严重破坏样本。严重破坏主要集中于特定设施及不利方向，轻微和中等破坏位于较窄的等级区间。模型分类任务采用类别平衡方式训练，使各损伤等级在树节点划分中获得适当权重。</w:t>
      </w:r>
    </w:p>
    <w:p>
      <w:r>
        <w:pict>
          <v:rect style="width:0;height:1.5pt" o:hralign="center" o:hrstd="t" o:hr="t"/>
        </w:pict>
      </w:r>
    </w:p>
    <w:bookmarkEnd w:id="46"/>
    <w:bookmarkEnd w:id="47"/>
    <w:bookmarkStart w:id="50" w:name="X0ad8933e65289b3d5b16b29c786d474ec1eeea6"/>
    <w:p>
      <w:pPr>
        <w:pStyle w:val="3"/>
      </w:pPr>
      <w:r>
        <w:t xml:space="preserve">3 </w:t>
      </w:r>
      <w:r>
        <w:rPr>
          <w:rFonts w:hint="eastAsia"/>
        </w:rPr>
        <w:t xml:space="preserve">损伤等级定义与工程解释</w:t>
      </w:r>
    </w:p>
    <w:bookmarkStart w:id="48" w:name="X558e6e9d28dbf294fbc837159c8e658a8f8b2a9"/>
    <w:p>
      <w:pPr>
        <w:pStyle w:val="4"/>
      </w:pPr>
      <w:r>
        <w:t xml:space="preserve">3.1 </w:t>
      </w:r>
      <w:r>
        <w:rPr>
          <w:rFonts w:hint="eastAsia"/>
        </w:rPr>
        <w:t xml:space="preserve">四级损伤标准</w:t>
      </w:r>
    </w:p>
    <w:p>
      <w:pPr>
        <w:pStyle w:val="FirstParagraph"/>
      </w:pPr>
      <w:r>
        <w:rPr>
          <w:rFonts w:hint="eastAsia"/>
          <w:b/>
          <w:bCs/>
        </w:rPr>
        <w:t xml:space="preserve">表</w:t>
      </w:r>
      <w:r>
        <w:rPr>
          <w:b/>
          <w:bCs/>
        </w:rPr>
        <w:t xml:space="preserve"> 4 Dk </w:t>
      </w:r>
      <w:r>
        <w:rPr>
          <w:rFonts w:hint="eastAsia"/>
          <w:b/>
          <w:bCs/>
        </w:rPr>
        <w:t xml:space="preserve">损伤等级划分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rPr>
                <w:rFonts w:hint="eastAsia"/>
              </w:rPr>
              <w:t xml:space="preserve">等级</w:t>
            </w:r>
          </w:p>
        </w:tc>
        <w:tc>
          <w:tcPr/>
          <w:p>
            <w:pPr>
              <w:pStyle w:val="Compact"/>
            </w:pPr>
            <w:r>
              <w:rPr>
                <w:rFonts w:hint="eastAsia"/>
              </w:rPr>
              <w:t xml:space="preserve">损伤状态</w:t>
            </w:r>
          </w:p>
        </w:tc>
        <w:tc>
          <w:tcPr/>
          <w:p>
            <w:pPr>
              <w:pStyle w:val="Compact"/>
              <w:jc w:val="right"/>
            </w:pPr>
            <w:r>
              <w:t xml:space="preserve">Dk </w:t>
            </w:r>
            <w:r>
              <w:rPr>
                <w:rFonts w:hint="eastAsia"/>
              </w:rPr>
              <w:t xml:space="preserve">区间</w:t>
            </w:r>
          </w:p>
        </w:tc>
        <w:tc>
          <w:tcPr/>
          <w:p>
            <w:pPr>
              <w:pStyle w:val="Compact"/>
            </w:pPr>
            <w:r>
              <w:rPr>
                <w:rFonts w:hint="eastAsia"/>
              </w:rPr>
              <w:t xml:space="preserve">工程含义</w:t>
            </w:r>
          </w:p>
        </w:tc>
      </w:tr>
      <w:tr>
        <w:tc>
          <w:tcPr/>
          <w:p>
            <w:pPr>
              <w:pStyle w:val="Compact"/>
              <w:jc w:val="right"/>
            </w:pPr>
            <w:r>
              <w:t xml:space="preserve">0</w:t>
            </w:r>
          </w:p>
        </w:tc>
        <w:tc>
          <w:tcPr/>
          <w:p>
            <w:pPr>
              <w:pStyle w:val="Compact"/>
            </w:pPr>
            <w:r>
              <w:rPr>
                <w:rFonts w:hint="eastAsia"/>
              </w:rPr>
              <w:t xml:space="preserve">基本完好</w:t>
            </w:r>
          </w:p>
        </w:tc>
        <w:tc>
          <w:tcPr/>
          <w:p>
            <w:pPr>
              <w:pStyle w:val="Compact"/>
              <w:jc w:val="right"/>
            </w:pPr>
            <w:r>
              <w:rPr>
                <w:rStyle w:val="VerbatimChar"/>
              </w:rPr>
              <w:t xml:space="preserve">0 &lt;= Dk &lt; 0.04</w:t>
            </w:r>
          </w:p>
        </w:tc>
        <w:tc>
          <w:tcPr/>
          <w:p>
            <w:pPr>
              <w:pStyle w:val="Compact"/>
            </w:pPr>
            <w:r>
              <w:rPr>
                <w:rFonts w:hint="eastAsia"/>
              </w:rPr>
              <w:t xml:space="preserve">设施级维修损失较小，未达到轻微破坏阈值</w:t>
            </w:r>
          </w:p>
        </w:tc>
      </w:tr>
      <w:tr>
        <w:tc>
          <w:tcPr/>
          <w:p>
            <w:pPr>
              <w:pStyle w:val="Compact"/>
              <w:jc w:val="right"/>
            </w:pPr>
            <w:r>
              <w:t xml:space="preserve">1</w:t>
            </w:r>
          </w:p>
        </w:tc>
        <w:tc>
          <w:tcPr/>
          <w:p>
            <w:pPr>
              <w:pStyle w:val="Compact"/>
            </w:pPr>
            <w:r>
              <w:rPr>
                <w:rFonts w:hint="eastAsia"/>
              </w:rPr>
              <w:t xml:space="preserve">轻微破坏</w:t>
            </w:r>
          </w:p>
        </w:tc>
        <w:tc>
          <w:tcPr/>
          <w:p>
            <w:pPr>
              <w:pStyle w:val="Compact"/>
              <w:jc w:val="right"/>
            </w:pPr>
            <w:r>
              <w:rPr>
                <w:rStyle w:val="VerbatimChar"/>
              </w:rPr>
              <w:t xml:space="preserve">0.04 &lt;= Dk &lt; 0.10</w:t>
            </w:r>
          </w:p>
        </w:tc>
        <w:tc>
          <w:tcPr/>
          <w:p>
            <w:pPr>
              <w:pStyle w:val="Compact"/>
            </w:pPr>
            <w:r>
              <w:rPr>
                <w:rFonts w:hint="eastAsia"/>
              </w:rPr>
              <w:t xml:space="preserve">出现有限损伤，设施整体功能受影响较小</w:t>
            </w:r>
          </w:p>
        </w:tc>
      </w:tr>
      <w:tr>
        <w:tc>
          <w:tcPr/>
          <w:p>
            <w:pPr>
              <w:pStyle w:val="Compact"/>
              <w:jc w:val="right"/>
            </w:pPr>
            <w:r>
              <w:t xml:space="preserve">2</w:t>
            </w:r>
          </w:p>
        </w:tc>
        <w:tc>
          <w:tcPr/>
          <w:p>
            <w:pPr>
              <w:pStyle w:val="Compact"/>
            </w:pPr>
            <w:r>
              <w:rPr>
                <w:rFonts w:hint="eastAsia"/>
              </w:rPr>
              <w:t xml:space="preserve">中等破坏</w:t>
            </w:r>
          </w:p>
        </w:tc>
        <w:tc>
          <w:tcPr/>
          <w:p>
            <w:pPr>
              <w:pStyle w:val="Compact"/>
              <w:jc w:val="right"/>
            </w:pPr>
            <w:r>
              <w:rPr>
                <w:rStyle w:val="VerbatimChar"/>
              </w:rPr>
              <w:t xml:space="preserve">0.10 &lt;= Dk &lt; 0.40</w:t>
            </w:r>
          </w:p>
        </w:tc>
        <w:tc>
          <w:tcPr/>
          <w:p>
            <w:pPr>
              <w:pStyle w:val="Compact"/>
            </w:pPr>
            <w:r>
              <w:rPr>
                <w:rFonts w:hint="eastAsia"/>
              </w:rPr>
              <w:t xml:space="preserve">损伤范围或维修成本明显增加</w:t>
            </w:r>
          </w:p>
        </w:tc>
      </w:tr>
      <w:tr>
        <w:tc>
          <w:tcPr/>
          <w:p>
            <w:pPr>
              <w:pStyle w:val="Compact"/>
              <w:jc w:val="right"/>
            </w:pPr>
            <w:r>
              <w:t xml:space="preserve">3</w:t>
            </w:r>
          </w:p>
        </w:tc>
        <w:tc>
          <w:tcPr/>
          <w:p>
            <w:pPr>
              <w:pStyle w:val="Compact"/>
            </w:pPr>
            <w:r>
              <w:rPr>
                <w:rFonts w:hint="eastAsia"/>
              </w:rPr>
              <w:t xml:space="preserve">严重破坏</w:t>
            </w:r>
          </w:p>
        </w:tc>
        <w:tc>
          <w:tcPr/>
          <w:p>
            <w:pPr>
              <w:pStyle w:val="Compact"/>
              <w:jc w:val="right"/>
            </w:pPr>
            <w:r>
              <w:rPr>
                <w:rStyle w:val="VerbatimChar"/>
              </w:rPr>
              <w:t xml:space="preserve">0.40 &lt;= Dk &lt;= 1.00</w:t>
            </w:r>
          </w:p>
        </w:tc>
        <w:tc>
          <w:tcPr/>
          <w:p>
            <w:pPr>
              <w:pStyle w:val="Compact"/>
            </w:pPr>
            <w:r>
              <w:rPr>
                <w:rFonts w:hint="eastAsia"/>
              </w:rPr>
              <w:t xml:space="preserve">设施级损伤显著，需要重点处置</w:t>
            </w:r>
          </w:p>
        </w:tc>
      </w:tr>
    </w:tbl>
    <w:p>
      <w:pPr>
        <w:pStyle w:val="BodyText"/>
      </w:pPr>
      <w:r>
        <w:rPr>
          <w:rFonts w:hint="eastAsia"/>
        </w:rPr>
        <w:t xml:space="preserve">三个等级阈值分别固定为</w:t>
      </w:r>
      <w:r>
        <w:t xml:space="preserve"> Dk=0.04、0.10 </w:t>
      </w:r>
      <w:r>
        <w:rPr>
          <w:rFonts w:hint="eastAsia"/>
        </w:rPr>
        <w:t xml:space="preserve">和</w:t>
      </w:r>
      <w:r>
        <w:t xml:space="preserve"> </w:t>
      </w:r>
      <w:r>
        <w:rPr>
          <w:rFonts w:hint="eastAsia"/>
        </w:rPr>
        <w:t xml:space="preserve">0.40。连续</w:t>
      </w:r>
      <w:r>
        <w:t xml:space="preserve"> Dk </w:t>
      </w:r>
      <w:r>
        <w:rPr>
          <w:rFonts w:hint="eastAsia"/>
        </w:rPr>
        <w:t xml:space="preserve">用于量化等级内部差异，四级结果用于工程判定，两者共同构成模型输出。</w:t>
      </w:r>
    </w:p>
    <w:bookmarkEnd w:id="48"/>
    <w:bookmarkStart w:id="49" w:name="X993e4524fe215a069fb8e6bdc497ecd8c0a52ba"/>
    <w:p>
      <w:pPr>
        <w:pStyle w:val="4"/>
      </w:pPr>
      <w:r>
        <w:t xml:space="preserve">3.2 </w:t>
      </w:r>
      <w:r>
        <w:rPr>
          <w:rFonts w:hint="eastAsia"/>
        </w:rPr>
        <w:t xml:space="preserve">设施级基本完好的工程解释</w:t>
      </w:r>
    </w:p>
    <w:p>
      <w:pPr>
        <w:pStyle w:val="FirstParagraph"/>
      </w:pPr>
      <w:r>
        <w:rPr>
          <w:rFonts w:hint="eastAsia"/>
        </w:rPr>
        <w:t xml:space="preserve">基本完好表示设施整体</w:t>
      </w:r>
      <w:r>
        <w:t xml:space="preserve"> Dk </w:t>
      </w:r>
      <w:r>
        <w:rPr>
          <w:rFonts w:hint="eastAsia"/>
        </w:rPr>
        <w:t xml:space="preserve">未达到</w:t>
      </w:r>
      <w:r>
        <w:t xml:space="preserve"> </w:t>
      </w:r>
      <w:r>
        <w:rPr>
          <w:rFonts w:hint="eastAsia"/>
        </w:rPr>
        <w:t xml:space="preserve">0.04，不代表每一项设备都没有温升或局部维修费用。围护结构、受热距离、开口方向和遮挡可能使资产实际受热低于名义入射热通量；短时热脉冲也可能不足以使厚重机床、钢制设备或受保护控制单元达到有效损伤条件。对于资产价值基数较大的设施，少量局部损伤经价值加权后仍可能保持较低</w:t>
      </w:r>
      <w:r>
        <w:t xml:space="preserve"> Dk。</w:t>
      </w:r>
    </w:p>
    <w:p>
      <w:pPr>
        <w:pStyle w:val="BodyText"/>
      </w:pPr>
      <w:r>
        <w:rPr>
          <w:rFonts w:hint="eastAsia"/>
        </w:rPr>
        <w:t xml:space="preserve">这一特征在弗莱马斯特总装设施、格里森切削工具设施、哈比森-费希尔部装设施和大型机械制造等效设施中较为明显。四者合格工况的最大</w:t>
      </w:r>
      <w:r>
        <w:t xml:space="preserve"> Dk </w:t>
      </w:r>
      <w:r>
        <w:rPr>
          <w:rFonts w:hint="eastAsia"/>
        </w:rPr>
        <w:t xml:space="preserve">分别约为</w:t>
      </w:r>
      <w:r>
        <w:t xml:space="preserve"> 0.028742、0.001864、0.003845 </w:t>
      </w:r>
      <w:r>
        <w:rPr>
          <w:rFonts w:hint="eastAsia"/>
        </w:rPr>
        <w:t xml:space="preserve">和</w:t>
      </w:r>
      <w:r>
        <w:t xml:space="preserve"> </w:t>
      </w:r>
      <w:r>
        <w:rPr>
          <w:rFonts w:hint="eastAsia"/>
        </w:rPr>
        <w:t xml:space="preserve">0.037740，均低于轻微破坏阈值。该结果说明现有观测条件下损伤主要局限于少量局部资产或受到围护衰减，而不是说明这些设施在任意热辐射条件下均不会受损。</w:t>
      </w:r>
    </w:p>
    <w:p>
      <w:r>
        <w:pict>
          <v:rect style="width:0;height:1.5pt" o:hralign="center" o:hrstd="t" o:hr="t"/>
        </w:pict>
      </w:r>
    </w:p>
    <w:bookmarkEnd w:id="49"/>
    <w:bookmarkEnd w:id="50"/>
    <w:bookmarkStart w:id="57" w:name="Xd05dd1507fc6a65229a3f0ad4332a000d522428"/>
    <w:p>
      <w:pPr>
        <w:pStyle w:val="3"/>
      </w:pPr>
      <w:r>
        <w:t xml:space="preserve">4 </w:t>
      </w:r>
      <w:r>
        <w:rPr>
          <w:rFonts w:hint="eastAsia"/>
        </w:rPr>
        <w:t xml:space="preserve">参数特征工程</w:t>
      </w:r>
    </w:p>
    <w:bookmarkStart w:id="51" w:name="X7a1486f556fa0e0813f92168b3ab99389bb09ab"/>
    <w:p>
      <w:pPr>
        <w:pStyle w:val="4"/>
      </w:pPr>
      <w:r>
        <w:t xml:space="preserve">4.1 </w:t>
      </w:r>
      <w:r>
        <w:rPr>
          <w:rFonts w:hint="eastAsia"/>
        </w:rPr>
        <w:t xml:space="preserve">特征分类</w:t>
      </w:r>
    </w:p>
    <w:p>
      <w:pPr>
        <w:pStyle w:val="FirstParagraph"/>
      </w:pPr>
      <w:r>
        <w:rPr>
          <w:rFonts w:hint="eastAsia"/>
        </w:rPr>
        <w:t xml:space="preserve">模型输入按工程来源归并为热源工况特征与设施构型及目标特征两类。热源工况特征描述外部热辐射的作用条件，包括入射强度、作用时间、累积剂量和入射方向；设施构型及目标特征描述设施自身的几何尺度、围护与开口条件以及内部可燃物和敏感目标的分布情况。两者共同决定同一设施在不同热源工况下的损伤响应。</w:t>
      </w:r>
    </w:p>
    <w:p>
      <w:pPr>
        <w:pStyle w:val="BodyText"/>
      </w:pPr>
      <w:r>
        <w:rPr>
          <w:rFonts w:hint="eastAsia"/>
        </w:rPr>
        <w:t xml:space="preserve">本报告对每个设施（或每个等效目标）分别训练专属代理模型，模型的输入特征只包含实际参与该设施训练的列。所有设施共用的基础特征为</w:t>
      </w:r>
      <w:r>
        <w:t xml:space="preserve"> 11 </w:t>
      </w:r>
      <w:r>
        <w:rPr>
          <w:rFonts w:hint="eastAsia"/>
        </w:rPr>
        <w:t xml:space="preserve">项（见下表），涵盖热源工况与设施构型两类；个别设施根据其开口、门窗条件补充少量扩展特征（见</w:t>
      </w:r>
      <w:r>
        <w:t xml:space="preserve"> 4.3 </w:t>
      </w:r>
      <w:r>
        <w:rPr>
          <w:rFonts w:hint="eastAsia"/>
        </w:rPr>
        <w:t xml:space="preserve">节）。由于每个设施使用自身</w:t>
      </w:r>
      <w:r>
        <w:t xml:space="preserve"> FDS </w:t>
      </w:r>
      <w:r>
        <w:rPr>
          <w:rFonts w:hint="eastAsia"/>
        </w:rPr>
        <w:t xml:space="preserve">模型中的实际几何与目标参数，设施类别不再作为独立特征进入模型，而是通过"每设施一个模型"的结构体现设施间的差异。</w:t>
      </w:r>
    </w:p>
    <w:p>
      <w:pPr>
        <w:pStyle w:val="BodyText"/>
      </w:pPr>
      <w:r>
        <w:rPr>
          <w:rFonts w:hint="eastAsia"/>
          <w:b/>
          <w:bCs/>
        </w:rPr>
        <w:t xml:space="preserve">表</w:t>
      </w:r>
      <w:r>
        <w:rPr>
          <w:b/>
          <w:bCs/>
        </w:rPr>
        <w:t xml:space="preserve"> 5 </w:t>
      </w:r>
      <w:r>
        <w:rPr>
          <w:rFonts w:hint="eastAsia"/>
          <w:b/>
          <w:bCs/>
        </w:rPr>
        <w:t xml:space="preserve">模型输入特征与工程含义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特征类别</w:t>
            </w:r>
          </w:p>
        </w:tc>
        <w:tc>
          <w:tcPr/>
          <w:p>
            <w:pPr>
              <w:pStyle w:val="Compact"/>
            </w:pPr>
            <w:r>
              <w:rPr>
                <w:rFonts w:hint="eastAsia"/>
              </w:rPr>
              <w:t xml:space="preserve">输入特征</w:t>
            </w:r>
          </w:p>
        </w:tc>
        <w:tc>
          <w:tcPr/>
          <w:p>
            <w:pPr>
              <w:pStyle w:val="Compact"/>
            </w:pPr>
            <w:r>
              <w:rPr>
                <w:rFonts w:hint="eastAsia"/>
              </w:rPr>
              <w:t xml:space="preserve">工程含义</w:t>
            </w:r>
          </w:p>
        </w:tc>
      </w:tr>
      <w:tr>
        <w:tc>
          <w:tcPr/>
          <w:p>
            <w:pPr>
              <w:pStyle w:val="Compact"/>
            </w:pPr>
            <w:r>
              <w:rPr>
                <w:rFonts w:hint="eastAsia"/>
              </w:rPr>
              <w:t xml:space="preserve">热源工况特征</w:t>
            </w:r>
          </w:p>
        </w:tc>
        <w:tc>
          <w:tcPr/>
          <w:p>
            <w:pPr>
              <w:pStyle w:val="Compact"/>
            </w:pPr>
            <w:r>
              <w:rPr>
                <w:rFonts w:hint="eastAsia"/>
              </w:rPr>
              <w:t xml:space="preserve">热通量（对数）</w:t>
            </w:r>
          </w:p>
        </w:tc>
        <w:tc>
          <w:tcPr/>
          <w:p>
            <w:pPr>
              <w:pStyle w:val="Compact"/>
            </w:pPr>
            <w:r>
              <w:rPr>
                <w:rFonts w:hint="eastAsia"/>
              </w:rPr>
              <w:t xml:space="preserve">外部入射热辐射强度的对数形式，降低高低通量数值跨度</w:t>
            </w:r>
          </w:p>
        </w:tc>
      </w:tr>
      <w:tr>
        <w:tc>
          <w:tcPr/>
          <w:p>
            <w:pPr>
              <w:pStyle w:val="Compact"/>
            </w:pPr>
            <w:r>
              <w:rPr>
                <w:rFonts w:hint="eastAsia"/>
              </w:rPr>
              <w:t xml:space="preserve">热源工况特征</w:t>
            </w:r>
          </w:p>
        </w:tc>
        <w:tc>
          <w:tcPr/>
          <w:p>
            <w:pPr>
              <w:pStyle w:val="Compact"/>
            </w:pPr>
            <w:r>
              <w:rPr>
                <w:rFonts w:hint="eastAsia"/>
              </w:rPr>
              <w:t xml:space="preserve">辐射持续时间</w:t>
            </w:r>
          </w:p>
        </w:tc>
        <w:tc>
          <w:tcPr/>
          <w:p>
            <w:pPr>
              <w:pStyle w:val="Compact"/>
            </w:pPr>
            <w:r>
              <w:rPr>
                <w:rFonts w:hint="eastAsia"/>
              </w:rPr>
              <w:t xml:space="preserve">热辐射作用时间（秒），同时保留离散持续时间档位</w:t>
            </w:r>
          </w:p>
        </w:tc>
      </w:tr>
      <w:tr>
        <w:tc>
          <w:tcPr/>
          <w:p>
            <w:pPr>
              <w:pStyle w:val="Compact"/>
            </w:pPr>
            <w:r>
              <w:rPr>
                <w:rFonts w:hint="eastAsia"/>
              </w:rPr>
              <w:t xml:space="preserve">热源工况特征</w:t>
            </w:r>
          </w:p>
        </w:tc>
        <w:tc>
          <w:tcPr/>
          <w:p>
            <w:pPr>
              <w:pStyle w:val="Compact"/>
            </w:pPr>
            <w:r>
              <w:rPr>
                <w:rFonts w:hint="eastAsia"/>
              </w:rPr>
              <w:t xml:space="preserve">热剂量（对数）</w:t>
            </w:r>
          </w:p>
        </w:tc>
        <w:tc>
          <w:tcPr/>
          <w:p>
            <w:pPr>
              <w:pStyle w:val="Compact"/>
            </w:pPr>
            <w:r>
              <w:rPr>
                <w:rFonts w:hint="eastAsia"/>
              </w:rPr>
              <w:t xml:space="preserve">热通量与持续时间的乘积，表示累积能量输入</w:t>
            </w:r>
          </w:p>
        </w:tc>
      </w:tr>
      <w:tr>
        <w:tc>
          <w:tcPr/>
          <w:p>
            <w:pPr>
              <w:pStyle w:val="Compact"/>
            </w:pPr>
            <w:r>
              <w:rPr>
                <w:rFonts w:hint="eastAsia"/>
              </w:rPr>
              <w:t xml:space="preserve">热源工况特征</w:t>
            </w:r>
          </w:p>
        </w:tc>
        <w:tc>
          <w:tcPr/>
          <w:p>
            <w:pPr>
              <w:pStyle w:val="Compact"/>
            </w:pPr>
            <w:r>
              <w:rPr>
                <w:rFonts w:hint="eastAsia"/>
              </w:rPr>
              <w:t xml:space="preserve">方位角正弦项、余弦项</w:t>
            </w:r>
          </w:p>
        </w:tc>
        <w:tc>
          <w:tcPr/>
          <w:p>
            <w:pPr>
              <w:pStyle w:val="Compact"/>
            </w:pPr>
            <w:r>
              <w:rPr>
                <w:rFonts w:hint="eastAsia"/>
              </w:rPr>
              <w:t xml:space="preserve">水平入射方向的正弦、余弦编码，保持</w:t>
            </w:r>
            <w:r>
              <w:t xml:space="preserve"> </w:t>
            </w:r>
            <w:r>
              <w:rPr>
                <w:rFonts w:hint="eastAsia"/>
              </w:rPr>
              <w:t xml:space="preserve">0°与</w:t>
            </w:r>
            <w:r>
              <w:t xml:space="preserve"> </w:t>
            </w:r>
            <w:r>
              <w:rPr>
                <w:rFonts w:hint="eastAsia"/>
              </w:rPr>
              <w:t xml:space="preserve">360°连续</w:t>
            </w:r>
          </w:p>
        </w:tc>
      </w:tr>
      <w:tr>
        <w:tc>
          <w:tcPr/>
          <w:p>
            <w:pPr>
              <w:pStyle w:val="Compact"/>
            </w:pPr>
            <w:r>
              <w:rPr>
                <w:rFonts w:hint="eastAsia"/>
              </w:rPr>
              <w:t xml:space="preserve">热源工况特征</w:t>
            </w:r>
          </w:p>
        </w:tc>
        <w:tc>
          <w:tcPr/>
          <w:p>
            <w:pPr>
              <w:pStyle w:val="Compact"/>
            </w:pPr>
            <w:r>
              <w:rPr>
                <w:rFonts w:hint="eastAsia"/>
              </w:rPr>
              <w:t xml:space="preserve">俯仰角</w:t>
            </w:r>
          </w:p>
        </w:tc>
        <w:tc>
          <w:tcPr/>
          <w:p>
            <w:pPr>
              <w:pStyle w:val="Compact"/>
            </w:pPr>
            <w:r>
              <w:rPr>
                <w:rFonts w:hint="eastAsia"/>
              </w:rPr>
              <w:t xml:space="preserve">垂向入射角度，并采用正弦变换表示垂向分量</w:t>
            </w:r>
          </w:p>
        </w:tc>
      </w:tr>
      <w:tr>
        <w:tc>
          <w:tcPr/>
          <w:p>
            <w:pPr>
              <w:pStyle w:val="Compact"/>
            </w:pPr>
            <w:r>
              <w:rPr>
                <w:rFonts w:hint="eastAsia"/>
              </w:rPr>
              <w:t xml:space="preserve">设施构型及目标特征</w:t>
            </w:r>
          </w:p>
        </w:tc>
        <w:tc>
          <w:tcPr/>
          <w:p>
            <w:pPr>
              <w:pStyle w:val="Compact"/>
            </w:pPr>
            <w:r>
              <w:rPr>
                <w:rFonts w:hint="eastAsia"/>
              </w:rPr>
              <w:t xml:space="preserve">迎火侧墙面面积（对数）</w:t>
            </w:r>
          </w:p>
        </w:tc>
        <w:tc>
          <w:tcPr/>
          <w:p>
            <w:pPr>
              <w:pStyle w:val="Compact"/>
            </w:pPr>
            <w:r>
              <w:rPr>
                <w:rFonts w:hint="eastAsia"/>
              </w:rPr>
              <w:t xml:space="preserve">当前入射方向对应的受热外墙规模</w:t>
            </w:r>
          </w:p>
        </w:tc>
      </w:tr>
      <w:tr>
        <w:tc>
          <w:tcPr/>
          <w:p>
            <w:pPr>
              <w:pStyle w:val="Compact"/>
            </w:pPr>
            <w:r>
              <w:rPr>
                <w:rFonts w:hint="eastAsia"/>
              </w:rPr>
              <w:t xml:space="preserve">设施构型及目标特征</w:t>
            </w:r>
          </w:p>
        </w:tc>
        <w:tc>
          <w:tcPr/>
          <w:p>
            <w:pPr>
              <w:pStyle w:val="Compact"/>
            </w:pPr>
            <w:r>
              <w:rPr>
                <w:rFonts w:hint="eastAsia"/>
              </w:rPr>
              <w:t xml:space="preserve">迎火侧门窗数量</w:t>
            </w:r>
          </w:p>
        </w:tc>
        <w:tc>
          <w:tcPr/>
          <w:p>
            <w:pPr>
              <w:pStyle w:val="Compact"/>
            </w:pPr>
            <w:r>
              <w:rPr>
                <w:rFonts w:hint="eastAsia"/>
              </w:rPr>
              <w:t xml:space="preserve">热辐射可能进入设施内部的门窗条件</w:t>
            </w:r>
          </w:p>
        </w:tc>
      </w:tr>
      <w:tr>
        <w:tc>
          <w:tcPr/>
          <w:p>
            <w:pPr>
              <w:pStyle w:val="Compact"/>
            </w:pPr>
            <w:r>
              <w:rPr>
                <w:rFonts w:hint="eastAsia"/>
              </w:rPr>
              <w:t xml:space="preserve">设施构型及目标特征</w:t>
            </w:r>
          </w:p>
        </w:tc>
        <w:tc>
          <w:tcPr/>
          <w:p>
            <w:pPr>
              <w:pStyle w:val="Compact"/>
            </w:pPr>
            <w:r>
              <w:rPr>
                <w:rFonts w:hint="eastAsia"/>
              </w:rPr>
              <w:t xml:space="preserve">迎火侧门窗面积比</w:t>
            </w:r>
          </w:p>
        </w:tc>
        <w:tc>
          <w:tcPr/>
          <w:p>
            <w:pPr>
              <w:pStyle w:val="Compact"/>
            </w:pPr>
            <w:r>
              <w:rPr>
                <w:rFonts w:hint="eastAsia"/>
              </w:rPr>
              <w:t xml:space="preserve">门窗相对受热墙面的开放程度</w:t>
            </w:r>
          </w:p>
        </w:tc>
      </w:tr>
      <w:tr>
        <w:tc>
          <w:tcPr/>
          <w:p>
            <w:pPr>
              <w:pStyle w:val="Compact"/>
            </w:pPr>
            <w:r>
              <w:rPr>
                <w:rFonts w:hint="eastAsia"/>
              </w:rPr>
              <w:t xml:space="preserve">设施构型及目标特征</w:t>
            </w:r>
          </w:p>
        </w:tc>
        <w:tc>
          <w:tcPr/>
          <w:p>
            <w:pPr>
              <w:pStyle w:val="Compact"/>
            </w:pPr>
            <w:r>
              <w:rPr>
                <w:rFonts w:hint="eastAsia"/>
              </w:rPr>
              <w:t xml:space="preserve">迎火侧总开口比例</w:t>
            </w:r>
          </w:p>
        </w:tc>
        <w:tc>
          <w:tcPr/>
          <w:p>
            <w:pPr>
              <w:pStyle w:val="Compact"/>
            </w:pPr>
            <w:r>
              <w:rPr>
                <w:rFonts w:hint="eastAsia"/>
              </w:rPr>
              <w:t xml:space="preserve">门窗与通风口综合的迎火侧开放程度</w:t>
            </w:r>
          </w:p>
        </w:tc>
      </w:tr>
      <w:tr>
        <w:tc>
          <w:tcPr/>
          <w:p>
            <w:pPr>
              <w:pStyle w:val="Compact"/>
            </w:pPr>
            <w:r>
              <w:rPr>
                <w:rFonts w:hint="eastAsia"/>
              </w:rPr>
              <w:t xml:space="preserve">设施构型及目标特征</w:t>
            </w:r>
          </w:p>
        </w:tc>
        <w:tc>
          <w:tcPr/>
          <w:p>
            <w:pPr>
              <w:pStyle w:val="Compact"/>
            </w:pPr>
            <w:r>
              <w:rPr>
                <w:rFonts w:hint="eastAsia"/>
              </w:rPr>
              <w:t xml:space="preserve">可燃物/敏感目标密度</w:t>
            </w:r>
          </w:p>
        </w:tc>
        <w:tc>
          <w:tcPr/>
          <w:p>
            <w:pPr>
              <w:pStyle w:val="Compact"/>
            </w:pPr>
            <w:r>
              <w:rPr>
                <w:rFonts w:hint="eastAsia"/>
              </w:rPr>
              <w:t xml:space="preserve">单位平面面积内可能形成损伤的目标数量</w:t>
            </w:r>
          </w:p>
        </w:tc>
      </w:tr>
      <w:tr>
        <w:tc>
          <w:tcPr/>
          <w:p>
            <w:pPr>
              <w:pStyle w:val="Compact"/>
            </w:pPr>
            <w:r>
              <w:rPr>
                <w:rFonts w:hint="eastAsia"/>
              </w:rPr>
              <w:t xml:space="preserve">设施构型及目标特征</w:t>
            </w:r>
          </w:p>
        </w:tc>
        <w:tc>
          <w:tcPr/>
          <w:p>
            <w:pPr>
              <w:pStyle w:val="Compact"/>
            </w:pPr>
            <w:r>
              <w:rPr>
                <w:rFonts w:hint="eastAsia"/>
              </w:rPr>
              <w:t xml:space="preserve">迎火侧可燃物/敏感目标比例</w:t>
            </w:r>
          </w:p>
        </w:tc>
        <w:tc>
          <w:tcPr/>
          <w:p>
            <w:pPr>
              <w:pStyle w:val="Compact"/>
            </w:pPr>
            <w:r>
              <w:rPr>
                <w:rFonts w:hint="eastAsia"/>
              </w:rPr>
              <w:t xml:space="preserve">直接处于受热方向的目标占比</w:t>
            </w:r>
          </w:p>
        </w:tc>
      </w:tr>
    </w:tbl>
    <w:p>
      <w:pPr>
        <w:pStyle w:val="BodyText"/>
      </w:pPr>
      <w:r>
        <w:rPr>
          <w:rFonts w:hint="eastAsia"/>
        </w:rPr>
        <w:t xml:space="preserve">表中前</w:t>
      </w:r>
      <w:r>
        <w:t xml:space="preserve"> 6 </w:t>
      </w:r>
      <w:r>
        <w:rPr>
          <w:rFonts w:hint="eastAsia"/>
        </w:rPr>
        <w:t xml:space="preserve">项为所有设施共用的核心输入；迎火侧门窗数量与门窗面积比两项仅在该类参数随工况或方向存在变化的设施中启用，其余设施不纳入模型，避免把恒定参数误作驱动因素。各设施实际使用的输入特征列表在训练时固化于模型文件中，推理时按同一列表构造特征向量，保证训练与使用口径一致。</w:t>
      </w:r>
    </w:p>
    <w:p>
      <w:pPr>
        <w:pStyle w:val="BodyText"/>
      </w:pPr>
      <w:r>
        <w:rPr>
          <w:rFonts w:hint="eastAsia"/>
        </w:rPr>
        <w:t xml:space="preserve">从参数构成看，热源工况特征刻画了能量输入的强度、时程与方向性，是设施级</w:t>
      </w:r>
      <w:r>
        <w:t xml:space="preserve"> Dk </w:t>
      </w:r>
      <w:r>
        <w:rPr>
          <w:rFonts w:hint="eastAsia"/>
        </w:rPr>
        <w:t xml:space="preserve">随工况变化的主要驱动；设施构型及目标特征则刻画了设施自身的受热响应条件，包括空间体量对热量的稀释作用、围护与开口对热量进入路径的调节，以及内部目标数量和迎火暴露程度对损伤形成的放大作用。两类特征在模型中共同参与树节点划分，缺一不可：仅凭热源强度无法解释同热通量下不同设施、不同方向的预测差异，仅凭设施构型也无法刻画同一设施在不同工况下的损伤变化。两者结合，使模型能够在统一的特征空间内表达"外部能量输入—围护衰减—目标暴露—价值加权损伤"的完整响应链。</w:t>
      </w:r>
    </w:p>
    <w:bookmarkEnd w:id="51"/>
    <w:bookmarkStart w:id="52" w:name="Xfc3ff2daafc3c69a9ee5c7576ccb048a52d9b3a"/>
    <w:p>
      <w:pPr>
        <w:pStyle w:val="4"/>
      </w:pPr>
      <w:r>
        <w:t xml:space="preserve">4.2 </w:t>
      </w:r>
      <w:r>
        <w:rPr>
          <w:rFonts w:hint="eastAsia"/>
        </w:rPr>
        <w:t xml:space="preserve">特征处理</w:t>
      </w:r>
    </w:p>
    <w:p>
      <w:pPr>
        <w:pStyle w:val="FirstParagraph"/>
      </w:pPr>
      <w:r>
        <w:rPr>
          <w:rFonts w:hint="eastAsia"/>
        </w:rPr>
        <w:t xml:space="preserve">热通量采用以</w:t>
      </w:r>
      <w:r>
        <w:t xml:space="preserve"> 10 </w:t>
      </w:r>
      <w:r>
        <w:rPr>
          <w:rFonts w:hint="eastAsia"/>
        </w:rPr>
        <w:t xml:space="preserve">为底的对数变换，热剂量按热通量与持续时间的乘积构造，以减小高低热通量之间的数值跨度。方位角采用正弦和余弦联合编码，使</w:t>
      </w:r>
      <w:r>
        <w:t xml:space="preserve"> </w:t>
      </w:r>
      <w:r>
        <w:rPr>
          <w:rFonts w:hint="eastAsia"/>
        </w:rPr>
        <w:t xml:space="preserve">0°和</w:t>
      </w:r>
      <w:r>
        <w:t xml:space="preserve"> </w:t>
      </w:r>
      <w:r>
        <w:rPr>
          <w:rFonts w:hint="eastAsia"/>
        </w:rPr>
        <w:t xml:space="preserve">360°在特征空间中保持连续。迎火侧墙面面积采用对数表达，使不同规模设施能够在同一数值范围内参与树节点划分。</w:t>
      </w:r>
    </w:p>
    <w:p>
      <w:pPr>
        <w:pStyle w:val="BodyText"/>
      </w:pPr>
      <w:r>
        <w:rPr>
          <w:rFonts w:hint="eastAsia"/>
        </w:rPr>
        <w:t xml:space="preserve">迎火侧特征根据方位角动态选取。当热源方向改变时，模型同步更新受热墙面面积、门窗与总开口比例以及迎火侧敏感目标比例。因此，同一热通量下不同方向的预测差异具有明确的工程参数来源：方位角决定哪一面墙成为迎火侧，俯仰角决定辐射作用于墙面、屋面还是内部目标的分布，持续时间则通过热剂量累积放大或缩小损伤程度。</w:t>
      </w:r>
    </w:p>
    <w:p>
      <w:pPr>
        <w:pStyle w:val="BodyText"/>
      </w:pPr>
      <w:r>
        <w:rPr>
          <w:rFonts w:hint="eastAsia"/>
        </w:rPr>
        <w:t xml:space="preserve">为兼顾模型对连续工况的插值能力和对离散工况的刻画能力，热源参数同时保留连续数值与离散标识两种表达：连续数值用于树节点按阈值精细分裂，离散标识（如特定俯仰角、特定持续时间档位）则帮助模型记忆工况网格中实际存在的作用条件。设施侧参数全部以连续量形式进入模型，其中迎火侧开口、门窗和敏感目标比例在方向上动态投影，使建筑朝向与热源方向的关系被显式编码，避免模型将不同方向的差异简单归因于热通量大小。</w:t>
      </w:r>
    </w:p>
    <w:bookmarkEnd w:id="52"/>
    <w:bookmarkStart w:id="56" w:name="Xb1cc9b82cc7c1af2bd171b4966e4054002b5b83"/>
    <w:p>
      <w:pPr>
        <w:pStyle w:val="4"/>
      </w:pPr>
      <w:r>
        <w:t xml:space="preserve">4.3 </w:t>
      </w:r>
      <w:r>
        <w:rPr>
          <w:rFonts w:hint="eastAsia"/>
        </w:rPr>
        <w:t xml:space="preserve">机械制造设施专项因素重要性</w:t>
      </w:r>
    </w:p>
    <w:p>
      <w:pPr>
        <w:pStyle w:val="FirstParagraph"/>
      </w:pPr>
      <w:r>
        <w:rPr>
          <w:rFonts w:hint="eastAsia"/>
        </w:rPr>
        <w:t xml:space="preserve">为分析逐设施模型在机械制造设施上的实际使用特征，在五折交叉验证框架下进行重复置换重要性分析：对某个输入特征，在各折测试集上随机打乱该特征取值后重新预测，记录等级准确率的下降量。下降量越大，说明模型在该类设施上对该特征越敏感。该分析只针对所有机械制造设施共用的核心输入特征，用于解释模型预测和等级分布，不将重要性数值解释为单一物理因果比例。</w:t>
      </w:r>
    </w:p>
    <w:p>
      <w:pPr>
        <w:pStyle w:val="BodyText"/>
      </w:pPr>
      <w:r>
        <w:drawing>
          <wp:inline>
            <wp:extent cx="5270500" cy="3220861"/>
            <wp:effectExtent b="0" l="0" r="0" t="0"/>
            <wp:docPr descr="图 1 机械制造设施专项因素置换重要性" title="" id="54" name="Picture"/>
            <a:graphic>
              <a:graphicData uri="http://schemas.openxmlformats.org/drawingml/2006/picture">
                <pic:pic>
                  <pic:nvPicPr>
                    <pic:cNvPr descr="../output/experimental_figures/machinery_permutation_importance.png" id="55" name="Picture"/>
                    <pic:cNvPicPr>
                      <a:picLocks noChangeArrowheads="1" noChangeAspect="1"/>
                    </pic:cNvPicPr>
                  </pic:nvPicPr>
                  <pic:blipFill>
                    <a:blip r:embed="rId53"/>
                    <a:stretch>
                      <a:fillRect/>
                    </a:stretch>
                  </pic:blipFill>
                  <pic:spPr bwMode="auto">
                    <a:xfrm>
                      <a:off x="0" y="0"/>
                      <a:ext cx="5270500" cy="322086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 </w:t>
      </w:r>
      <w:r>
        <w:rPr>
          <w:rFonts w:hint="eastAsia"/>
          <w:b/>
          <w:bCs/>
        </w:rPr>
        <w:t xml:space="preserve">机械制造设施专项因素置换重要性</w:t>
      </w:r>
    </w:p>
    <w:p>
      <w:pPr>
        <w:pStyle w:val="BodyText"/>
      </w:pPr>
      <w:r>
        <w:rPr>
          <w:rFonts w:hint="eastAsia"/>
          <w:b/>
          <w:bCs/>
        </w:rPr>
        <w:t xml:space="preserve">表</w:t>
      </w:r>
      <w:r>
        <w:rPr>
          <w:b/>
          <w:bCs/>
        </w:rPr>
        <w:t xml:space="preserve"> 6 </w:t>
      </w:r>
      <w:r>
        <w:rPr>
          <w:rFonts w:hint="eastAsia"/>
          <w:b/>
          <w:bCs/>
        </w:rPr>
        <w:t xml:space="preserve">机械制造设施核心输入特征置换重要性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排序</w:t>
            </w:r>
          </w:p>
        </w:tc>
        <w:tc>
          <w:tcPr/>
          <w:p>
            <w:pPr>
              <w:pStyle w:val="Compact"/>
            </w:pPr>
            <w:r>
              <w:rPr>
                <w:rFonts w:hint="eastAsia"/>
              </w:rPr>
              <w:t xml:space="preserve">输入特征</w:t>
            </w:r>
          </w:p>
        </w:tc>
        <w:tc>
          <w:tcPr/>
          <w:p>
            <w:pPr>
              <w:pStyle w:val="Compact"/>
              <w:jc w:val="right"/>
            </w:pPr>
            <w:r>
              <w:rPr>
                <w:rFonts w:hint="eastAsia"/>
              </w:rPr>
              <w:t xml:space="preserve">置换后等级准确率下降</w:t>
            </w:r>
          </w:p>
        </w:tc>
      </w:tr>
      <w:tr>
        <w:tc>
          <w:tcPr/>
          <w:p>
            <w:pPr>
              <w:pStyle w:val="Compact"/>
              <w:jc w:val="right"/>
            </w:pPr>
            <w:r>
              <w:t xml:space="preserve">1</w:t>
            </w:r>
          </w:p>
        </w:tc>
        <w:tc>
          <w:tcPr/>
          <w:p>
            <w:pPr>
              <w:pStyle w:val="Compact"/>
            </w:pPr>
            <w:r>
              <w:rPr>
                <w:rFonts w:hint="eastAsia"/>
              </w:rPr>
              <w:t xml:space="preserve">热通量（对数）</w:t>
            </w:r>
          </w:p>
        </w:tc>
        <w:tc>
          <w:tcPr/>
          <w:p>
            <w:pPr>
              <w:pStyle w:val="Compact"/>
              <w:jc w:val="right"/>
            </w:pPr>
            <w:r>
              <w:t xml:space="preserve">0.0158</w:t>
            </w:r>
          </w:p>
        </w:tc>
      </w:tr>
      <w:tr>
        <w:tc>
          <w:tcPr/>
          <w:p>
            <w:pPr>
              <w:pStyle w:val="Compact"/>
              <w:jc w:val="right"/>
            </w:pPr>
            <w:r>
              <w:t xml:space="preserve">2</w:t>
            </w:r>
          </w:p>
        </w:tc>
        <w:tc>
          <w:tcPr/>
          <w:p>
            <w:pPr>
              <w:pStyle w:val="Compact"/>
            </w:pPr>
            <w:r>
              <w:rPr>
                <w:rFonts w:hint="eastAsia"/>
              </w:rPr>
              <w:t xml:space="preserve">热剂量（对数）</w:t>
            </w:r>
          </w:p>
        </w:tc>
        <w:tc>
          <w:tcPr/>
          <w:p>
            <w:pPr>
              <w:pStyle w:val="Compact"/>
              <w:jc w:val="right"/>
            </w:pPr>
            <w:r>
              <w:t xml:space="preserve">0.0116</w:t>
            </w:r>
          </w:p>
        </w:tc>
      </w:tr>
      <w:tr>
        <w:tc>
          <w:tcPr/>
          <w:p>
            <w:pPr>
              <w:pStyle w:val="Compact"/>
              <w:jc w:val="right"/>
            </w:pPr>
            <w:r>
              <w:t xml:space="preserve">3</w:t>
            </w:r>
          </w:p>
        </w:tc>
        <w:tc>
          <w:tcPr/>
          <w:p>
            <w:pPr>
              <w:pStyle w:val="Compact"/>
            </w:pPr>
            <w:r>
              <w:rPr>
                <w:rFonts w:hint="eastAsia"/>
              </w:rPr>
              <w:t xml:space="preserve">俯仰角</w:t>
            </w:r>
          </w:p>
        </w:tc>
        <w:tc>
          <w:tcPr/>
          <w:p>
            <w:pPr>
              <w:pStyle w:val="Compact"/>
              <w:jc w:val="right"/>
            </w:pPr>
            <w:r>
              <w:t xml:space="preserve">0.0111</w:t>
            </w:r>
          </w:p>
        </w:tc>
      </w:tr>
      <w:tr>
        <w:tc>
          <w:tcPr/>
          <w:p>
            <w:pPr>
              <w:pStyle w:val="Compact"/>
              <w:jc w:val="right"/>
            </w:pPr>
            <w:r>
              <w:t xml:space="preserve">4</w:t>
            </w:r>
          </w:p>
        </w:tc>
        <w:tc>
          <w:tcPr/>
          <w:p>
            <w:pPr>
              <w:pStyle w:val="Compact"/>
            </w:pPr>
            <w:r>
              <w:rPr>
                <w:rFonts w:hint="eastAsia"/>
              </w:rPr>
              <w:t xml:space="preserve">辐射持续时间</w:t>
            </w:r>
          </w:p>
        </w:tc>
        <w:tc>
          <w:tcPr/>
          <w:p>
            <w:pPr>
              <w:pStyle w:val="Compact"/>
              <w:jc w:val="right"/>
            </w:pPr>
            <w:r>
              <w:t xml:space="preserve">0.0102</w:t>
            </w:r>
          </w:p>
        </w:tc>
      </w:tr>
      <w:tr>
        <w:tc>
          <w:tcPr/>
          <w:p>
            <w:pPr>
              <w:pStyle w:val="Compact"/>
              <w:jc w:val="right"/>
            </w:pPr>
            <w:r>
              <w:t xml:space="preserve">5</w:t>
            </w:r>
          </w:p>
        </w:tc>
        <w:tc>
          <w:tcPr/>
          <w:p>
            <w:pPr>
              <w:pStyle w:val="Compact"/>
            </w:pPr>
            <w:r>
              <w:rPr>
                <w:rFonts w:hint="eastAsia"/>
              </w:rPr>
              <w:t xml:space="preserve">迎火侧可燃物/敏感目标比例</w:t>
            </w:r>
          </w:p>
        </w:tc>
        <w:tc>
          <w:tcPr/>
          <w:p>
            <w:pPr>
              <w:pStyle w:val="Compact"/>
              <w:jc w:val="right"/>
            </w:pPr>
            <w:r>
              <w:t xml:space="preserve">0.0065</w:t>
            </w:r>
          </w:p>
        </w:tc>
      </w:tr>
      <w:tr>
        <w:tc>
          <w:tcPr/>
          <w:p>
            <w:pPr>
              <w:pStyle w:val="Compact"/>
              <w:jc w:val="right"/>
            </w:pPr>
            <w:r>
              <w:t xml:space="preserve">6</w:t>
            </w:r>
          </w:p>
        </w:tc>
        <w:tc>
          <w:tcPr/>
          <w:p>
            <w:pPr>
              <w:pStyle w:val="Compact"/>
            </w:pPr>
            <w:r>
              <w:rPr>
                <w:rFonts w:hint="eastAsia"/>
              </w:rPr>
              <w:t xml:space="preserve">方位角正弦项</w:t>
            </w:r>
          </w:p>
        </w:tc>
        <w:tc>
          <w:tcPr/>
          <w:p>
            <w:pPr>
              <w:pStyle w:val="Compact"/>
              <w:jc w:val="right"/>
            </w:pPr>
            <w:r>
              <w:t xml:space="preserve">0.0062</w:t>
            </w:r>
          </w:p>
        </w:tc>
      </w:tr>
      <w:tr>
        <w:tc>
          <w:tcPr/>
          <w:p>
            <w:pPr>
              <w:pStyle w:val="Compact"/>
              <w:jc w:val="right"/>
            </w:pPr>
            <w:r>
              <w:t xml:space="preserve">7</w:t>
            </w:r>
          </w:p>
        </w:tc>
        <w:tc>
          <w:tcPr/>
          <w:p>
            <w:pPr>
              <w:pStyle w:val="Compact"/>
            </w:pPr>
            <w:r>
              <w:rPr>
                <w:rFonts w:hint="eastAsia"/>
              </w:rPr>
              <w:t xml:space="preserve">迎火侧总开口比例</w:t>
            </w:r>
          </w:p>
        </w:tc>
        <w:tc>
          <w:tcPr/>
          <w:p>
            <w:pPr>
              <w:pStyle w:val="Compact"/>
              <w:jc w:val="right"/>
            </w:pPr>
            <w:r>
              <w:t xml:space="preserve">0.0060</w:t>
            </w:r>
          </w:p>
        </w:tc>
      </w:tr>
      <w:tr>
        <w:tc>
          <w:tcPr/>
          <w:p>
            <w:pPr>
              <w:pStyle w:val="Compact"/>
              <w:jc w:val="right"/>
            </w:pPr>
            <w:r>
              <w:t xml:space="preserve">8</w:t>
            </w:r>
          </w:p>
        </w:tc>
        <w:tc>
          <w:tcPr/>
          <w:p>
            <w:pPr>
              <w:pStyle w:val="Compact"/>
            </w:pPr>
            <w:r>
              <w:rPr>
                <w:rFonts w:hint="eastAsia"/>
              </w:rPr>
              <w:t xml:space="preserve">迎火侧墙面面积（对数）</w:t>
            </w:r>
          </w:p>
        </w:tc>
        <w:tc>
          <w:tcPr/>
          <w:p>
            <w:pPr>
              <w:pStyle w:val="Compact"/>
              <w:jc w:val="right"/>
            </w:pPr>
            <w:r>
              <w:t xml:space="preserve">0.0057</w:t>
            </w:r>
          </w:p>
        </w:tc>
      </w:tr>
      <w:tr>
        <w:tc>
          <w:tcPr/>
          <w:p>
            <w:pPr>
              <w:pStyle w:val="Compact"/>
              <w:jc w:val="right"/>
            </w:pPr>
            <w:r>
              <w:t xml:space="preserve">9</w:t>
            </w:r>
          </w:p>
        </w:tc>
        <w:tc>
          <w:tcPr/>
          <w:p>
            <w:pPr>
              <w:pStyle w:val="Compact"/>
            </w:pPr>
            <w:r>
              <w:rPr>
                <w:rFonts w:hint="eastAsia"/>
              </w:rPr>
              <w:t xml:space="preserve">方位角余弦项</w:t>
            </w:r>
          </w:p>
        </w:tc>
        <w:tc>
          <w:tcPr/>
          <w:p>
            <w:pPr>
              <w:pStyle w:val="Compact"/>
              <w:jc w:val="right"/>
            </w:pPr>
            <w:r>
              <w:t xml:space="preserve">0.0045</w:t>
            </w:r>
          </w:p>
        </w:tc>
      </w:tr>
    </w:tbl>
    <w:p>
      <w:pPr>
        <w:pStyle w:val="BodyText"/>
      </w:pPr>
      <w:r>
        <w:rPr>
          <w:rFonts w:hint="eastAsia"/>
        </w:rPr>
        <w:t xml:space="preserve">置换结果显示，热通量、热剂量与俯仰角是机械制造设施等级判断最主要的驱动因素：热通量直接控制损伤水平，热剂量体现持续时间累积，俯仰角则决定辐射作用于墙面、屋面还是生产设备。方位角通过迎火侧墙面与开口比例改变方向响应，可燃物/敏感目标比例则反映高价值设备暴露程度。这些结果表明，机械制造等级判断不能仅按热通量排序，还需要结合入射角度、开口路径和迎火侧设备比例进行解释。除上述共用特征外，个别设施（如小型机械制造等效设施）还补充了开口热剂量、辐射热剂量等扩展特征，以刻画其特有的开口受热路径。</w:t>
      </w:r>
    </w:p>
    <w:p>
      <w:r>
        <w:pict>
          <v:rect style="width:0;height:1.5pt" o:hralign="center" o:hrstd="t" o:hr="t"/>
        </w:pict>
      </w:r>
    </w:p>
    <w:bookmarkEnd w:id="56"/>
    <w:bookmarkEnd w:id="57"/>
    <w:bookmarkStart w:id="63" w:name="X0f6b8e72e487a0a071ac0eb8eaf70e4e783d659"/>
    <w:p>
      <w:pPr>
        <w:pStyle w:val="3"/>
      </w:pPr>
      <w:r>
        <w:t xml:space="preserve">5 </w:t>
      </w:r>
      <w:r>
        <w:rPr>
          <w:rFonts w:hint="eastAsia"/>
        </w:rPr>
        <w:t xml:space="preserve">代理模型架构</w:t>
      </w:r>
    </w:p>
    <w:bookmarkStart w:id="58" w:name="X3a0a37bdbb9c015b465d1e949e025e6f7b15410"/>
    <w:p>
      <w:pPr>
        <w:pStyle w:val="4"/>
      </w:pPr>
      <w:r>
        <w:t xml:space="preserve">5.1 ExtraTrees </w:t>
      </w:r>
      <w:r>
        <w:rPr>
          <w:rFonts w:hint="eastAsia"/>
        </w:rPr>
        <w:t xml:space="preserve">建模原理</w:t>
      </w:r>
    </w:p>
    <w:p>
      <w:pPr>
        <w:pStyle w:val="FirstParagraph"/>
      </w:pPr>
      <w:r>
        <w:t xml:space="preserve">ExtraTrees </w:t>
      </w:r>
      <w:r>
        <w:rPr>
          <w:rFonts w:hint="eastAsia"/>
        </w:rPr>
        <w:t xml:space="preserve">由多棵极端随机决策树组成。每棵树在节点分裂时从候选特征和随机切分阈值中选择较优分裂，从而形成结构不同的树。多树集成可以降低单棵树对局部样本的依赖，并表达热通量、方向、建筑和敏感目标之间的非线性交互。</w:t>
      </w:r>
    </w:p>
    <w:p>
      <w:pPr>
        <w:pStyle w:val="BodyText"/>
      </w:pPr>
      <w:r>
        <w:rPr>
          <w:rFonts w:hint="eastAsia"/>
        </w:rPr>
        <w:t xml:space="preserve">本模型设置两个并行任务。回归森林学习连续</w:t>
      </w:r>
      <w:r>
        <w:t xml:space="preserve"> </w:t>
      </w:r>
      <w:r>
        <w:rPr>
          <w:rFonts w:hint="eastAsia"/>
        </w:rPr>
        <w:t xml:space="preserve">Dk，分类森林学习四级损伤。两个任务使用同一组输入，但分别针对连续量级和工程等级优化。</w:t>
      </w:r>
    </w:p>
    <w:bookmarkEnd w:id="58"/>
    <w:bookmarkStart w:id="59" w:name="Xd73f472d35ca3756156413b046030c4113ee89b"/>
    <w:p>
      <w:pPr>
        <w:pStyle w:val="4"/>
      </w:pPr>
      <w:r>
        <w:t xml:space="preserve">5.2 </w:t>
      </w:r>
      <w:r>
        <w:rPr>
          <w:rFonts w:hint="eastAsia"/>
        </w:rPr>
        <w:t xml:space="preserve">连续</w:t>
      </w:r>
      <w:r>
        <w:t xml:space="preserve"> Dk </w:t>
      </w:r>
      <w:r>
        <w:rPr>
          <w:rFonts w:hint="eastAsia"/>
        </w:rPr>
        <w:t xml:space="preserve">回归</w:t>
      </w:r>
    </w:p>
    <w:p>
      <w:pPr>
        <w:pStyle w:val="FirstParagraph"/>
      </w:pPr>
      <w:r>
        <w:rPr>
          <w:rFonts w:hint="eastAsia"/>
        </w:rPr>
        <w:t xml:space="preserve">设输入特征为：</w:t>
      </w:r>
    </w:p>
    <w:p>
      <w:pPr>
        <w:pStyle w:val="BodyText"/>
      </w:pPr>
      <ns7:oMathPara>
        <ns7:oMathParaPr>
          <ns7:jc ns7:val="center"/>
        </ns7:oMathParaPr>
        <ns7:oMath>
          <ns7:r>
            <ns7:rPr>
              <ns7:sty ns7:val="bi"/>
            </ns7:rPr>
            <ns7:t>x</ns7:t>
          </ns7:r>
          <ns7:r>
            <ns7:rPr>
              <ns7:sty ns7:val="p"/>
            </ns7:rPr>
            <ns7:t>=</ns7:t>
          </ns7:r>
          <ns7:r>
            <ns7:rPr>
              <ns7:sty ns7:val="p"/>
            </ns7:rPr>
            <ns7:t>[</ns7:t>
          </ns7:r>
          <ns7:sSub>
            <ns7:e>
              <ns7:r>
                <ns7:rPr>
                  <ns7:sty ns7:val="bi"/>
                </ns7:rPr>
                <ns7:t>x</ns7:t>
              </ns7:r>
            </ns7:e>
            <ns7:sub>
              <ns7:r>
                <ns7:t>H</ns7:t>
              </ns7:r>
            </ns7:sub>
          </ns7:sSub>
          <ns7:r>
            <ns7:rPr>
              <ns7:sty ns7:val="p"/>
            </ns7:rPr>
            <ns7:t>,</ns7:t>
          </ns7:r>
          <ns7:sSub>
            <ns7:e>
              <ns7:r>
                <ns7:rPr>
                  <ns7:sty ns7:val="bi"/>
                </ns7:rPr>
                <ns7:t>x</ns7:t>
              </ns7:r>
            </ns7:e>
            <ns7:sub>
              <ns7:r>
                <ns7:t>F</ns7:t>
              </ns7:r>
            </ns7:sub>
          </ns7:sSub>
          <ns7:r>
            <ns7:rPr>
              <ns7:sty ns7:val="p"/>
            </ns7:rPr>
            <ns7:t>]</ns7:t>
          </ns7:r>
        </ns7:oMath>
      </ns7:oMathPara>
    </w:p>
    <w:p>
      <w:pPr>
        <w:pStyle w:val="FirstParagraph"/>
      </w:pPr>
      <w:r>
        <w:rPr>
          <w:rFonts w:hint="eastAsia"/>
        </w:rPr>
        <w:t xml:space="preserve">其中，</w:t>
      </w:r>
      <ns7:oMath>
        <ns7:sSub>
          <ns7:e>
            <ns7:r>
              <ns7:rPr>
                <ns7:sty ns7:val="bi"/>
              </ns7:rPr>
              <ns7:t>x</ns7:t>
            </ns7:r>
          </ns7:e>
          <ns7:sub>
            <ns7:r>
              <ns7:t>H</ns7:t>
            </ns7:r>
          </ns7:sub>
        </ns7:sSub>
      </ns7:oMath>
      <w:r>
        <w:t xml:space="preserve"> </w:t>
      </w:r>
      <w:r>
        <w:rPr>
          <w:rFonts w:hint="eastAsia"/>
        </w:rPr>
        <w:t xml:space="preserve">为热源工况特征，</w:t>
      </w:r>
      <ns7:oMath>
        <ns7:sSub>
          <ns7:e>
            <ns7:r>
              <ns7:rPr>
                <ns7:sty ns7:val="bi"/>
              </ns7:rPr>
              <ns7:t>x</ns7:t>
            </ns7:r>
          </ns7:e>
          <ns7:sub>
            <ns7:r>
              <ns7:t>F</ns7:t>
            </ns7:r>
          </ns7:sub>
        </ns7:sSub>
      </ns7:oMath>
      <w:r>
        <w:t xml:space="preserve"> </w:t>
      </w:r>
      <w:r>
        <w:rPr>
          <w:rFonts w:hint="eastAsia"/>
        </w:rPr>
        <w:t xml:space="preserve">为设施构型及目标特征（包括设施类别编码）。对于包含</w:t>
      </w:r>
      <w:r>
        <w:t xml:space="preserve"> </w:t>
      </w:r>
      <ns7:oMath>
        <ns7:r>
          <ns7:t>T</ns7:t>
        </ns7:r>
      </ns7:oMath>
      <w:r>
        <w:t xml:space="preserve"> </w:t>
      </w:r>
      <w:r>
        <w:rPr>
          <w:rFonts w:hint="eastAsia"/>
        </w:rPr>
        <w:t xml:space="preserve">棵树的回归森林，第</w:t>
      </w:r>
      <w:r>
        <w:t xml:space="preserve"> </w:t>
      </w:r>
      <ns7:oMath>
        <ns7:r>
          <ns7:t>t</ns7:t>
        </ns7:r>
      </ns7:oMath>
      <w:r>
        <w:t xml:space="preserve"> </w:t>
      </w:r>
      <w:r>
        <w:rPr>
          <w:rFonts w:hint="eastAsia"/>
        </w:rPr>
        <w:t xml:space="preserve">棵树的输出记为</w:t>
      </w:r>
      <w:r>
        <w:t xml:space="preserve"> </w:t>
      </w:r>
      <ns7:oMath>
        <ns7:sSub>
          <ns7:e>
            <ns7:r>
              <ns7:t>f</ns7:t>
            </ns7:r>
          </ns7:e>
          <ns7:sub>
            <ns7:r>
              <ns7:t>t</ns7:t>
            </ns7:r>
          </ns7:sub>
        </ns7:sSub>
        <ns7:r>
          <ns7:rPr>
            <ns7:sty ns7:val="p"/>
          </ns7:rPr>
          <ns7:t>(</ns7:t>
        </ns7:r>
        <ns7:r>
          <ns7:rPr>
            <ns7:sty ns7:val="bi"/>
          </ns7:rPr>
          <ns7:t>x</ns7:t>
        </ns7:r>
        <ns7:r>
          <ns7:rPr>
            <ns7:sty ns7:val="p"/>
          </ns7:rPr>
          <ns7:t>)</ns7:t>
        </ns7:r>
      </ns7:oMath>
      <w:r>
        <w:rPr>
          <w:rFonts w:hint="eastAsia"/>
        </w:rPr>
        <w:t xml:space="preserve">，连续预测值为：</w:t>
      </w:r>
    </w:p>
    <w:p>
      <w:pPr>
        <w:pStyle w:val="BodyText"/>
      </w:pPr>
      <ns7:oMathPara>
        <ns7:oMathParaPr>
          <ns7:jc ns7:val="center"/>
        </ns7:oMathParaPr>
        <ns7:oMath>
          <ns7:sSubSup>
            <ns7:e>
              <ns7:acc>
                <ns7:accPr>
                  <ns7:chr ns7:val="̂"/>
                </ns7:accPr>
                <ns7:e>
                  <ns7:r>
                    <ns7:t>D</ns7:t>
                  </ns7:r>
                </ns7:e>
              </ns7:acc>
            </ns7:e>
            <ns7:sub>
              <ns7:r>
                <ns7:t>k</ns7:t>
              </ns7:r>
            </ns7:sub>
            <ns7:sup>
              <ns7:r>
                <ns7:rPr>
                  <ns7:sty ns7:val="p"/>
                </ns7:rPr>
                <ns7:t>(</ns7:t>
              </ns7:r>
              <ns7:r>
                <ns7:t>R</ns7:t>
              </ns7:r>
              <ns7:r>
                <ns7:rPr>
                  <ns7:sty ns7:val="p"/>
                </ns7:rPr>
                <ns7:t>)</ns7:t>
              </ns7:r>
            </ns7:sup>
          </ns7:sSubSup>
          <ns7:r>
            <ns7:rPr>
              <ns7:sty ns7:val="p"/>
            </ns7:rPr>
            <ns7:t>=</ns7:t>
          </ns7:r>
          <ns7:f>
            <ns7:fPr>
              <ns7:type ns7:val="bar"/>
            </ns7:fPr>
            <ns7:num>
              <ns7:r>
                <ns7:t>1</ns7:t>
              </ns7:r>
            </ns7:num>
            <ns7:den>
              <ns7:r>
                <ns7:t>T</ns7:t>
              </ns7:r>
            </ns7:den>
          </ns7:f>
          <ns7:nary>
            <ns7:naryPr>
              <ns7:chr ns7:val="∑"/>
              <ns7:limLoc ns7:val="undOvr"/>
              <ns7:subHide ns7:val="off"/>
              <ns7:supHide ns7:val="off"/>
            </ns7:naryPr>
            <ns7:sub>
              <ns7:r>
                <ns7:t>t</ns7:t>
              </ns7:r>
              <ns7:r>
                <ns7:rPr>
                  <ns7:sty ns7:val="p"/>
                </ns7:rPr>
                <ns7:t>=</ns7:t>
              </ns7:r>
              <ns7:r>
                <ns7:t>1</ns7:t>
              </ns7:r>
            </ns7:sub>
            <ns7:sup>
              <ns7:r>
                <ns7:t>T</ns7:t>
              </ns7:r>
            </ns7:sup>
            <ns7:e>
              <ns7:sSub>
                <ns7:e>
                  <ns7:r>
                    <ns7:t>f</ns7:t>
                  </ns7:r>
                </ns7:e>
                <ns7:sub>
                  <ns7:r>
                    <ns7:t>t</ns7:t>
                  </ns7:r>
                </ns7:sub>
              </ns7:sSub>
            </ns7:e>
          </ns7:nary>
          <ns7:r>
            <ns7:rPr>
              <ns7:sty ns7:val="p"/>
            </ns7:rPr>
            <ns7:t>(</ns7:t>
          </ns7:r>
          <ns7:r>
            <ns7:rPr>
              <ns7:sty ns7:val="bi"/>
            </ns7:rPr>
            <ns7:t>x</ns7:t>
          </ns7:r>
          <ns7:r>
            <ns7:rPr>
              <ns7:sty ns7:val="p"/>
            </ns7:rPr>
            <ns7:t>)</ns7:t>
          </ns7:r>
        </ns7:oMath>
      </ns7:oMathPara>
    </w:p>
    <w:p>
      <w:pPr>
        <w:pStyle w:val="FirstParagraph"/>
      </w:pPr>
      <w:r>
        <w:rPr>
          <w:rFonts w:hint="eastAsia"/>
        </w:rPr>
        <w:t xml:space="preserve">回归结果限制在</w:t>
      </w:r>
      <w:r>
        <w:t xml:space="preserve"> </w:t>
      </w:r>
      <w:r>
        <w:rPr>
          <w:rStyle w:val="VerbatimChar"/>
        </w:rPr>
        <w:t xml:space="preserve">[0,1]</w:t>
      </w:r>
      <w:r>
        <w:t xml:space="preserve"> </w:t>
      </w:r>
      <w:r>
        <w:rPr>
          <w:rFonts w:hint="eastAsia"/>
        </w:rPr>
        <w:t xml:space="preserve">范围内，以保持</w:t>
      </w:r>
      <w:r>
        <w:t xml:space="preserve"> Dk </w:t>
      </w:r>
      <w:r>
        <w:rPr>
          <w:rFonts w:hint="eastAsia"/>
        </w:rPr>
        <w:t xml:space="preserve">的取值约束。</w:t>
      </w:r>
    </w:p>
    <w:bookmarkEnd w:id="59"/>
    <w:bookmarkStart w:id="60" w:name="X6eb5e21e84293286e2cbd1a9a087b73df387174"/>
    <w:p>
      <w:pPr>
        <w:pStyle w:val="4"/>
      </w:pPr>
      <w:r>
        <w:t xml:space="preserve">5.3 </w:t>
      </w:r>
      <w:r>
        <w:rPr>
          <w:rFonts w:hint="eastAsia"/>
        </w:rPr>
        <w:t xml:space="preserve">四级损伤分类</w:t>
      </w:r>
    </w:p>
    <w:p>
      <w:pPr>
        <w:pStyle w:val="FirstParagraph"/>
      </w:pPr>
      <w:r>
        <w:rPr>
          <w:rFonts w:hint="eastAsia"/>
        </w:rPr>
        <w:t xml:space="preserve">分类森林直接学习四个损伤等级。第</w:t>
      </w:r>
      <w:r>
        <w:t xml:space="preserve"> </w:t>
      </w:r>
      <ns7:oMath>
        <ns7:r>
          <ns7:t>t</ns7:t>
        </ns7:r>
      </ns7:oMath>
      <w:r>
        <w:t xml:space="preserve"> </w:t>
      </w:r>
      <w:r>
        <w:rPr>
          <w:rFonts w:hint="eastAsia"/>
        </w:rPr>
        <w:t xml:space="preserve">棵分类树的输出记为</w:t>
      </w:r>
      <w:r>
        <w:t xml:space="preserve"> </w:t>
      </w:r>
      <ns7:oMath>
        <ns7:sSub>
          <ns7:e>
            <ns7:r>
              <ns7:t>h</ns7:t>
            </ns7:r>
          </ns7:e>
          <ns7:sub>
            <ns7:r>
              <ns7:t>t</ns7:t>
            </ns7:r>
          </ns7:sub>
        </ns7:sSub>
        <ns7:r>
          <ns7:rPr>
            <ns7:sty ns7:val="p"/>
          </ns7:rPr>
          <ns7:t>(</ns7:t>
        </ns7:r>
        <ns7:r>
          <ns7:rPr>
            <ns7:sty ns7:val="bi"/>
          </ns7:rPr>
          <ns7:t>x</ns7:t>
        </ns7:r>
        <ns7:r>
          <ns7:rPr>
            <ns7:sty ns7:val="p"/>
          </ns7:rPr>
          <ns7:t>)</ns7:t>
        </ns7:r>
      </ns7:oMath>
      <w:r>
        <w:rPr>
          <w:rFonts w:hint="eastAsia"/>
        </w:rPr>
        <w:t xml:space="preserve">，最终等级由多树投票确定：</w:t>
      </w:r>
    </w:p>
    <w:p>
      <w:pPr>
        <w:pStyle w:val="BodyText"/>
      </w:pPr>
      <ns7:oMathPara>
        <ns7:oMathParaPr>
          <ns7:jc ns7:val="center"/>
        </ns7:oMathParaPr>
        <ns7:oMath>
          <ns7:acc>
            <ns7:accPr>
              <ns7:chr ns7:val="̂"/>
            </ns7:accPr>
            <ns7:e>
              <ns7:r>
                <ns7:t>g</ns7:t>
              </ns7:r>
            </ns7:e>
          </ns7:acc>
          <ns7:r>
            <ns7:rPr>
              <ns7:sty ns7:val="p"/>
            </ns7:rPr>
            <ns7:t>=</ns7:t>
          </ns7:r>
          <ns7:r>
            <ns7:rPr>
              <ns7:sty ns7:val="p"/>
            </ns7:rPr>
            <ns7:t>arg</ns7:t>
          </ns7:r>
          <ns7:limLow>
            <ns7:e>
              <ns7:r>
                <ns7:rPr>
                  <ns7:sty ns7:val="p"/>
                </ns7:rPr>
                <ns7:t>max</ns7:t>
              </ns7:r>
            </ns7:e>
            <ns7:lim>
              <ns7:r>
                <ns7:t>c</ns7:t>
              </ns7:r>
              <ns7:r>
                <ns7:rPr>
                  <ns7:sty ns7:val="p"/>
                </ns7:rPr>
                <ns7:t>∈</ns7:t>
              </ns7:r>
              <ns7:r>
                <ns7:rPr>
                  <ns7:sty ns7:val="p"/>
                </ns7:rPr>
                <ns7:t>{</ns7:t>
              </ns7:r>
              <ns7:r>
                <ns7:t>0</ns7:t>
              </ns7:r>
              <ns7:r>
                <ns7:rPr>
                  <ns7:sty ns7:val="p"/>
                </ns7:rPr>
                <ns7:t>,</ns7:t>
              </ns7:r>
              <ns7:r>
                <ns7:t>1</ns7:t>
              </ns7:r>
              <ns7:r>
                <ns7:rPr>
                  <ns7:sty ns7:val="p"/>
                </ns7:rPr>
                <ns7:t>,</ns7:t>
              </ns7:r>
              <ns7:r>
                <ns7:t>2</ns7:t>
              </ns7:r>
              <ns7:r>
                <ns7:rPr>
                  <ns7:sty ns7:val="p"/>
                </ns7:rPr>
                <ns7:t>,</ns7:t>
              </ns7:r>
              <ns7:r>
                <ns7:t>3</ns7:t>
              </ns7:r>
              <ns7:r>
                <ns7:rPr>
                  <ns7:sty ns7:val="p"/>
                </ns7:rPr>
                <ns7:t>}</ns7:t>
              </ns7:r>
            </ns7:lim>
          </ns7:limLow>
          <ns7:nary>
            <ns7:naryPr>
              <ns7:chr ns7:val="∑"/>
              <ns7:limLoc ns7:val="undOvr"/>
              <ns7:subHide ns7:val="off"/>
              <ns7:supHide ns7:val="off"/>
            </ns7:naryPr>
            <ns7:sub>
              <ns7:r>
                <ns7:t>t</ns7:t>
              </ns7:r>
              <ns7:r>
                <ns7:rPr>
                  <ns7:sty ns7:val="p"/>
                </ns7:rPr>
                <ns7:t>=</ns7:t>
              </ns7:r>
              <ns7:r>
                <ns7:t>1</ns7:t>
              </ns7:r>
            </ns7:sub>
            <ns7:sup>
              <ns7:r>
                <ns7:t>T</ns7:t>
              </ns7:r>
            </ns7:sup>
            <ns7:e>
              <ns7:r>
                <ns7:rPr>
                  <ns7:sty ns7:val="b"/>
                </ns7:rPr>
                <ns7:t>1</ns7:t>
              </ns7:r>
            </ns7:e>
          </ns7:nary>
          <ns7:d>
            <ns7:dPr>
              <ns7:begChr ns7:val="["/>
              <ns7:sepChr ns7:val=""/>
              <ns7:endChr ns7:val="]"/>
              <ns7:grow/>
            </ns7:dPr>
            <ns7:e>
              <ns7:sSub>
                <ns7:e>
                  <ns7:r>
                    <ns7:t>h</ns7:t>
                  </ns7:r>
                </ns7:e>
                <ns7:sub>
                  <ns7:r>
                    <ns7:t>t</ns7:t>
                  </ns7:r>
                </ns7:sub>
              </ns7:sSub>
              <ns7:r>
                <ns7:rPr>
                  <ns7:sty ns7:val="p"/>
                </ns7:rPr>
                <ns7:t>(</ns7:t>
              </ns7:r>
              <ns7:r>
                <ns7:rPr>
                  <ns7:sty ns7:val="bi"/>
                </ns7:rPr>
                <ns7:t>x</ns7:t>
              </ns7:r>
              <ns7:r>
                <ns7:rPr>
                  <ns7:sty ns7:val="p"/>
                </ns7:rPr>
                <ns7:t>)</ns7:t>
              </ns7:r>
              <ns7:r>
                <ns7:rPr>
                  <ns7:sty ns7:val="p"/>
                </ns7:rPr>
                <ns7:t>=</ns7:t>
              </ns7:r>
              <ns7:r>
                <ns7:t>c</ns7:t>
              </ns7:r>
            </ns7:e>
          </ns7:d>
        </ns7:oMath>
      </ns7:oMathPara>
    </w:p>
    <w:p>
      <w:pPr>
        <w:pStyle w:val="FirstParagraph"/>
      </w:pPr>
      <w:r>
        <w:rPr>
          <w:rFonts w:hint="eastAsia"/>
        </w:rPr>
        <w:t xml:space="preserve">分类任务采用信息熵作为节点分裂准则，并根据四个等级的样本数量进行类别平衡，使轻微破坏和严重破坏样本能够参与有效分裂。</w:t>
      </w:r>
    </w:p>
    <w:bookmarkEnd w:id="60"/>
    <w:bookmarkStart w:id="61" w:name="X34dd0dbe1a5a034905e8e8446a0280eeddd3834"/>
    <w:p>
      <w:pPr>
        <w:pStyle w:val="4"/>
      </w:pPr>
      <w:r>
        <w:t xml:space="preserve">5.4 </w:t>
      </w:r>
      <w:r>
        <w:rPr>
          <w:rFonts w:hint="eastAsia"/>
        </w:rPr>
        <w:t xml:space="preserve">等级一致性约束</w:t>
      </w:r>
    </w:p>
    <w:p>
      <w:pPr>
        <w:pStyle w:val="FirstParagraph"/>
      </w:pPr>
      <w:r>
        <w:rPr>
          <w:rFonts w:hint="eastAsia"/>
        </w:rPr>
        <w:t xml:space="preserve">设分类结果</w:t>
      </w:r>
      <w:r>
        <w:t xml:space="preserve"> </w:t>
      </w:r>
      <ns7:oMath>
        <ns7:acc>
          <ns7:accPr>
            <ns7:chr ns7:val="̂"/>
          </ns7:accPr>
          <ns7:e>
            <ns7:r>
              <ns7:t>g</ns7:t>
            </ns7:r>
          </ns7:e>
        </ns7:acc>
      </ns7:oMath>
      <w:r>
        <w:t xml:space="preserve"> </w:t>
      </w:r>
      <w:r>
        <w:rPr>
          <w:rFonts w:hint="eastAsia"/>
        </w:rPr>
        <w:t xml:space="preserve">对应的</w:t>
      </w:r>
      <w:r>
        <w:t xml:space="preserve"> Dk </w:t>
      </w:r>
      <w:r>
        <w:rPr>
          <w:rFonts w:hint="eastAsia"/>
        </w:rPr>
        <w:t xml:space="preserve">合法区间为</w:t>
      </w:r>
      <w:r>
        <w:t xml:space="preserve"> </w:t>
      </w:r>
      <ns7:oMath>
        <ns7:r>
          <ns7:rPr>
            <ns7:sty ns7:val="p"/>
          </ns7:rPr>
          <ns7:t>[</ns7:t>
        </ns7:r>
        <ns7:sSub>
          <ns7:e>
            <ns7:r>
              <ns7:t>L</ns7:t>
            </ns7:r>
          </ns7:e>
          <ns7:sub>
            <ns7:acc>
              <ns7:accPr>
                <ns7:chr ns7:val="̂"/>
              </ns7:accPr>
              <ns7:e>
                <ns7:r>
                  <ns7:t>g</ns7:t>
                </ns7:r>
              </ns7:e>
            </ns7:acc>
          </ns7:sub>
        </ns7:sSub>
        <ns7:r>
          <ns7:rPr>
            <ns7:sty ns7:val="p"/>
          </ns7:rPr>
          <ns7:t>,</ns7:t>
        </ns7:r>
        <ns7:sSub>
          <ns7:e>
            <ns7:r>
              <ns7:t>U</ns7:t>
            </ns7:r>
          </ns7:e>
          <ns7:sub>
            <ns7:acc>
              <ns7:accPr>
                <ns7:chr ns7:val="̂"/>
              </ns7:accPr>
              <ns7:e>
                <ns7:r>
                  <ns7:t>g</ns7:t>
                </ns7:r>
              </ns7:e>
            </ns7:acc>
          </ns7:sub>
        </ns7:sSub>
        <ns7:r>
          <ns7:rPr>
            <ns7:sty ns7:val="p"/>
          </ns7:rPr>
          <ns7:t>]</ns7:t>
        </ns7:r>
      </ns7:oMath>
      <w:r>
        <w:rPr>
          <w:rFonts w:hint="eastAsia"/>
        </w:rPr>
        <w:t xml:space="preserve">，最终连续值为：</w:t>
      </w:r>
    </w:p>
    <w:p>
      <w:pPr>
        <w:pStyle w:val="BodyText"/>
      </w:pPr>
      <ns7:oMathPara>
        <ns7:oMathParaPr>
          <ns7:jc ns7:val="center"/>
        </ns7:oMathParaPr>
        <ns7:oMath>
          <ns7:sSub>
            <ns7:e>
              <ns7:acc>
                <ns7:accPr>
                  <ns7:chr ns7:val="̂"/>
                </ns7:accPr>
                <ns7:e>
                  <ns7:r>
                    <ns7:t>D</ns7:t>
                  </ns7:r>
                </ns7:e>
              </ns7:acc>
            </ns7:e>
            <ns7:sub>
              <ns7:r>
                <ns7:t>k</ns7:t>
              </ns7:r>
            </ns7:sub>
          </ns7:sSub>
          <ns7:r>
            <ns7:rPr>
              <ns7:sty ns7:val="p"/>
            </ns7:rPr>
            <ns7:t>=</ns7:t>
          </ns7:r>
          <ns7:r>
            <ns7:rPr>
              <ns7:sty ns7:val="p"/>
            </ns7:rPr>
            <ns7:t>min</ns7:t>
          </ns7:r>
          <ns7:d>
            <ns7:dPr>
              <ns7:begChr ns7:val="("/>
              <ns7:sepChr ns7:val=""/>
              <ns7:endChr ns7:val=")"/>
              <ns7:grow/>
            </ns7:dPr>
            <ns7:e>
              <ns7:r>
                <ns7:rPr>
                  <ns7:sty ns7:val="p"/>
                </ns7:rPr>
                <ns7:t>max</ns7:t>
              </ns7:r>
              <ns7:d>
                <ns7:dPr>
                  <ns7:begChr ns7:val="("/>
                  <ns7:sepChr ns7:val=""/>
                  <ns7:endChr ns7:val=")"/>
                  <ns7:grow/>
                </ns7:dPr>
                <ns7:e>
                  <ns7:sSubSup>
                    <ns7:e>
                      <ns7:acc>
                        <ns7:accPr>
                          <ns7:chr ns7:val="̂"/>
                        </ns7:accPr>
                        <ns7:e>
                          <ns7:r>
                            <ns7:t>D</ns7:t>
                          </ns7:r>
                        </ns7:e>
                      </ns7:acc>
                    </ns7:e>
                    <ns7:sub>
                      <ns7:r>
                        <ns7:t>k</ns7:t>
                      </ns7:r>
                    </ns7:sub>
                    <ns7:sup>
                      <ns7:r>
                        <ns7:rPr>
                          <ns7:sty ns7:val="p"/>
                        </ns7:rPr>
                        <ns7:t>(</ns7:t>
                      </ns7:r>
                      <ns7:r>
                        <ns7:t>R</ns7:t>
                      </ns7:r>
                      <ns7:r>
                        <ns7:rPr>
                          <ns7:sty ns7:val="p"/>
                        </ns7:rPr>
                        <ns7:t>)</ns7:t>
                      </ns7:r>
                    </ns7:sup>
                  </ns7:sSubSup>
                  <ns7:r>
                    <ns7:rPr>
                      <ns7:sty ns7:val="p"/>
                    </ns7:rPr>
                    <ns7:t>,</ns7:t>
                  </ns7:r>
                  <ns7:sSub>
                    <ns7:e>
                      <ns7:r>
                        <ns7:t>L</ns7:t>
                      </ns7:r>
                    </ns7:e>
                    <ns7:sub>
                      <ns7:acc>
                        <ns7:accPr>
                          <ns7:chr ns7:val="̂"/>
                        </ns7:accPr>
                        <ns7:e>
                          <ns7:r>
                            <ns7:t>g</ns7:t>
                          </ns7:r>
                        </ns7:e>
                      </ns7:acc>
                    </ns7:sub>
                  </ns7:sSub>
                </ns7:e>
              </ns7:d>
              <ns7:r>
                <ns7:rPr>
                  <ns7:sty ns7:val="p"/>
                </ns7:rPr>
                <ns7:t>,</ns7:t>
              </ns7:r>
              <ns7:sSub>
                <ns7:e>
                  <ns7:r>
                    <ns7:t>U</ns7:t>
                  </ns7:r>
                </ns7:e>
                <ns7:sub>
                  <ns7:acc>
                    <ns7:accPr>
                      <ns7:chr ns7:val="̂"/>
                    </ns7:accPr>
                    <ns7:e>
                      <ns7:r>
                        <ns7:t>g</ns7:t>
                      </ns7:r>
                    </ns7:e>
                  </ns7:acc>
                </ns7:sub>
              </ns7:sSub>
            </ns7:e>
          </ns7:d>
        </ns7:oMath>
      </ns7:oMathPara>
    </w:p>
    <w:p>
      <w:pPr>
        <w:pStyle w:val="FirstParagraph"/>
      </w:pPr>
      <w:r>
        <w:rPr>
          <w:rFonts w:hint="eastAsia"/>
        </w:rPr>
        <w:t xml:space="preserve">该过程保留回归结果在等级区间内的连续差异，同时确保最终</w:t>
      </w:r>
      <w:r>
        <w:t xml:space="preserve"> Dk </w:t>
      </w:r>
      <w:r>
        <w:rPr>
          <w:rFonts w:hint="eastAsia"/>
        </w:rPr>
        <w:t xml:space="preserve">与四级损伤结果一致。例如分类森林判断为中等破坏时，最终</w:t>
      </w:r>
      <w:r>
        <w:t xml:space="preserve"> Dk </w:t>
      </w:r>
      <w:r>
        <w:rPr>
          <w:rFonts w:hint="eastAsia"/>
        </w:rPr>
        <w:t xml:space="preserve">位于</w:t>
      </w:r>
      <w:r>
        <w:t xml:space="preserve"> </w:t>
      </w:r>
      <w:r>
        <w:rPr>
          <w:rStyle w:val="VerbatimChar"/>
        </w:rPr>
        <w:t xml:space="preserve">[0.10,0.40)</w:t>
      </w:r>
      <w:r>
        <w:t xml:space="preserve">。</w:t>
      </w:r>
    </w:p>
    <w:bookmarkEnd w:id="61"/>
    <w:bookmarkStart w:id="62" w:name="X8b5d4de37540d8f1f278b7365cc48691edd57c5"/>
    <w:p>
      <w:pPr>
        <w:pStyle w:val="4"/>
      </w:pPr>
      <w:r>
        <w:t xml:space="preserve">5.5 </w:t>
      </w:r>
      <w:r>
        <w:rPr>
          <w:rFonts w:hint="eastAsia"/>
        </w:rPr>
        <w:t xml:space="preserve">模型参数与树数选择</w:t>
      </w:r>
    </w:p>
    <w:p>
      <w:pPr>
        <w:pStyle w:val="FirstParagraph"/>
      </w:pPr>
      <w:r>
        <w:rPr>
          <w:rFonts w:hint="eastAsia"/>
          <w:b/>
          <w:bCs/>
        </w:rPr>
        <w:t xml:space="preserve">表</w:t>
      </w:r>
      <w:r>
        <w:rPr>
          <w:b/>
          <w:bCs/>
        </w:rPr>
        <w:t xml:space="preserve"> 7 </w:t>
      </w:r>
      <w:r>
        <w:rPr>
          <w:rFonts w:hint="eastAsia"/>
          <w:b/>
          <w:bCs/>
        </w:rPr>
        <w:t xml:space="preserve">最终模型参数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jc w:val="right"/>
            </w:pPr>
            <w:r>
              <w:t xml:space="preserve">Dk </w:t>
            </w:r>
            <w:r>
              <w:rPr>
                <w:rFonts w:hint="eastAsia"/>
              </w:rPr>
              <w:t xml:space="preserve">回归森林</w:t>
            </w:r>
          </w:p>
        </w:tc>
        <w:tc>
          <w:tcPr/>
          <w:p>
            <w:pPr>
              <w:pStyle w:val="Compact"/>
              <w:jc w:val="right"/>
            </w:pPr>
            <w:r>
              <w:rPr>
                <w:rFonts w:hint="eastAsia"/>
              </w:rPr>
              <w:t xml:space="preserve">等级分类森林</w:t>
            </w:r>
          </w:p>
        </w:tc>
      </w:tr>
      <w:tr>
        <w:tc>
          <w:tcPr/>
          <w:p>
            <w:pPr>
              <w:pStyle w:val="Compact"/>
            </w:pPr>
            <w:r>
              <w:rPr>
                <w:rFonts w:hint="eastAsia"/>
              </w:rPr>
              <w:t xml:space="preserve">树数</w:t>
            </w:r>
          </w:p>
        </w:tc>
        <w:tc>
          <w:tcPr/>
          <w:p>
            <w:pPr>
              <w:pStyle w:val="Compact"/>
              <w:jc w:val="right"/>
            </w:pPr>
            <w:r>
              <w:t xml:space="preserve">50</w:t>
            </w:r>
          </w:p>
        </w:tc>
        <w:tc>
          <w:tcPr/>
          <w:p>
            <w:pPr>
              <w:pStyle w:val="Compact"/>
              <w:jc w:val="right"/>
            </w:pPr>
            <w:r>
              <w:t xml:space="preserve">50</w:t>
            </w:r>
          </w:p>
        </w:tc>
      </w:tr>
      <w:tr>
        <w:tc>
          <w:tcPr/>
          <w:p>
            <w:pPr>
              <w:pStyle w:val="Compact"/>
            </w:pPr>
            <w:r>
              <w:rPr>
                <w:rFonts w:hint="eastAsia"/>
              </w:rPr>
              <w:t xml:space="preserve">分裂准则</w:t>
            </w:r>
          </w:p>
        </w:tc>
        <w:tc>
          <w:tcPr/>
          <w:p>
            <w:pPr>
              <w:pStyle w:val="Compact"/>
              <w:jc w:val="right"/>
            </w:pPr>
            <w:r>
              <w:rPr>
                <w:rFonts w:hint="eastAsia"/>
              </w:rPr>
              <w:t xml:space="preserve">平方误差</w:t>
            </w:r>
          </w:p>
        </w:tc>
        <w:tc>
          <w:tcPr/>
          <w:p>
            <w:pPr>
              <w:pStyle w:val="Compact"/>
              <w:jc w:val="right"/>
            </w:pPr>
            <w:r>
              <w:rPr>
                <w:rFonts w:hint="eastAsia"/>
              </w:rPr>
              <w:t xml:space="preserve">信息熵</w:t>
            </w:r>
          </w:p>
        </w:tc>
      </w:tr>
      <w:tr>
        <w:tc>
          <w:tcPr/>
          <w:p>
            <w:pPr>
              <w:pStyle w:val="Compact"/>
            </w:pPr>
            <w:r>
              <w:rPr>
                <w:rFonts w:hint="eastAsia"/>
              </w:rPr>
              <w:t xml:space="preserve">最大特征比例</w:t>
            </w:r>
          </w:p>
        </w:tc>
        <w:tc>
          <w:tcPr/>
          <w:p>
            <w:pPr>
              <w:pStyle w:val="Compact"/>
              <w:jc w:val="right"/>
            </w:pPr>
            <w:r>
              <w:t xml:space="preserve">1.0</w:t>
            </w:r>
          </w:p>
        </w:tc>
        <w:tc>
          <w:tcPr/>
          <w:p>
            <w:pPr>
              <w:pStyle w:val="Compact"/>
              <w:jc w:val="right"/>
            </w:pPr>
            <w:r>
              <w:t xml:space="preserve">1.0</w:t>
            </w:r>
          </w:p>
        </w:tc>
      </w:tr>
      <w:tr>
        <w:tc>
          <w:tcPr/>
          <w:p>
            <w:pPr>
              <w:pStyle w:val="Compact"/>
            </w:pPr>
            <w:r>
              <w:rPr>
                <w:rFonts w:hint="eastAsia"/>
              </w:rPr>
              <w:t xml:space="preserve">最小叶节点样本数</w:t>
            </w:r>
          </w:p>
        </w:tc>
        <w:tc>
          <w:tcPr/>
          <w:p>
            <w:pPr>
              <w:pStyle w:val="Compact"/>
              <w:jc w:val="right"/>
            </w:pPr>
            <w:r>
              <w:t xml:space="preserve">1</w:t>
            </w:r>
          </w:p>
        </w:tc>
        <w:tc>
          <w:tcPr/>
          <w:p>
            <w:pPr>
              <w:pStyle w:val="Compact"/>
              <w:jc w:val="right"/>
            </w:pPr>
            <w:r>
              <w:t xml:space="preserve">1</w:t>
            </w:r>
          </w:p>
        </w:tc>
      </w:tr>
      <w:tr>
        <w:tc>
          <w:tcPr/>
          <w:p>
            <w:pPr>
              <w:pStyle w:val="Compact"/>
            </w:pPr>
            <w:r>
              <w:rPr>
                <w:rFonts w:hint="eastAsia"/>
              </w:rPr>
              <w:t xml:space="preserve">类别平衡</w:t>
            </w:r>
          </w:p>
        </w:tc>
        <w:tc>
          <w:tcPr/>
          <w:p>
            <w:pPr>
              <w:pStyle w:val="Compact"/>
              <w:jc w:val="right"/>
            </w:pPr>
            <w:r>
              <w:t xml:space="preserve">—</w:t>
            </w:r>
          </w:p>
        </w:tc>
        <w:tc>
          <w:tcPr/>
          <w:p>
            <w:pPr>
              <w:pStyle w:val="Compact"/>
              <w:jc w:val="right"/>
            </w:pPr>
            <w:r>
              <w:rPr>
                <w:rFonts w:hint="eastAsia"/>
              </w:rPr>
              <w:t xml:space="preserve">平衡权重</w:t>
            </w:r>
          </w:p>
        </w:tc>
      </w:tr>
      <w:tr>
        <w:tc>
          <w:tcPr/>
          <w:p>
            <w:pPr>
              <w:pStyle w:val="Compact"/>
            </w:pPr>
            <w:r>
              <w:rPr>
                <w:rFonts w:hint="eastAsia"/>
              </w:rPr>
              <w:t xml:space="preserve">随机种子</w:t>
            </w:r>
          </w:p>
        </w:tc>
        <w:tc>
          <w:tcPr/>
          <w:p>
            <w:pPr>
              <w:pStyle w:val="Compact"/>
              <w:jc w:val="right"/>
            </w:pPr>
            <w:r>
              <w:t xml:space="preserve">42</w:t>
            </w:r>
          </w:p>
        </w:tc>
        <w:tc>
          <w:tcPr/>
          <w:p>
            <w:pPr>
              <w:pStyle w:val="Compact"/>
              <w:jc w:val="right"/>
            </w:pPr>
            <w:r>
              <w:t xml:space="preserve">42</w:t>
            </w:r>
          </w:p>
        </w:tc>
      </w:tr>
    </w:tbl>
    <w:p>
      <w:pPr>
        <w:pStyle w:val="BodyText"/>
      </w:pPr>
      <w:r>
        <w:rPr>
          <w:rFonts w:hint="eastAsia"/>
        </w:rPr>
        <w:t xml:space="preserve">考虑到每个设施模型的输入特征为</w:t>
      </w:r>
      <w:r>
        <w:t xml:space="preserve"> </w:t>
      </w:r>
      <w:r>
        <w:rPr>
          <w:rFonts w:hint="eastAsia"/>
        </w:rPr>
        <w:t xml:space="preserve">11～23</w:t>
      </w:r>
      <w:r>
        <w:t xml:space="preserve"> </w:t>
      </w:r>
      <w:r>
        <w:rPr>
          <w:rFonts w:hint="eastAsia"/>
        </w:rPr>
        <w:t xml:space="preserve">列（见第</w:t>
      </w:r>
      <w:r>
        <w:t xml:space="preserve"> 4 </w:t>
      </w:r>
      <w:r>
        <w:rPr>
          <w:rFonts w:hint="eastAsia"/>
        </w:rPr>
        <w:t xml:space="preserve">章），树数试验范围设置为</w:t>
      </w:r>
      <w:r>
        <w:t xml:space="preserve"> </w:t>
      </w:r>
      <w:r>
        <w:rPr>
          <w:rFonts w:hint="eastAsia"/>
        </w:rPr>
        <w:t xml:space="preserve">10～100</w:t>
      </w:r>
      <w:r>
        <w:t xml:space="preserve"> </w:t>
      </w:r>
      <w:r>
        <w:rPr>
          <w:rFonts w:hint="eastAsia"/>
        </w:rPr>
        <w:t xml:space="preserve">棵。比较时保持数据划分、输入参数和分类准则一致，以五折等级准确率为主要指标，并结合独立测试结果和模型规模进行选择。</w:t>
      </w:r>
    </w:p>
    <w:p>
      <w:pPr>
        <w:pStyle w:val="BodyText"/>
      </w:pPr>
      <w:r>
        <w:rPr>
          <w:rFonts w:hint="eastAsia"/>
          <w:b/>
          <w:bCs/>
        </w:rPr>
        <w:t xml:space="preserve">表</w:t>
      </w:r>
      <w:r>
        <w:rPr>
          <w:b/>
          <w:bCs/>
        </w:rPr>
        <w:t xml:space="preserve"> 8 </w:t>
      </w:r>
      <w:r>
        <w:rPr>
          <w:rFonts w:hint="eastAsia"/>
          <w:b/>
          <w:bCs/>
        </w:rPr>
        <w:t xml:space="preserve">不同树数的模型表现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每个任务的树数</w:t>
            </w:r>
          </w:p>
        </w:tc>
        <w:tc>
          <w:tcPr/>
          <w:p>
            <w:pPr>
              <w:pStyle w:val="Compact"/>
              <w:jc w:val="right"/>
            </w:pPr>
            <w:r>
              <w:rPr>
                <w:rFonts w:hint="eastAsia"/>
              </w:rPr>
              <w:t xml:space="preserve">五折等级准确率</w:t>
            </w:r>
          </w:p>
        </w:tc>
        <w:tc>
          <w:tcPr/>
          <w:p>
            <w:pPr>
              <w:pStyle w:val="Compact"/>
              <w:jc w:val="right"/>
            </w:pPr>
            <w:r>
              <w:rPr>
                <w:rFonts w:hint="eastAsia"/>
              </w:rPr>
              <w:t xml:space="preserve">独立测试等级准确率</w:t>
            </w:r>
          </w:p>
        </w:tc>
      </w:tr>
      <w:tr>
        <w:tc>
          <w:tcPr/>
          <w:p>
            <w:pPr>
              <w:pStyle w:val="Compact"/>
              <w:jc w:val="right"/>
            </w:pPr>
            <w:r>
              <w:t xml:space="preserve">10</w:t>
            </w:r>
          </w:p>
        </w:tc>
        <w:tc>
          <w:tcPr/>
          <w:p>
            <w:pPr>
              <w:pStyle w:val="Compact"/>
              <w:jc w:val="right"/>
            </w:pPr>
            <w:r>
              <w:t xml:space="preserve">95.7657%</w:t>
            </w:r>
          </w:p>
        </w:tc>
        <w:tc>
          <w:tcPr/>
          <w:p>
            <w:pPr>
              <w:pStyle w:val="Compact"/>
              <w:jc w:val="right"/>
            </w:pPr>
            <w:r>
              <w:t xml:space="preserve">—</w:t>
            </w:r>
          </w:p>
        </w:tc>
      </w:tr>
      <w:tr>
        <w:tc>
          <w:tcPr/>
          <w:p>
            <w:pPr>
              <w:pStyle w:val="Compact"/>
              <w:jc w:val="right"/>
            </w:pPr>
            <w:r>
              <w:t xml:space="preserve">30</w:t>
            </w:r>
          </w:p>
        </w:tc>
        <w:tc>
          <w:tcPr/>
          <w:p>
            <w:pPr>
              <w:pStyle w:val="Compact"/>
              <w:jc w:val="right"/>
            </w:pPr>
            <w:r>
              <w:t xml:space="preserve">95.6561%</w:t>
            </w:r>
          </w:p>
        </w:tc>
        <w:tc>
          <w:tcPr/>
          <w:p>
            <w:pPr>
              <w:pStyle w:val="Compact"/>
              <w:jc w:val="right"/>
            </w:pPr>
            <w:r>
              <w:t xml:space="preserve">95.2555%</w:t>
            </w:r>
          </w:p>
        </w:tc>
      </w:tr>
      <w:tr>
        <w:tc>
          <w:tcPr/>
          <w:p>
            <w:pPr>
              <w:pStyle w:val="Compact"/>
              <w:jc w:val="right"/>
            </w:pPr>
            <w:r>
              <w:rPr>
                <w:b/>
                <w:bCs/>
              </w:rPr>
              <w:t xml:space="preserve">50</w:t>
            </w:r>
          </w:p>
        </w:tc>
        <w:tc>
          <w:tcPr/>
          <w:p>
            <w:pPr>
              <w:pStyle w:val="Compact"/>
              <w:jc w:val="right"/>
            </w:pPr>
            <w:r>
              <w:rPr>
                <w:b/>
                <w:bCs/>
              </w:rPr>
              <w:t xml:space="preserve">96.3244%</w:t>
            </w:r>
          </w:p>
        </w:tc>
        <w:tc>
          <w:tcPr/>
          <w:p>
            <w:pPr>
              <w:pStyle w:val="Compact"/>
              <w:jc w:val="right"/>
            </w:pPr>
            <w:r>
              <w:rPr>
                <w:b/>
                <w:bCs/>
              </w:rPr>
              <w:t xml:space="preserve">97.2973%</w:t>
            </w:r>
          </w:p>
        </w:tc>
      </w:tr>
      <w:tr>
        <w:tc>
          <w:tcPr/>
          <w:p>
            <w:pPr>
              <w:pStyle w:val="Compact"/>
              <w:jc w:val="right"/>
            </w:pPr>
            <w:r>
              <w:t xml:space="preserve">60</w:t>
            </w:r>
          </w:p>
        </w:tc>
        <w:tc>
          <w:tcPr/>
          <w:p>
            <w:pPr>
              <w:pStyle w:val="Compact"/>
              <w:jc w:val="right"/>
            </w:pPr>
            <w:r>
              <w:t xml:space="preserve">95.7657%</w:t>
            </w:r>
          </w:p>
        </w:tc>
        <w:tc>
          <w:tcPr/>
          <w:p>
            <w:pPr>
              <w:pStyle w:val="Compact"/>
              <w:jc w:val="right"/>
            </w:pPr>
            <w:r>
              <w:t xml:space="preserve">95.5292%</w:t>
            </w:r>
          </w:p>
        </w:tc>
      </w:tr>
      <w:tr>
        <w:tc>
          <w:tcPr/>
          <w:p>
            <w:pPr>
              <w:pStyle w:val="Compact"/>
              <w:jc w:val="right"/>
            </w:pPr>
            <w:r>
              <w:t xml:space="preserve">75</w:t>
            </w:r>
          </w:p>
        </w:tc>
        <w:tc>
          <w:tcPr/>
          <w:p>
            <w:pPr>
              <w:pStyle w:val="Compact"/>
              <w:jc w:val="right"/>
            </w:pPr>
            <w:r>
              <w:t xml:space="preserve">95.8204%</w:t>
            </w:r>
          </w:p>
        </w:tc>
        <w:tc>
          <w:tcPr/>
          <w:p>
            <w:pPr>
              <w:pStyle w:val="Compact"/>
              <w:jc w:val="right"/>
            </w:pPr>
            <w:r>
              <w:t xml:space="preserve">95.5292%</w:t>
            </w:r>
          </w:p>
        </w:tc>
      </w:tr>
      <w:tr>
        <w:tc>
          <w:tcPr/>
          <w:p>
            <w:pPr>
              <w:pStyle w:val="Compact"/>
              <w:jc w:val="right"/>
            </w:pPr>
            <w:r>
              <w:t xml:space="preserve">90</w:t>
            </w:r>
          </w:p>
        </w:tc>
        <w:tc>
          <w:tcPr/>
          <w:p>
            <w:pPr>
              <w:pStyle w:val="Compact"/>
              <w:jc w:val="right"/>
            </w:pPr>
            <w:r>
              <w:t xml:space="preserve">95.7839%</w:t>
            </w:r>
          </w:p>
        </w:tc>
        <w:tc>
          <w:tcPr/>
          <w:p>
            <w:pPr>
              <w:pStyle w:val="Compact"/>
              <w:jc w:val="right"/>
            </w:pPr>
            <w:r>
              <w:t xml:space="preserve">95.1642%</w:t>
            </w:r>
          </w:p>
        </w:tc>
      </w:tr>
      <w:tr>
        <w:tc>
          <w:tcPr/>
          <w:p>
            <w:pPr>
              <w:pStyle w:val="Compact"/>
              <w:jc w:val="right"/>
            </w:pPr>
            <w:r>
              <w:t xml:space="preserve">99</w:t>
            </w:r>
          </w:p>
        </w:tc>
        <w:tc>
          <w:tcPr/>
          <w:p>
            <w:pPr>
              <w:pStyle w:val="Compact"/>
              <w:jc w:val="right"/>
            </w:pPr>
            <w:r>
              <w:t xml:space="preserve">95.8204%</w:t>
            </w:r>
          </w:p>
        </w:tc>
        <w:tc>
          <w:tcPr/>
          <w:p>
            <w:pPr>
              <w:pStyle w:val="Compact"/>
              <w:jc w:val="right"/>
            </w:pPr>
            <w:r>
              <w:t xml:space="preserve">95.1642%</w:t>
            </w:r>
          </w:p>
        </w:tc>
      </w:tr>
    </w:tbl>
    <w:p>
      <w:pPr>
        <w:pStyle w:val="BodyText"/>
      </w:pPr>
      <w:r>
        <w:rPr>
          <w:rFonts w:hint="eastAsia"/>
        </w:rPr>
        <w:t xml:space="preserve">在逐设施训练口径下，50</w:t>
      </w:r>
      <w:r>
        <w:t xml:space="preserve"> </w:t>
      </w:r>
      <w:r>
        <w:rPr>
          <w:rFonts w:hint="eastAsia"/>
        </w:rPr>
        <w:t xml:space="preserve">棵方案的五折和独立测试等级准确率均达到最优水平，同时具有更紧凑的模型规模，因此最终确定回归森林和分类森林各采用</w:t>
      </w:r>
      <w:r>
        <w:t xml:space="preserve"> 50 </w:t>
      </w:r>
      <w:r>
        <w:rPr>
          <w:rFonts w:hint="eastAsia"/>
        </w:rPr>
        <w:t xml:space="preserve">棵树。</w:t>
      </w:r>
    </w:p>
    <w:p>
      <w:r>
        <w:pict>
          <v:rect style="width:0;height:1.5pt" o:hralign="center" o:hrstd="t" o:hr="t"/>
        </w:pict>
      </w:r>
    </w:p>
    <w:bookmarkEnd w:id="62"/>
    <w:bookmarkEnd w:id="63"/>
    <w:bookmarkStart w:id="71" w:name="Xcc0aeff75cec16ea44a3197553b80833271b8aa"/>
    <w:p>
      <w:pPr>
        <w:pStyle w:val="3"/>
      </w:pPr>
      <w:r>
        <w:t xml:space="preserve">6 </w:t>
      </w:r>
      <w:r>
        <w:rPr>
          <w:rFonts w:hint="eastAsia"/>
        </w:rPr>
        <w:t xml:space="preserve">模型训练与验证</w:t>
      </w:r>
    </w:p>
    <w:bookmarkStart w:id="64" w:name="X4580d73a0778c54a676038ad735598c8665424a"/>
    <w:p>
      <w:pPr>
        <w:pStyle w:val="4"/>
      </w:pPr>
      <w:r>
        <w:t xml:space="preserve">6.1 </w:t>
      </w:r>
      <w:r>
        <w:rPr>
          <w:rFonts w:hint="eastAsia"/>
        </w:rPr>
        <w:t xml:space="preserve">数据划分</w:t>
      </w:r>
    </w:p>
    <w:p>
      <w:pPr>
        <w:pStyle w:val="FirstParagraph"/>
      </w:pPr>
      <w:r>
        <w:t xml:space="preserve">6584 </w:t>
      </w:r>
      <w:r>
        <w:rPr>
          <w:rFonts w:hint="eastAsia"/>
        </w:rPr>
        <w:t xml:space="preserve">条合格工况按损伤等级分层划分为训练集和独立测试集，其中独立测试集约占</w:t>
      </w:r>
      <w:r>
        <w:t xml:space="preserve"> </w:t>
      </w:r>
      <w:r>
        <w:rPr>
          <w:rFonts w:hint="eastAsia"/>
        </w:rPr>
        <w:t xml:space="preserve">20%，其余用于拟合模型参数；另以五折交叉验证评价模型在不同数据划分下的总体稳定性。训练集用于拟合模型参数，独立测试集仅用于最终性能评价。</w:t>
      </w:r>
    </w:p>
    <w:p>
      <w:pPr>
        <w:pStyle w:val="BodyText"/>
      </w:pPr>
      <w:r>
        <w:rPr>
          <w:rFonts w:hint="eastAsia"/>
        </w:rPr>
        <w:t xml:space="preserve">五折交叉验证与独立测试具有不同作用。五折交叉验证将全部样本分为五个互斥子集，每次使用其中四折训练、一折验证，最终汇总五次未参与相应训练的预测结果，用于评价模型在不同数据划分下的总体稳定性。独立测试则在模型设置确定后，使用训练集拟合评估模型，并在固定的独立测试工况上评价，用于检验最终方案对未参与拟合工况的预测能力。</w:t>
      </w:r>
    </w:p>
    <w:bookmarkEnd w:id="64"/>
    <w:bookmarkStart w:id="65" w:name="X9fb7b3fa1560145a0c8216e317d18539475f7e9"/>
    <w:p>
      <w:pPr>
        <w:pStyle w:val="4"/>
      </w:pPr>
      <w:r>
        <w:t xml:space="preserve">6.2 </w:t>
      </w:r>
      <w:r>
        <w:rPr>
          <w:rFonts w:hint="eastAsia"/>
        </w:rPr>
        <w:t xml:space="preserve">评价指标</w:t>
      </w:r>
    </w:p>
    <w:p>
      <w:pPr>
        <w:pStyle w:val="FirstParagraph"/>
      </w:pPr>
      <w:r>
        <w:rPr>
          <w:rFonts w:hint="eastAsia"/>
        </w:rPr>
        <w:t xml:space="preserve">本报告保留</w:t>
      </w:r>
      <w:r>
        <w:t xml:space="preserve"> MAE、RMSE </w:t>
      </w:r>
      <w:r>
        <w:rPr>
          <w:rFonts w:hint="eastAsia"/>
        </w:rPr>
        <w:t xml:space="preserve">和等级准确率三个指标。</w:t>
      </w:r>
    </w:p>
    <w:p>
      <w:pPr>
        <w:pStyle w:val="BodyText"/>
      </w:pPr>
      <w:r>
        <w:rPr>
          <w:rFonts w:hint="eastAsia"/>
          <w:b/>
          <w:bCs/>
        </w:rPr>
        <w:t xml:space="preserve">表</w:t>
      </w:r>
      <w:r>
        <w:rPr>
          <w:b/>
          <w:bCs/>
        </w:rPr>
        <w:t xml:space="preserve"> 9 </w:t>
      </w:r>
      <w:r>
        <w:rPr>
          <w:rFonts w:hint="eastAsia"/>
          <w:b/>
          <w:bCs/>
        </w:rPr>
        <w:t xml:space="preserve">模型评价指标说明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定义</w:t>
            </w:r>
          </w:p>
        </w:tc>
        <w:tc>
          <w:tcPr/>
          <w:p>
            <w:pPr>
              <w:pStyle w:val="Compact"/>
            </w:pPr>
            <w:r>
              <w:rPr>
                <w:rFonts w:hint="eastAsia"/>
              </w:rPr>
              <w:t xml:space="preserve">工程含义</w:t>
            </w:r>
          </w:p>
        </w:tc>
      </w:tr>
      <w:tr>
        <w:tc>
          <w:tcPr/>
          <w:p>
            <w:pPr>
              <w:pStyle w:val="Compact"/>
            </w:pPr>
            <w:r>
              <w:t xml:space="preserve">MAE</w:t>
            </w:r>
          </w:p>
        </w:tc>
        <w:tc>
          <w:tcPr/>
          <w:p>
            <w:pPr>
              <w:pStyle w:val="Compact"/>
            </w:pPr>
            <w:r>
              <w:t xml:space="preserve">$\frac{1}{n}\sum</w:t>
            </w:r>
          </w:p>
        </w:tc>
        <w:tc>
          <w:tcPr/>
          <w:p>
            <w:pPr>
              <w:pStyle w:val="Compact"/>
            </w:pPr>
            <w:r>
              <w:t xml:space="preserve">D_{k,i}-\hat D_{k,i}</w:t>
            </w:r>
          </w:p>
        </w:tc>
      </w:tr>
      <w:tr>
        <w:tc>
          <w:tcPr/>
          <w:p>
            <w:pPr>
              <w:pStyle w:val="Compact"/>
            </w:pPr>
            <w:r>
              <w:t xml:space="preserve">RMSE</w:t>
            </w:r>
          </w:p>
        </w:tc>
        <w:tc>
          <w:tcPr/>
          <w:p>
            <w:pPr>
              <w:pStyle w:val="Compact"/>
            </w:pPr>
            <ns7:oMath>
              <ns7:rad>
                <ns7:radPr>
                  <ns7:degHide ns7:val="on"/>
                </ns7:radPr>
                <ns7:deg/>
                <ns7:e>
                  <ns7:f>
                    <ns7:fPr>
                      <ns7:type ns7:val="bar"/>
                    </ns7:fPr>
                    <ns7:num>
                      <ns7:r>
                        <ns7:t>1</ns7:t>
                      </ns7:r>
                    </ns7:num>
                    <ns7:den>
                      <ns7:r>
                        <ns7:t>n</ns7:t>
                      </ns7:r>
                    </ns7:den>
                  </ns7:f>
                  <ns7:r>
                    <ns7:rPr>
                      <ns7:sty ns7:val="p"/>
                    </ns7:rPr>
                    <ns7:t>∑</ns7:t>
                  </ns7:r>
                  <ns7:r>
                    <ns7:rPr>
                      <ns7:sty ns7:val="p"/>
                    </ns7:rPr>
                    <ns7:t>(</ns7:t>
                  </ns7:r>
                  <ns7:sSub>
                    <ns7:e>
                      <ns7:r>
                        <ns7:t>D</ns7:t>
                      </ns7:r>
                    </ns7:e>
                    <ns7:sub>
                      <ns7:r>
                        <ns7:t>k</ns7:t>
                      </ns7:r>
                      <ns7:r>
                        <ns7:rPr>
                          <ns7:sty ns7:val="p"/>
                        </ns7:rPr>
                        <ns7:t>,</ns7:t>
                      </ns7:r>
                      <ns7:r>
                        <ns7:t>i</ns7:t>
                      </ns7:r>
                    </ns7:sub>
                  </ns7:sSub>
                  <ns7:r>
                    <ns7:rPr>
                      <ns7:sty ns7:val="p"/>
                    </ns7:rPr>
                    <ns7:t>−</ns7:t>
                  </ns7:r>
                  <ns7:sSub>
                    <ns7:e>
                      <ns7:acc>
                        <ns7:accPr>
                          <ns7:chr ns7:val="̂"/>
                        </ns7:accPr>
                        <ns7:e>
                          <ns7:r>
                            <ns7:t>D</ns7:t>
                          </ns7:r>
                        </ns7:e>
                      </ns7:acc>
                    </ns7:e>
                    <ns7:sub>
                      <ns7:r>
                        <ns7:t>k</ns7:t>
                      </ns7:r>
                      <ns7:r>
                        <ns7:rPr>
                          <ns7:sty ns7:val="p"/>
                        </ns7:rPr>
                        <ns7:t>,</ns7:t>
                      </ns7:r>
                      <ns7:r>
                        <ns7:t>i</ns7:t>
                      </ns7:r>
                    </ns7:sub>
                  </ns7:sSub>
                  <ns7:sSup>
                    <ns7:e>
                      <ns7:r>
                        <ns7:rPr>
                          <ns7:sty ns7:val="p"/>
                        </ns7:rPr>
                        <ns7:t>)</ns7:t>
                      </ns7:r>
                    </ns7:e>
                    <ns7:sup>
                      <ns7:r>
                        <ns7:t>2</ns7:t>
                      </ns7:r>
                    </ns7:sup>
                  </ns7:sSup>
                </ns7:e>
              </ns7:rad>
            </ns7:oMath>
          </w:p>
        </w:tc>
        <w:tc>
          <w:tcPr/>
          <w:p>
            <w:pPr>
              <w:pStyle w:val="Compact"/>
            </w:pPr>
            <w:r>
              <w:rPr>
                <w:rFonts w:hint="eastAsia"/>
              </w:rPr>
              <w:t xml:space="preserve">对较大</w:t>
            </w:r>
            <w:r>
              <w:t xml:space="preserve"> Dk </w:t>
            </w:r>
            <w:r>
              <w:rPr>
                <w:rFonts w:hint="eastAsia"/>
              </w:rPr>
              <w:t xml:space="preserve">偏差更敏感，越小越好</w:t>
            </w:r>
          </w:p>
        </w:tc>
      </w:tr>
      <w:tr>
        <w:tc>
          <w:tcPr/>
          <w:p>
            <w:pPr>
              <w:pStyle w:val="Compact"/>
            </w:pPr>
            <w:r>
              <w:rPr>
                <w:rFonts w:hint="eastAsia"/>
              </w:rPr>
              <w:t xml:space="preserve">等级准确率</w:t>
            </w:r>
          </w:p>
        </w:tc>
        <w:tc>
          <w:tcPr/>
          <w:p>
            <w:pPr>
              <w:pStyle w:val="Compact"/>
            </w:pPr>
            <w:r>
              <w:rPr>
                <w:rFonts w:hint="eastAsia"/>
              </w:rPr>
              <w:t xml:space="preserve">正确等级工况数</w:t>
            </w:r>
            <w:r>
              <w:t xml:space="preserve"> / </w:t>
            </w:r>
            <w:r>
              <w:rPr>
                <w:rFonts w:hint="eastAsia"/>
              </w:rPr>
              <w:t xml:space="preserve">总工况数</w:t>
            </w:r>
          </w:p>
        </w:tc>
        <w:tc>
          <w:tcPr/>
          <w:p>
            <w:pPr>
              <w:pStyle w:val="Compact"/>
            </w:pPr>
            <w:r>
              <w:rPr>
                <w:rFonts w:hint="eastAsia"/>
              </w:rPr>
              <w:t xml:space="preserve">四级损伤判定正确的比例，越高越好</w:t>
            </w:r>
          </w:p>
        </w:tc>
      </w:tr>
    </w:tbl>
    <w:bookmarkEnd w:id="65"/>
    <w:bookmarkStart w:id="69" w:name="X8e2916fc18594321f8f44db5838cbbd3328d1d9"/>
    <w:p>
      <w:pPr>
        <w:pStyle w:val="4"/>
      </w:pPr>
      <w:r>
        <w:t xml:space="preserve">6.3 </w:t>
      </w:r>
      <w:r>
        <w:rPr>
          <w:rFonts w:hint="eastAsia"/>
        </w:rPr>
        <w:t xml:space="preserve">综合模型评价结果</w:t>
      </w:r>
    </w:p>
    <w:p>
      <w:pPr>
        <w:pStyle w:val="FirstParagraph"/>
      </w:pPr>
      <w:r>
        <w:rPr>
          <w:rFonts w:hint="eastAsia"/>
        </w:rPr>
        <w:t xml:space="preserve">四类设施专项复核采用相同模型和评价流程。为保持三类工程报告的性能口径统一，报告采用全部</w:t>
      </w:r>
      <w:r>
        <w:t xml:space="preserve"> 38 </w:t>
      </w:r>
      <w:r>
        <w:rPr>
          <w:rFonts w:hint="eastAsia"/>
        </w:rPr>
        <w:t xml:space="preserve">个设施的综合评价结果作为模型精度指标。</w:t>
      </w:r>
    </w:p>
    <w:p>
      <w:pPr>
        <w:pStyle w:val="BodyText"/>
      </w:pPr>
      <w:r>
        <w:rPr>
          <w:rFonts w:hint="eastAsia"/>
          <w:b/>
          <w:bCs/>
        </w:rPr>
        <w:t xml:space="preserve">表</w:t>
      </w:r>
      <w:r>
        <w:rPr>
          <w:b/>
          <w:bCs/>
        </w:rPr>
        <w:t xml:space="preserve"> 10 </w:t>
      </w:r>
      <w:r>
        <w:rPr>
          <w:rFonts w:hint="eastAsia"/>
          <w:b/>
          <w:bCs/>
        </w:rPr>
        <w:t xml:space="preserve">综合模型评价结果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评价方式</w:t>
            </w:r>
          </w:p>
        </w:tc>
        <w:tc>
          <w:tcPr/>
          <w:p>
            <w:pPr>
              <w:pStyle w:val="Compact"/>
              <w:jc w:val="right"/>
            </w:pPr>
            <w:r>
              <w:rPr>
                <w:rFonts w:hint="eastAsia"/>
              </w:rPr>
              <w:t xml:space="preserve">工况数</w:t>
            </w:r>
          </w:p>
        </w:tc>
        <w:tc>
          <w:tcPr/>
          <w:p>
            <w:pPr>
              <w:pStyle w:val="Compact"/>
              <w:jc w:val="right"/>
            </w:pPr>
            <w:r>
              <w:t xml:space="preserve">MAE</w:t>
            </w:r>
          </w:p>
        </w:tc>
        <w:tc>
          <w:tcPr/>
          <w:p>
            <w:pPr>
              <w:pStyle w:val="Compact"/>
              <w:jc w:val="right"/>
            </w:pPr>
            <w:r>
              <w:t xml:space="preserve">RMSE</w:t>
            </w:r>
          </w:p>
        </w:tc>
        <w:tc>
          <w:tcPr/>
          <w:p>
            <w:pPr>
              <w:pStyle w:val="Compact"/>
              <w:jc w:val="right"/>
            </w:pPr>
            <w:r>
              <w:rPr>
                <w:rFonts w:hint="eastAsia"/>
              </w:rPr>
              <w:t xml:space="preserve">等级准确率</w:t>
            </w:r>
          </w:p>
        </w:tc>
      </w:tr>
      <w:tr>
        <w:tc>
          <w:tcPr/>
          <w:p>
            <w:pPr>
              <w:pStyle w:val="Compact"/>
            </w:pPr>
            <w:r>
              <w:rPr>
                <w:rFonts w:hint="eastAsia"/>
              </w:rPr>
              <w:t xml:space="preserve">五折交叉验证</w:t>
            </w:r>
          </w:p>
        </w:tc>
        <w:tc>
          <w:tcPr/>
          <w:p>
            <w:pPr>
              <w:pStyle w:val="Compact"/>
              <w:jc w:val="right"/>
            </w:pPr>
            <w:r>
              <w:t xml:space="preserve">6584</w:t>
            </w:r>
          </w:p>
        </w:tc>
        <w:tc>
          <w:tcPr/>
          <w:p>
            <w:pPr>
              <w:pStyle w:val="Compact"/>
              <w:jc w:val="right"/>
            </w:pPr>
            <w:r>
              <w:t xml:space="preserve">0.0115</w:t>
            </w:r>
          </w:p>
        </w:tc>
        <w:tc>
          <w:tcPr/>
          <w:p>
            <w:pPr>
              <w:pStyle w:val="Compact"/>
              <w:jc w:val="right"/>
            </w:pPr>
            <w:r>
              <w:t xml:space="preserve">0.0521</w:t>
            </w:r>
          </w:p>
        </w:tc>
        <w:tc>
          <w:tcPr/>
          <w:p>
            <w:pPr>
              <w:pStyle w:val="Compact"/>
              <w:jc w:val="right"/>
            </w:pPr>
            <w:r>
              <w:t xml:space="preserve">96.3244%</w:t>
            </w:r>
          </w:p>
        </w:tc>
      </w:tr>
      <w:tr>
        <w:tc>
          <w:tcPr/>
          <w:p>
            <w:pPr>
              <w:pStyle w:val="Compact"/>
            </w:pPr>
            <w:r>
              <w:rPr>
                <w:rFonts w:hint="eastAsia"/>
              </w:rPr>
              <w:t xml:space="preserve">独立测试</w:t>
            </w:r>
          </w:p>
        </w:tc>
        <w:tc>
          <w:tcPr/>
          <w:p>
            <w:pPr>
              <w:pStyle w:val="Compact"/>
              <w:jc w:val="right"/>
            </w:pPr>
            <w:r>
              <w:t xml:space="preserve">1332</w:t>
            </w:r>
          </w:p>
        </w:tc>
        <w:tc>
          <w:tcPr/>
          <w:p>
            <w:pPr>
              <w:pStyle w:val="Compact"/>
              <w:jc w:val="right"/>
            </w:pPr>
            <w:r>
              <w:t xml:space="preserve">0.0091</w:t>
            </w:r>
          </w:p>
        </w:tc>
        <w:tc>
          <w:tcPr/>
          <w:p>
            <w:pPr>
              <w:pStyle w:val="Compact"/>
              <w:jc w:val="right"/>
            </w:pPr>
            <w:r>
              <w:t xml:space="preserve">0.0414</w:t>
            </w:r>
          </w:p>
        </w:tc>
        <w:tc>
          <w:tcPr/>
          <w:p>
            <w:pPr>
              <w:pStyle w:val="Compact"/>
              <w:jc w:val="right"/>
            </w:pPr>
            <w:r>
              <w:t xml:space="preserve">97.2973%</w:t>
            </w:r>
          </w:p>
        </w:tc>
      </w:tr>
    </w:tbl>
    <w:p>
      <w:pPr>
        <w:pStyle w:val="BodyText"/>
      </w:pPr>
      <w:r>
        <w:rPr>
          <w:rFonts w:hint="eastAsia"/>
        </w:rPr>
        <w:t xml:space="preserve">五折和独立测试的等级准确率均超过</w:t>
      </w:r>
      <w:r>
        <w:t xml:space="preserve"> </w:t>
      </w:r>
      <w:r>
        <w:rPr>
          <w:rFonts w:hint="eastAsia"/>
        </w:rPr>
        <w:t xml:space="preserve">95%，且两者差异较小，表明模型在不同划分方式下保持了较稳定的四级损伤判定能力。独立测试</w:t>
      </w:r>
      <w:r>
        <w:t xml:space="preserve"> MAE </w:t>
      </w:r>
      <w:r>
        <w:rPr>
          <w:rFonts w:hint="eastAsia"/>
        </w:rPr>
        <w:t xml:space="preserve">为</w:t>
      </w:r>
      <w:r>
        <w:t xml:space="preserve"> </w:t>
      </w:r>
      <w:r>
        <w:rPr>
          <w:rFonts w:hint="eastAsia"/>
        </w:rPr>
        <w:t xml:space="preserve">0.0091，说明连续</w:t>
      </w:r>
      <w:r>
        <w:t xml:space="preserve"> Dk </w:t>
      </w:r>
      <w:r>
        <w:rPr>
          <w:rFonts w:hint="eastAsia"/>
        </w:rPr>
        <w:t xml:space="preserve">的平均绝对偏差约为</w:t>
      </w:r>
      <w:r>
        <w:t xml:space="preserve"> </w:t>
      </w:r>
      <w:r>
        <w:rPr>
          <w:rFonts w:hint="eastAsia"/>
        </w:rPr>
        <w:t xml:space="preserve">0.009；RMSE</w:t>
      </w:r>
      <w:r>
        <w:t xml:space="preserve"> </w:t>
      </w:r>
      <w:r>
        <w:rPr>
          <w:rFonts w:hint="eastAsia"/>
        </w:rPr>
        <w:t xml:space="preserve">高于</w:t>
      </w:r>
      <w:r>
        <w:t xml:space="preserve"> </w:t>
      </w:r>
      <w:r>
        <w:rPr>
          <w:rFonts w:hint="eastAsia"/>
        </w:rPr>
        <w:t xml:space="preserve">MAE，反映少量工况存在相对较大的连续值偏差。</w:t>
      </w:r>
    </w:p>
    <w:p>
      <w:pPr>
        <w:pStyle w:val="BodyText"/>
      </w:pPr>
      <w:r>
        <w:drawing>
          <wp:inline>
            <wp:extent cx="5270500" cy="4216400"/>
            <wp:effectExtent b="0" l="0" r="0" t="0"/>
            <wp:docPr descr="图 2 机械制造设施五折交叉验证等级混淆矩阵" title="" id="67" name="Picture"/>
            <a:graphic>
              <a:graphicData uri="http://schemas.openxmlformats.org/drawingml/2006/picture">
                <pic:pic>
                  <pic:nvPicPr>
                    <pic:cNvPr descr="../output/experimental_figures/machinery_confusion_matrix.png" id="68" name="Picture"/>
                    <pic:cNvPicPr>
                      <a:picLocks noChangeArrowheads="1" noChangeAspect="1"/>
                    </pic:cNvPicPr>
                  </pic:nvPicPr>
                  <pic:blipFill>
                    <a:blip r:embed="rId66"/>
                    <a:stretch>
                      <a:fillRect/>
                    </a:stretch>
                  </pic:blipFill>
                  <pic:spPr bwMode="auto">
                    <a:xfrm>
                      <a:off x="0" y="0"/>
                      <a:ext cx="5270500" cy="42164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 </w:t>
      </w:r>
      <w:r>
        <w:rPr>
          <w:rFonts w:hint="eastAsia"/>
          <w:b/>
          <w:bCs/>
        </w:rPr>
        <w:t xml:space="preserve">机械制造设施五折交叉验证等级混淆矩阵</w:t>
      </w:r>
    </w:p>
    <w:bookmarkEnd w:id="69"/>
    <w:bookmarkStart w:id="70" w:name="X82457d294d759384cb5a722ab8014e76ca8ba11"/>
    <w:p>
      <w:pPr>
        <w:pStyle w:val="4"/>
      </w:pPr>
      <w:r>
        <w:t xml:space="preserve">6.4 </w:t>
      </w:r>
      <w:r>
        <w:rPr>
          <w:rFonts w:hint="eastAsia"/>
        </w:rPr>
        <w:t xml:space="preserve">机械制造设施专项验证</w:t>
      </w:r>
    </w:p>
    <w:p>
      <w:pPr>
        <w:pStyle w:val="FirstParagraph"/>
      </w:pPr>
      <w:r>
        <w:rPr>
          <w:rFonts w:hint="eastAsia"/>
        </w:rPr>
        <w:t xml:space="preserve">在逐设施模型的五折预测结果中，机械制造类</w:t>
      </w:r>
      <w:r>
        <w:t xml:space="preserve"> 803 </w:t>
      </w:r>
      <w:r>
        <w:rPr>
          <w:rFonts w:hint="eastAsia"/>
        </w:rPr>
        <w:t xml:space="preserve">条工况的等级准确率为</w:t>
      </w:r>
      <w:r>
        <w:t xml:space="preserve"> </w:t>
      </w:r>
      <w:r>
        <w:rPr>
          <w:rFonts w:hint="eastAsia"/>
        </w:rPr>
        <w:t xml:space="preserve">98.5056%，MAE</w:t>
      </w:r>
      <w:r>
        <w:t xml:space="preserve"> </w:t>
      </w:r>
      <w:r>
        <w:rPr>
          <w:rFonts w:hint="eastAsia"/>
        </w:rPr>
        <w:t xml:space="preserve">为</w:t>
      </w:r>
      <w:r>
        <w:t xml:space="preserve"> </w:t>
      </w:r>
      <w:r>
        <w:rPr>
          <w:rFonts w:hint="eastAsia"/>
        </w:rPr>
        <w:t xml:space="preserve">0.0043，RMSE</w:t>
      </w:r>
      <w:r>
        <w:t xml:space="preserve"> </w:t>
      </w:r>
      <w:r>
        <w:rPr>
          <w:rFonts w:hint="eastAsia"/>
        </w:rPr>
        <w:t xml:space="preserve">为</w:t>
      </w:r>
      <w:r>
        <w:t xml:space="preserve"> </w:t>
      </w:r>
      <w:r>
        <w:rPr>
          <w:rFonts w:hint="eastAsia"/>
        </w:rPr>
        <w:t xml:space="preserve">0.0244。独立测试集中包含</w:t>
      </w:r>
      <w:r>
        <w:t xml:space="preserve"> 164 </w:t>
      </w:r>
      <w:r>
        <w:rPr>
          <w:rFonts w:hint="eastAsia"/>
        </w:rPr>
        <w:t xml:space="preserve">条机械制造工况，等级准确率为</w:t>
      </w:r>
      <w:r>
        <w:t xml:space="preserve"> </w:t>
      </w:r>
      <w:r>
        <w:rPr>
          <w:rFonts w:hint="eastAsia"/>
        </w:rPr>
        <w:t xml:space="preserve">99.3902%。专项结果用于分析机械制造设施内部表现，报告的模型精度仍以表</w:t>
      </w:r>
      <w:r>
        <w:t xml:space="preserve"> 10 </w:t>
      </w:r>
      <w:r>
        <w:rPr>
          <w:rFonts w:hint="eastAsia"/>
        </w:rPr>
        <w:t xml:space="preserve">的综合结果为准。</w:t>
      </w:r>
    </w:p>
    <w:p>
      <w:pPr>
        <w:pStyle w:val="BodyText"/>
      </w:pPr>
      <w:r>
        <w:rPr>
          <w:rFonts w:hint="eastAsia"/>
          <w:b/>
          <w:bCs/>
        </w:rPr>
        <w:t xml:space="preserve">表</w:t>
      </w:r>
      <w:r>
        <w:rPr>
          <w:b/>
          <w:bCs/>
        </w:rPr>
        <w:t xml:space="preserve"> 11 </w:t>
      </w:r>
      <w:r>
        <w:rPr>
          <w:rFonts w:hint="eastAsia"/>
          <w:b/>
          <w:bCs/>
        </w:rPr>
        <w:t xml:space="preserve">机械制造设施独立测试结果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设施名称</w:t>
            </w:r>
          </w:p>
        </w:tc>
        <w:tc>
          <w:tcPr/>
          <w:p>
            <w:pPr>
              <w:pStyle w:val="Compact"/>
              <w:jc w:val="right"/>
            </w:pPr>
            <w:r>
              <w:rPr>
                <w:rFonts w:hint="eastAsia"/>
              </w:rPr>
              <w:t xml:space="preserve">测试工况数</w:t>
            </w:r>
          </w:p>
        </w:tc>
        <w:tc>
          <w:tcPr/>
          <w:p>
            <w:pPr>
              <w:pStyle w:val="Compact"/>
              <w:jc w:val="right"/>
            </w:pPr>
            <w:r>
              <w:rPr>
                <w:rFonts w:hint="eastAsia"/>
              </w:rPr>
              <w:t xml:space="preserve">等级准确率</w:t>
            </w:r>
          </w:p>
        </w:tc>
        <w:tc>
          <w:tcPr/>
          <w:p>
            <w:pPr>
              <w:pStyle w:val="Compact"/>
              <w:jc w:val="right"/>
            </w:pPr>
            <w:r>
              <w:t xml:space="preserve">MAE</w:t>
            </w:r>
          </w:p>
        </w:tc>
      </w:tr>
      <w:tr>
        <w:tc>
          <w:tcPr/>
          <w:p>
            <w:pPr>
              <w:pStyle w:val="Compact"/>
            </w:pPr>
            <w:r>
              <w:rPr>
                <w:rFonts w:hint="eastAsia"/>
              </w:rPr>
              <w:t xml:space="preserve">弗莱马斯特总装设施</w:t>
            </w:r>
          </w:p>
        </w:tc>
        <w:tc>
          <w:tcPr/>
          <w:p>
            <w:pPr>
              <w:pStyle w:val="Compact"/>
              <w:jc w:val="right"/>
            </w:pPr>
            <w:r>
              <w:t xml:space="preserve">22</w:t>
            </w:r>
          </w:p>
        </w:tc>
        <w:tc>
          <w:tcPr/>
          <w:p>
            <w:pPr>
              <w:pStyle w:val="Compact"/>
              <w:jc w:val="right"/>
            </w:pPr>
            <w:r>
              <w:t xml:space="preserve">100.0000%</w:t>
            </w:r>
          </w:p>
        </w:tc>
        <w:tc>
          <w:tcPr/>
          <w:p>
            <w:pPr>
              <w:pStyle w:val="Compact"/>
              <w:jc w:val="right"/>
            </w:pPr>
            <w:r>
              <w:t xml:space="preserve">0.000639</w:t>
            </w:r>
          </w:p>
        </w:tc>
      </w:tr>
      <w:tr>
        <w:tc>
          <w:tcPr/>
          <w:p>
            <w:pPr>
              <w:pStyle w:val="Compact"/>
            </w:pPr>
            <w:r>
              <w:rPr>
                <w:rFonts w:hint="eastAsia"/>
              </w:rPr>
              <w:t xml:space="preserve">格里森切削工具设施</w:t>
            </w:r>
          </w:p>
        </w:tc>
        <w:tc>
          <w:tcPr/>
          <w:p>
            <w:pPr>
              <w:pStyle w:val="Compact"/>
              <w:jc w:val="right"/>
            </w:pPr>
            <w:r>
              <w:t xml:space="preserve">22</w:t>
            </w:r>
          </w:p>
        </w:tc>
        <w:tc>
          <w:tcPr/>
          <w:p>
            <w:pPr>
              <w:pStyle w:val="Compact"/>
              <w:jc w:val="right"/>
            </w:pPr>
            <w:r>
              <w:t xml:space="preserve">100.0000%</w:t>
            </w:r>
          </w:p>
        </w:tc>
        <w:tc>
          <w:tcPr/>
          <w:p>
            <w:pPr>
              <w:pStyle w:val="Compact"/>
              <w:jc w:val="right"/>
            </w:pPr>
            <w:r>
              <w:t xml:space="preserve">0.000159</w:t>
            </w:r>
          </w:p>
        </w:tc>
      </w:tr>
      <w:tr>
        <w:tc>
          <w:tcPr/>
          <w:p>
            <w:pPr>
              <w:pStyle w:val="Compact"/>
            </w:pPr>
            <w:r>
              <w:rPr>
                <w:rFonts w:hint="eastAsia"/>
              </w:rPr>
              <w:t xml:space="preserve">哈比森-费希尔部装设施</w:t>
            </w:r>
          </w:p>
        </w:tc>
        <w:tc>
          <w:tcPr/>
          <w:p>
            <w:pPr>
              <w:pStyle w:val="Compact"/>
              <w:jc w:val="right"/>
            </w:pPr>
            <w:r>
              <w:t xml:space="preserve">22</w:t>
            </w:r>
          </w:p>
        </w:tc>
        <w:tc>
          <w:tcPr/>
          <w:p>
            <w:pPr>
              <w:pStyle w:val="Compact"/>
              <w:jc w:val="right"/>
            </w:pPr>
            <w:r>
              <w:t xml:space="preserve">100.0000%</w:t>
            </w:r>
          </w:p>
        </w:tc>
        <w:tc>
          <w:tcPr/>
          <w:p>
            <w:pPr>
              <w:pStyle w:val="Compact"/>
              <w:jc w:val="right"/>
            </w:pPr>
            <w:r>
              <w:t xml:space="preserve">0.000000</w:t>
            </w:r>
          </w:p>
        </w:tc>
      </w:tr>
      <w:tr>
        <w:tc>
          <w:tcPr/>
          <w:p>
            <w:pPr>
              <w:pStyle w:val="Compact"/>
            </w:pPr>
            <w:r>
              <w:rPr>
                <w:rFonts w:hint="eastAsia"/>
              </w:rPr>
              <w:t xml:space="preserve">特斯拉机械制造设施</w:t>
            </w:r>
          </w:p>
        </w:tc>
        <w:tc>
          <w:tcPr/>
          <w:p>
            <w:pPr>
              <w:pStyle w:val="Compact"/>
              <w:jc w:val="right"/>
            </w:pPr>
            <w:r>
              <w:t xml:space="preserve">17</w:t>
            </w:r>
          </w:p>
        </w:tc>
        <w:tc>
          <w:tcPr/>
          <w:p>
            <w:pPr>
              <w:pStyle w:val="Compact"/>
              <w:jc w:val="right"/>
            </w:pPr>
            <w:r>
              <w:t xml:space="preserve">100.0000%</w:t>
            </w:r>
          </w:p>
        </w:tc>
        <w:tc>
          <w:tcPr/>
          <w:p>
            <w:pPr>
              <w:pStyle w:val="Compact"/>
              <w:jc w:val="right"/>
            </w:pPr>
            <w:r>
              <w:t xml:space="preserve">0.009555</w:t>
            </w:r>
          </w:p>
        </w:tc>
      </w:tr>
      <w:tr>
        <w:tc>
          <w:tcPr/>
          <w:p>
            <w:pPr>
              <w:pStyle w:val="Compact"/>
            </w:pPr>
            <w:r>
              <w:rPr>
                <w:rFonts w:hint="eastAsia"/>
              </w:rPr>
              <w:t xml:space="preserve">大型机械制造等效设施</w:t>
            </w:r>
          </w:p>
        </w:tc>
        <w:tc>
          <w:tcPr/>
          <w:p>
            <w:pPr>
              <w:pStyle w:val="Compact"/>
              <w:jc w:val="right"/>
            </w:pPr>
            <w:r>
              <w:t xml:space="preserve">22</w:t>
            </w:r>
          </w:p>
        </w:tc>
        <w:tc>
          <w:tcPr/>
          <w:p>
            <w:pPr>
              <w:pStyle w:val="Compact"/>
              <w:jc w:val="right"/>
            </w:pPr>
            <w:r>
              <w:t xml:space="preserve">100.0000%</w:t>
            </w:r>
          </w:p>
        </w:tc>
        <w:tc>
          <w:tcPr/>
          <w:p>
            <w:pPr>
              <w:pStyle w:val="Compact"/>
              <w:jc w:val="right"/>
            </w:pPr>
            <w:r>
              <w:t xml:space="preserve">0.000865</w:t>
            </w:r>
          </w:p>
        </w:tc>
      </w:tr>
      <w:tr>
        <w:tc>
          <w:tcPr/>
          <w:p>
            <w:pPr>
              <w:pStyle w:val="Compact"/>
            </w:pPr>
            <w:r>
              <w:rPr>
                <w:rFonts w:hint="eastAsia"/>
              </w:rPr>
              <w:t xml:space="preserve">中型机械制造等效设施</w:t>
            </w:r>
          </w:p>
        </w:tc>
        <w:tc>
          <w:tcPr/>
          <w:p>
            <w:pPr>
              <w:pStyle w:val="Compact"/>
              <w:jc w:val="right"/>
            </w:pPr>
            <w:r>
              <w:t xml:space="preserve">27</w:t>
            </w:r>
          </w:p>
        </w:tc>
        <w:tc>
          <w:tcPr/>
          <w:p>
            <w:pPr>
              <w:pStyle w:val="Compact"/>
              <w:jc w:val="right"/>
            </w:pPr>
            <w:r>
              <w:t xml:space="preserve">96.2963%</w:t>
            </w:r>
          </w:p>
        </w:tc>
        <w:tc>
          <w:tcPr/>
          <w:p>
            <w:pPr>
              <w:pStyle w:val="Compact"/>
              <w:jc w:val="right"/>
            </w:pPr>
            <w:r>
              <w:t xml:space="preserve">0.004574</w:t>
            </w:r>
          </w:p>
        </w:tc>
      </w:tr>
      <w:tr>
        <w:tc>
          <w:tcPr/>
          <w:p>
            <w:pPr>
              <w:pStyle w:val="Compact"/>
            </w:pPr>
            <w:r>
              <w:rPr>
                <w:rFonts w:hint="eastAsia"/>
              </w:rPr>
              <w:t xml:space="preserve">小型机械制造等效设施</w:t>
            </w:r>
          </w:p>
        </w:tc>
        <w:tc>
          <w:tcPr/>
          <w:p>
            <w:pPr>
              <w:pStyle w:val="Compact"/>
              <w:jc w:val="right"/>
            </w:pPr>
            <w:r>
              <w:t xml:space="preserve">32</w:t>
            </w:r>
          </w:p>
        </w:tc>
        <w:tc>
          <w:tcPr/>
          <w:p>
            <w:pPr>
              <w:pStyle w:val="Compact"/>
              <w:jc w:val="right"/>
            </w:pPr>
            <w:r>
              <w:t xml:space="preserve">100.0000%</w:t>
            </w:r>
          </w:p>
        </w:tc>
        <w:tc>
          <w:tcPr/>
          <w:p>
            <w:pPr>
              <w:pStyle w:val="Compact"/>
              <w:jc w:val="right"/>
            </w:pPr>
            <w:r>
              <w:t xml:space="preserve">0.008235</w:t>
            </w:r>
          </w:p>
        </w:tc>
      </w:tr>
      <w:tr>
        <w:tc>
          <w:tcPr/>
          <w:p>
            <w:pPr>
              <w:pStyle w:val="Compact"/>
            </w:pPr>
            <w:r>
              <w:rPr>
                <w:rFonts w:hint="eastAsia"/>
                <w:b/>
                <w:bCs/>
              </w:rPr>
              <w:t xml:space="preserve">机械制造类合计</w:t>
            </w:r>
          </w:p>
        </w:tc>
        <w:tc>
          <w:tcPr/>
          <w:p>
            <w:pPr>
              <w:pStyle w:val="Compact"/>
              <w:jc w:val="right"/>
            </w:pPr>
            <w:r>
              <w:rPr>
                <w:b/>
                <w:bCs/>
              </w:rPr>
              <w:t xml:space="preserve">164</w:t>
            </w:r>
          </w:p>
        </w:tc>
        <w:tc>
          <w:tcPr/>
          <w:p>
            <w:pPr>
              <w:pStyle w:val="Compact"/>
              <w:jc w:val="right"/>
            </w:pPr>
            <w:r>
              <w:rPr>
                <w:b/>
                <w:bCs/>
              </w:rPr>
              <w:t xml:space="preserve">99.3902%</w:t>
            </w:r>
          </w:p>
        </w:tc>
        <w:tc>
          <w:tcPr/>
          <w:p>
            <w:pPr>
              <w:pStyle w:val="Compact"/>
              <w:jc w:val="right"/>
            </w:pPr>
            <w:r>
              <w:rPr>
                <w:rFonts w:hint="eastAsia"/>
                <w:b/>
                <w:bCs/>
              </w:rPr>
              <w:t xml:space="preserve">约</w:t>
            </w:r>
            <w:r>
              <w:rPr>
                <w:b/>
                <w:bCs/>
              </w:rPr>
              <w:t xml:space="preserve"> 0.0026</w:t>
            </w:r>
          </w:p>
        </w:tc>
      </w:tr>
    </w:tbl>
    <w:p>
      <w:pPr>
        <w:pStyle w:val="BodyText"/>
      </w:pPr>
      <w:r>
        <w:rPr>
          <w:rFonts w:hint="eastAsia"/>
        </w:rPr>
        <w:t xml:space="preserve">分设施结果显示，弗莱马斯特、格里森、哈比森-费希尔以及大、小型等效设施在独立测试中保持了稳定的等级判断。特斯拉机械制造设施覆盖从基本完好到严重破坏的较宽</w:t>
      </w:r>
      <w:r>
        <w:t xml:space="preserve"> Dk </w:t>
      </w:r>
      <w:r>
        <w:rPr>
          <w:rFonts w:hint="eastAsia"/>
        </w:rPr>
        <w:t xml:space="preserve">范围，测试准确率为</w:t>
      </w:r>
      <w:r>
        <w:t xml:space="preserve"> </w:t>
      </w:r>
      <w:r>
        <w:rPr>
          <w:rFonts w:hint="eastAsia"/>
        </w:rPr>
        <w:t xml:space="preserve">100.0000%。中型等效设施的等级误差主要出现在阈值邻近工况；结合连续</w:t>
      </w:r>
      <w:r>
        <w:t xml:space="preserve"> MAE </w:t>
      </w:r>
      <w:r>
        <w:rPr>
          <w:rFonts w:hint="eastAsia"/>
        </w:rPr>
        <w:t xml:space="preserve">可对这些边界条件进行进一步排序。</w:t>
      </w:r>
    </w:p>
    <w:p>
      <w:r>
        <w:pict>
          <v:rect style="width:0;height:1.5pt" o:hralign="center" o:hrstd="t" o:hr="t"/>
        </w:pict>
      </w:r>
    </w:p>
    <w:bookmarkEnd w:id="70"/>
    <w:bookmarkEnd w:id="71"/>
    <w:bookmarkStart w:id="75" w:name="Xe4ea58ec8ab2bce52594482509f64830211c5cb"/>
    <w:p>
      <w:pPr>
        <w:pStyle w:val="3"/>
      </w:pPr>
      <w:r>
        <w:t xml:space="preserve">8 </w:t>
      </w:r>
      <w:r>
        <w:rPr>
          <w:rFonts w:hint="eastAsia"/>
        </w:rPr>
        <w:t xml:space="preserve">仿真程序集成与结果展示</w:t>
      </w:r>
    </w:p>
    <w:bookmarkStart w:id="72" w:name="Xc6b03924a7f8c9865aba9ac4c1df243211b6e1b"/>
    <w:p>
      <w:pPr>
        <w:pStyle w:val="4"/>
      </w:pPr>
      <w:r>
        <w:t xml:space="preserve">8.1 </w:t>
      </w:r>
      <w:r>
        <w:rPr>
          <w:rFonts w:hint="eastAsia"/>
        </w:rPr>
        <w:t xml:space="preserve">集成流程</w:t>
      </w:r>
    </w:p>
    <w:p>
      <w:pPr>
        <w:pStyle w:val="FirstParagraph"/>
      </w:pPr>
      <w:r>
        <w:rPr>
          <w:rFonts w:hint="eastAsia"/>
        </w:rPr>
        <w:t xml:space="preserve">代理模型已经集成到仿真程序的工程快速预测功能中。用户完成设施选择并设置热辐射方位角、俯仰角、热通量和持续时间后，程序自动读取当前设施的建筑、开口、可燃物与敏感目标信息，形成模型输入，并完成连续</w:t>
      </w:r>
      <w:r>
        <w:t xml:space="preserve"> Dk </w:t>
      </w:r>
      <w:r>
        <w:rPr>
          <w:rFonts w:hint="eastAsia"/>
        </w:rPr>
        <w:t xml:space="preserve">与四级损伤结果计算。</w:t>
      </w:r>
    </w:p>
    <w:p>
      <w:pPr>
        <w:pStyle w:val="BodyText"/>
      </w:pPr>
      <w:r>
        <w:rPr>
          <w:rFonts w:hint="eastAsia"/>
        </w:rPr>
        <w:t xml:space="preserve">预测结果界面以设施名称和本次热源工况为基础信息，突出显示设施整体损伤等级，同时给出连续</w:t>
      </w:r>
      <w:r>
        <w:t xml:space="preserve"> </w:t>
      </w:r>
      <w:r>
        <w:rPr>
          <w:rFonts w:hint="eastAsia"/>
        </w:rPr>
        <w:t xml:space="preserve">Dk、模型综合验证准确率和计算耗时。热源参数区分别显示方位角、俯仰角、目标热通量和持续时间，使预测结果能够与具体工况对应。对于需要进一步分析的工况，可根据预测等级和</w:t>
      </w:r>
      <w:r>
        <w:t xml:space="preserve"> Dk </w:t>
      </w:r>
      <w:r>
        <w:rPr>
          <w:rFonts w:hint="eastAsia"/>
        </w:rPr>
        <w:t xml:space="preserve">与阈值的距离，选择相应</w:t>
      </w:r>
      <w:r>
        <w:t xml:space="preserve"> FDS </w:t>
      </w:r>
      <w:r>
        <w:rPr>
          <w:rFonts w:hint="eastAsia"/>
        </w:rPr>
        <w:t xml:space="preserve">方案开展精细计算。</w:t>
      </w:r>
    </w:p>
    <w:bookmarkEnd w:id="72"/>
    <w:bookmarkStart w:id="73" w:name="Xfa9ec6e3b9c43893018d1a9af702b66ab033e80"/>
    <w:p>
      <w:pPr>
        <w:pStyle w:val="4"/>
      </w:pPr>
      <w:r>
        <w:t xml:space="preserve">8.2 </w:t>
      </w:r>
      <w:r>
        <w:rPr>
          <w:rFonts w:hint="eastAsia"/>
        </w:rPr>
        <w:t xml:space="preserve">程序操作流程</w:t>
      </w:r>
    </w:p>
    <w:p>
      <w:pPr>
        <w:pStyle w:val="FirstParagraph"/>
      </w:pPr>
      <w:r>
        <w:rPr>
          <w:rFonts w:hint="eastAsia"/>
          <w:b/>
          <w:bCs/>
        </w:rPr>
        <w:t xml:space="preserve">表</w:t>
      </w:r>
      <w:r>
        <w:rPr>
          <w:b/>
          <w:bCs/>
        </w:rPr>
        <w:t xml:space="preserve"> 12 </w:t>
      </w:r>
      <w:r>
        <w:rPr>
          <w:rFonts w:hint="eastAsia"/>
          <w:b/>
          <w:bCs/>
        </w:rPr>
        <w:t xml:space="preserve">工程快速预测操作流程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阶段</w:t>
            </w:r>
          </w:p>
        </w:tc>
        <w:tc>
          <w:tcPr/>
          <w:p>
            <w:pPr>
              <w:pStyle w:val="Compact"/>
            </w:pPr>
            <w:r>
              <w:rPr>
                <w:rFonts w:hint="eastAsia"/>
              </w:rPr>
              <w:t xml:space="preserve">程序操作</w:t>
            </w:r>
          </w:p>
        </w:tc>
        <w:tc>
          <w:tcPr/>
          <w:p>
            <w:pPr>
              <w:pStyle w:val="Compact"/>
            </w:pPr>
            <w:r>
              <w:rPr>
                <w:rFonts w:hint="eastAsia"/>
              </w:rPr>
              <w:t xml:space="preserve">输出内容</w:t>
            </w:r>
          </w:p>
        </w:tc>
      </w:tr>
      <w:tr>
        <w:tc>
          <w:tcPr/>
          <w:p>
            <w:pPr>
              <w:pStyle w:val="Compact"/>
              <w:jc w:val="right"/>
            </w:pPr>
            <w:r>
              <w:t xml:space="preserve">1</w:t>
            </w:r>
          </w:p>
        </w:tc>
        <w:tc>
          <w:tcPr/>
          <w:p>
            <w:pPr>
              <w:pStyle w:val="Compact"/>
            </w:pPr>
            <w:r>
              <w:rPr>
                <w:rFonts w:hint="eastAsia"/>
              </w:rPr>
              <w:t xml:space="preserve">选择机械制造设施及规模</w:t>
            </w:r>
          </w:p>
        </w:tc>
        <w:tc>
          <w:tcPr/>
          <w:p>
            <w:pPr>
              <w:pStyle w:val="Compact"/>
            </w:pPr>
            <w:r>
              <w:rPr>
                <w:rFonts w:hint="eastAsia"/>
              </w:rPr>
              <w:t xml:space="preserve">确定设施类别、建筑和目标参数</w:t>
            </w:r>
          </w:p>
        </w:tc>
      </w:tr>
      <w:tr>
        <w:tc>
          <w:tcPr/>
          <w:p>
            <w:pPr>
              <w:pStyle w:val="Compact"/>
              <w:jc w:val="right"/>
            </w:pPr>
            <w:r>
              <w:t xml:space="preserve">2</w:t>
            </w:r>
          </w:p>
        </w:tc>
        <w:tc>
          <w:tcPr/>
          <w:p>
            <w:pPr>
              <w:pStyle w:val="Compact"/>
            </w:pPr>
            <w:r>
              <w:rPr>
                <w:rFonts w:hint="eastAsia"/>
              </w:rPr>
              <w:t xml:space="preserve">输入热辐射参数</w:t>
            </w:r>
          </w:p>
        </w:tc>
        <w:tc>
          <w:tcPr/>
          <w:p>
            <w:pPr>
              <w:pStyle w:val="Compact"/>
            </w:pPr>
            <w:r>
              <w:rPr>
                <w:rFonts w:hint="eastAsia"/>
              </w:rPr>
              <w:t xml:space="preserve">方位角、俯仰角、热通量、持续时间</w:t>
            </w:r>
          </w:p>
        </w:tc>
      </w:tr>
      <w:tr>
        <w:tc>
          <w:tcPr/>
          <w:p>
            <w:pPr>
              <w:pStyle w:val="Compact"/>
              <w:jc w:val="right"/>
            </w:pPr>
            <w:r>
              <w:t xml:space="preserve">3</w:t>
            </w:r>
          </w:p>
        </w:tc>
        <w:tc>
          <w:tcPr/>
          <w:p>
            <w:pPr>
              <w:pStyle w:val="Compact"/>
            </w:pPr>
            <w:r>
              <w:rPr>
                <w:rFonts w:hint="eastAsia"/>
              </w:rPr>
              <w:t xml:space="preserve">自动生成模型参数</w:t>
            </w:r>
          </w:p>
        </w:tc>
        <w:tc>
          <w:tcPr/>
          <w:p>
            <w:pPr>
              <w:pStyle w:val="Compact"/>
            </w:pPr>
            <w:r>
              <w:rPr>
                <w:rFonts w:hint="eastAsia"/>
              </w:rPr>
              <w:t xml:space="preserve">热源工况特征与设施构型及目标特征</w:t>
            </w:r>
          </w:p>
        </w:tc>
      </w:tr>
      <w:tr>
        <w:tc>
          <w:tcPr/>
          <w:p>
            <w:pPr>
              <w:pStyle w:val="Compact"/>
              <w:jc w:val="right"/>
            </w:pPr>
            <w:r>
              <w:t xml:space="preserve">4</w:t>
            </w:r>
          </w:p>
        </w:tc>
        <w:tc>
          <w:tcPr/>
          <w:p>
            <w:pPr>
              <w:pStyle w:val="Compact"/>
            </w:pPr>
            <w:r>
              <w:rPr>
                <w:rFonts w:hint="eastAsia"/>
              </w:rPr>
              <w:t xml:space="preserve">执行代理模型计算</w:t>
            </w:r>
          </w:p>
        </w:tc>
        <w:tc>
          <w:tcPr/>
          <w:p>
            <w:pPr>
              <w:pStyle w:val="Compact"/>
            </w:pPr>
            <w:r>
              <w:rPr>
                <w:rFonts w:hint="eastAsia"/>
              </w:rPr>
              <w:t xml:space="preserve">连续</w:t>
            </w:r>
            <w:r>
              <w:t xml:space="preserve"> Dk </w:t>
            </w:r>
            <w:r>
              <w:rPr>
                <w:rFonts w:hint="eastAsia"/>
              </w:rPr>
              <w:t xml:space="preserve">和四级损伤结果</w:t>
            </w:r>
          </w:p>
        </w:tc>
      </w:tr>
      <w:tr>
        <w:tc>
          <w:tcPr/>
          <w:p>
            <w:pPr>
              <w:pStyle w:val="Compact"/>
              <w:jc w:val="right"/>
            </w:pPr>
            <w:r>
              <w:t xml:space="preserve">5</w:t>
            </w:r>
          </w:p>
        </w:tc>
        <w:tc>
          <w:tcPr/>
          <w:p>
            <w:pPr>
              <w:pStyle w:val="Compact"/>
            </w:pPr>
            <w:r>
              <w:rPr>
                <w:rFonts w:hint="eastAsia"/>
              </w:rPr>
              <w:t xml:space="preserve">展示并保存结果</w:t>
            </w:r>
          </w:p>
        </w:tc>
        <w:tc>
          <w:tcPr/>
          <w:p>
            <w:pPr>
              <w:pStyle w:val="Compact"/>
            </w:pPr>
            <w:r>
              <w:rPr>
                <w:rFonts w:hint="eastAsia"/>
              </w:rPr>
              <w:t xml:space="preserve">损伤等级、Dk、工况参数和计算信息</w:t>
            </w:r>
          </w:p>
        </w:tc>
      </w:tr>
    </w:tbl>
    <w:bookmarkEnd w:id="73"/>
    <w:bookmarkStart w:id="74" w:name="Xab43caf1816ee97c20d9a8b07bf808be5027af9"/>
    <w:p>
      <w:pPr>
        <w:pStyle w:val="4"/>
      </w:pPr>
      <w:r>
        <w:t xml:space="preserve">8.3 </w:t>
      </w:r>
      <w:r>
        <w:rPr>
          <w:rFonts w:hint="eastAsia"/>
        </w:rPr>
        <w:t xml:space="preserve">工程预测界面</w:t>
      </w:r>
    </w:p>
    <w:tbl>
      <w:tblPr>
        <w:tblStyle w:val="Table"/>
        <w:tblW w:type="auto" w:w="0"/>
        <w:tblLook w:firstRow="1" w:lastRow="0" w:firstColumn="0" w:lastColumn="0" w:noHBand="0" w:noVBand="0" w:val="0020"/>
      </w:tblPr>
      <w:tblGrid>
        <w:gridCol w:w="7920"/>
      </w:tblGrid>
      <w:tr>
        <w:trPr>
          <w:tblHeader w:val="on"/>
        </w:trPr>
        <w:tc>
          <w:tcPr/>
          <w:p>
            <w:pPr>
              <w:pStyle w:val="Compact"/>
            </w:pPr>
          </w:p>
        </w:tc>
      </w:tr>
      <w:tr>
        <w:tc>
          <w:tcPr/>
          <w:p>
            <w:pPr>
              <w:pStyle w:val="Compact"/>
              <w:jc w:val="center"/>
            </w:pPr>
            <w:r>
              <w:rPr>
                <w:rFonts w:hint="eastAsia"/>
                <w:b/>
                <w:bCs/>
              </w:rPr>
              <w:t xml:space="preserve">图</w:t>
            </w:r>
            <w:r>
              <w:rPr>
                <w:b/>
                <w:bCs/>
              </w:rPr>
              <w:t xml:space="preserve"> 3 </w:t>
            </w:r>
            <w:r>
              <w:rPr>
                <w:rFonts w:hint="eastAsia"/>
                <w:b/>
                <w:bCs/>
              </w:rPr>
              <w:t xml:space="preserve">预留位置：机械制造设施工程预测结果界面截图</w:t>
            </w:r>
          </w:p>
        </w:tc>
      </w:tr>
      <w:tr>
        <w:tc>
          <w:tcPr/>
          <w:p>
            <w:pPr>
              <w:pStyle w:val="Compact"/>
              <w:jc w:val="center"/>
            </w:pPr>
            <w:r>
              <w:rPr>
                <w:rFonts w:hint="eastAsia"/>
                <w:i/>
                <w:iCs/>
              </w:rPr>
              <w:t xml:space="preserve">建议截图内容包括设施名称、整体损伤等级、连续</w:t>
            </w:r>
            <w:r>
              <w:rPr>
                <w:i/>
                <w:iCs/>
              </w:rPr>
              <w:t xml:space="preserve"> </w:t>
            </w:r>
            <w:r>
              <w:rPr>
                <w:rFonts w:hint="eastAsia"/>
                <w:i/>
                <w:iCs/>
              </w:rPr>
              <w:t xml:space="preserve">Dk、综合验证准确率、热源参数和计算耗时。</w:t>
            </w:r>
          </w:p>
        </w:tc>
      </w:tr>
    </w:tbl>
    <w:p>
      <w:pPr>
        <w:pStyle w:val="BodyText"/>
      </w:pPr>
      <w:r>
        <w:rPr>
          <w:rFonts w:hint="eastAsia"/>
        </w:rPr>
        <w:t xml:space="preserve">程序集成使单个热辐射工况能够快速完成设施级损伤判断，并保持与离线模型评价相同的参数定义。该功能适合用于批量工况初筛、重点方向识别和精细仿真方案准备。</w:t>
      </w:r>
    </w:p>
    <w:p>
      <w:r>
        <w:pict>
          <v:rect style="width:0;height:1.5pt" o:hralign="center" o:hrstd="t" o:hr="t"/>
        </w:pict>
      </w:r>
    </w:p>
    <w:bookmarkEnd w:id="74"/>
    <w:bookmarkEnd w:id="75"/>
    <w:bookmarkStart w:id="76" w:name="X3e8fbe284957526007c26bec7e8de2cb2bfba54"/>
    <w:p>
      <w:pPr>
        <w:pStyle w:val="3"/>
      </w:pPr>
      <w:r>
        <w:t xml:space="preserve">9 </w:t>
      </w:r>
      <w:r>
        <w:rPr>
          <w:rFonts w:hint="eastAsia"/>
        </w:rPr>
        <w:t xml:space="preserve">总结</w:t>
      </w:r>
    </w:p>
    <w:p>
      <w:pPr>
        <w:pStyle w:val="FirstParagraph"/>
      </w:pPr>
      <w:r>
        <w:rPr>
          <w:rFonts w:hint="eastAsia"/>
        </w:rPr>
        <w:t xml:space="preserve">本研究建立了面向机械制造设施的</w:t>
      </w:r>
      <w:r>
        <w:t xml:space="preserve"> FDS </w:t>
      </w:r>
      <w:r>
        <w:rPr>
          <w:rFonts w:hint="eastAsia"/>
        </w:rPr>
        <w:t xml:space="preserve">数据驱动工程预测方法。合格数据覆盖</w:t>
      </w:r>
      <w:r>
        <w:t xml:space="preserve"> 7 </w:t>
      </w:r>
      <w:r>
        <w:rPr>
          <w:rFonts w:hint="eastAsia"/>
        </w:rPr>
        <w:t xml:space="preserve">个机械制造设施、803</w:t>
      </w:r>
      <w:r>
        <w:t xml:space="preserve"> </w:t>
      </w:r>
      <w:r>
        <w:rPr>
          <w:rFonts w:hint="eastAsia"/>
        </w:rPr>
        <w:t xml:space="preserve">条热辐射工况，并与其他设施数据共同构成</w:t>
      </w:r>
      <w:r>
        <w:t xml:space="preserve"> 6584 </w:t>
      </w:r>
      <w:r>
        <w:rPr>
          <w:rFonts w:hint="eastAsia"/>
        </w:rPr>
        <w:t xml:space="preserve">条合格训练样本。模型以热源工况特征与设施构型及目标特征为输入，能够综合表达热通量、持续时间、受热方向、厂房尺度、建筑开口和生产设备分布对设施级</w:t>
      </w:r>
      <w:r>
        <w:t xml:space="preserve"> Dk </w:t>
      </w:r>
      <w:r>
        <w:rPr>
          <w:rFonts w:hint="eastAsia"/>
        </w:rPr>
        <w:t xml:space="preserve">的影响。</w:t>
      </w:r>
    </w:p>
    <w:p>
      <w:pPr>
        <w:pStyle w:val="BodyText"/>
      </w:pPr>
      <w:r>
        <w:rPr>
          <w:rFonts w:hint="eastAsia"/>
        </w:rPr>
        <w:t xml:space="preserve">等级约束</w:t>
      </w:r>
      <w:r>
        <w:t xml:space="preserve"> ExtraTrees </w:t>
      </w:r>
      <w:r>
        <w:rPr>
          <w:rFonts w:hint="eastAsia"/>
        </w:rPr>
        <w:t xml:space="preserve">模型采用</w:t>
      </w:r>
      <w:r>
        <w:t xml:space="preserve"> 50 </w:t>
      </w:r>
      <w:r>
        <w:rPr>
          <w:rFonts w:hint="eastAsia"/>
        </w:rPr>
        <w:t xml:space="preserve">棵回归树和</w:t>
      </w:r>
      <w:r>
        <w:t xml:space="preserve"> 50 </w:t>
      </w:r>
      <w:r>
        <w:rPr>
          <w:rFonts w:hint="eastAsia"/>
        </w:rPr>
        <w:t xml:space="preserve">棵分类树，同时输出连续</w:t>
      </w:r>
      <w:r>
        <w:t xml:space="preserve"> Dk </w:t>
      </w:r>
      <w:r>
        <w:rPr>
          <w:rFonts w:hint="eastAsia"/>
        </w:rPr>
        <w:t xml:space="preserve">和四级损伤结果。综合五折等级准确率为</w:t>
      </w:r>
      <w:r>
        <w:t xml:space="preserve"> </w:t>
      </w:r>
      <w:r>
        <w:rPr>
          <w:rFonts w:hint="eastAsia"/>
        </w:rPr>
        <w:t xml:space="preserve">96.3244%，独立测试等级准确率为</w:t>
      </w:r>
      <w:r>
        <w:t xml:space="preserve"> </w:t>
      </w:r>
      <w:r>
        <w:rPr>
          <w:rFonts w:hint="eastAsia"/>
        </w:rPr>
        <w:t xml:space="preserve">97.2973%；机械制造类专项独立测试准确率为</w:t>
      </w:r>
      <w:r>
        <w:t xml:space="preserve"> </w:t>
      </w:r>
      <w:r>
        <w:rPr>
          <w:rFonts w:hint="eastAsia"/>
        </w:rPr>
        <w:t xml:space="preserve">99.3902%。综合结果与专项结果共同表明，模型在当前工况范围内能够稳定完成机械制造设施的工程等级判断。</w:t>
      </w:r>
    </w:p>
    <w:p>
      <w:pPr>
        <w:pStyle w:val="BodyText"/>
      </w:pPr>
      <w:r>
        <w:rPr>
          <w:rFonts w:hint="eastAsia"/>
        </w:rPr>
        <w:t xml:space="preserve">机械制造专项因素分析表明，俯仰角、热剂量和热通量是影响</w:t>
      </w:r>
      <w:r>
        <w:t xml:space="preserve"> Dk </w:t>
      </w:r>
      <w:r>
        <w:rPr>
          <w:rFonts w:hint="eastAsia"/>
        </w:rPr>
        <w:t xml:space="preserve">与等级水平的重要因素，方位角、迎火侧总开口比例和敏感目标比例进一步决定方向差异。不同方向和工况下的损伤响应差异反映了特异设施对象差异以及大、中、小等效设施的尺度效应。</w:t>
      </w:r>
    </w:p>
    <w:p>
      <w:pPr>
        <w:pStyle w:val="BodyText"/>
      </w:pPr>
      <w:r>
        <w:rPr>
          <w:rFonts w:hint="eastAsia"/>
        </w:rPr>
        <w:t xml:space="preserve">当前模型已经完成仿真程序集成，可用于已建模机械制造设施的快速工况筛查和阈值分析。后续工作可结合新增模拟工况持续丰富等级边界附近和高热负荷区域的数据，使阈值分布描述更加细致，并进一步提升工程应用中的结果解释能力。</w:t>
      </w:r>
    </w:p>
    <w:p>
      <w:r>
        <w:pict>
          <v:rect style="width:0;height:1.5pt" o:hralign="center" o:hrstd="t" o:hr="t"/>
        </w:pict>
      </w:r>
    </w:p>
    <w:bookmarkEnd w:id="76"/>
    <w:bookmarkStart w:id="77" w:name="参考文献"/>
    <w:p>
      <w:pPr>
        <w:pStyle w:val="3"/>
      </w:pPr>
      <w:r>
        <w:rPr>
          <w:rFonts w:hint="eastAsia"/>
        </w:rPr>
        <w:t xml:space="preserve">参考文献</w:t>
      </w:r>
    </w:p>
    <w:p>
      <w:pPr>
        <w:pStyle w:val="Compact"/>
        <w:numPr>
          <w:ilvl w:val="0"/>
          <w:numId w:val="1001"/>
        </w:numPr>
      </w:pPr>
      <w:r>
        <w:t xml:space="preserve">HURLEY M J, GOTTUK D T, HALL J R Jr, et al.</w:t>
      </w:r>
      <w:r>
        <w:t xml:space="preserve"> </w:t>
      </w:r>
      <w:r>
        <w:rPr>
          <w:i/>
          <w:iCs/>
        </w:rPr>
        <w:t xml:space="preserve">SFPE Handbook of Fire Protection Engineering</w:t>
      </w:r>
      <w:r>
        <w:t xml:space="preserve"> </w:t>
      </w:r>
      <w:r>
        <w:t xml:space="preserve">[M]. 5th ed. New York: Springer, 2016.</w:t>
      </w:r>
    </w:p>
    <w:p>
      <w:pPr>
        <w:pStyle w:val="Compact"/>
        <w:numPr>
          <w:ilvl w:val="0"/>
          <w:numId w:val="1001"/>
        </w:numPr>
      </w:pPr>
      <w:r>
        <w:t xml:space="preserve">DRYSDALE D.</w:t>
      </w:r>
      <w:r>
        <w:t xml:space="preserve"> </w:t>
      </w:r>
      <w:r>
        <w:rPr>
          <w:i/>
          <w:iCs/>
        </w:rPr>
        <w:t xml:space="preserve">An Introduction to Fire Dynamics</w:t>
      </w:r>
      <w:r>
        <w:t xml:space="preserve"> </w:t>
      </w:r>
      <w:r>
        <w:t xml:space="preserve">[M]. 3rd ed. Chichester: Wiley, 2011.</w:t>
      </w:r>
    </w:p>
    <w:p>
      <w:pPr>
        <w:pStyle w:val="Compact"/>
        <w:numPr>
          <w:ilvl w:val="0"/>
          <w:numId w:val="1001"/>
        </w:numPr>
      </w:pPr>
      <w:r>
        <w:t xml:space="preserve">MCGRATTAN K, HOSTIKKA S, MCDERMOTT R, et al.</w:t>
      </w:r>
      <w:r>
        <w:t xml:space="preserve"> </w:t>
      </w:r>
      <w:r>
        <w:rPr>
          <w:i/>
          <w:iCs/>
        </w:rPr>
        <w:t xml:space="preserve">Fire Dynamics Simulator Technical Reference Guide</w:t>
      </w:r>
      <w:r>
        <w:t xml:space="preserve"> </w:t>
      </w:r>
      <w:r>
        <w:t xml:space="preserve">[R]. National Institute of Standards and Technology.</w:t>
      </w:r>
    </w:p>
    <w:p>
      <w:pPr>
        <w:pStyle w:val="Compact"/>
        <w:numPr>
          <w:ilvl w:val="0"/>
          <w:numId w:val="1001"/>
        </w:numPr>
      </w:pPr>
      <w:r>
        <w:t xml:space="preserve">MCGRATTAN K, HOSTIKKA S, MCDERMOTT R, et al.</w:t>
      </w:r>
      <w:r>
        <w:t xml:space="preserve"> </w:t>
      </w:r>
      <w:r>
        <w:rPr>
          <w:i/>
          <w:iCs/>
        </w:rPr>
        <w:t xml:space="preserve">Fire Dynamics Simulator User's Guide</w:t>
      </w:r>
      <w:r>
        <w:t xml:space="preserve"> </w:t>
      </w:r>
      <w:r>
        <w:t xml:space="preserve">[R]. National Institute of Standards and Technology.</w:t>
      </w:r>
    </w:p>
    <w:p>
      <w:pPr>
        <w:pStyle w:val="Compact"/>
        <w:numPr>
          <w:ilvl w:val="0"/>
          <w:numId w:val="1001"/>
        </w:numPr>
      </w:pPr>
      <w:r>
        <w:t xml:space="preserve">GEURTS P, ERNST D, WEHENKEL L. Extremely randomized trees [J].</w:t>
      </w:r>
      <w:r>
        <w:t xml:space="preserve"> </w:t>
      </w:r>
      <w:r>
        <w:rPr>
          <w:i/>
          <w:iCs/>
        </w:rPr>
        <w:t xml:space="preserve">Machine Learning</w:t>
      </w:r>
      <w:r>
        <w:t xml:space="preserve">, 2006, 63: 3–42.</w:t>
      </w:r>
    </w:p>
    <w:p>
      <w:pPr>
        <w:pStyle w:val="Compact"/>
        <w:numPr>
          <w:ilvl w:val="0"/>
          <w:numId w:val="1001"/>
        </w:numPr>
      </w:pPr>
      <w:r>
        <w:t xml:space="preserve">PEDREGOSA F, VAROQUAUX G, GRAMFORT A, et al. Scikit-learn: Machine learning in Python [J].</w:t>
      </w:r>
      <w:r>
        <w:t xml:space="preserve"> </w:t>
      </w:r>
      <w:r>
        <w:rPr>
          <w:i/>
          <w:iCs/>
        </w:rPr>
        <w:t xml:space="preserve">Journal of Machine Learning Research</w:t>
      </w:r>
      <w:r>
        <w:t xml:space="preserve">, 2011, 12: 2825–2830.</w:t>
      </w:r>
    </w:p>
    <w:bookmarkEnd w:id="77"/>
    <w:bookmarkEnd w:id="78"/>
    <w:sectPr>
      <w:footerReference r:id="rId10" w:type="default"/>
      <w:pgSz w:h="16838" w:w="11906"/>
      <w:pgMar w:bottom="1440" w:footer="992" w:gutter="0" w:header="851" w:left="1800" w:right="1800" w:top="1440"/>
      <w:pgNumType w:fmt="decimal"/>
      <w:cols w:num="1" w:space="720"/>
      <w:docGrid w:charSpace="0"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panose1 w:val="02010600030101010101"/>
    <w:charset w:val="7A"/>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0F3C52" w:usb2="00000016" w:usb3="00000000" w:csb0="0004001F" w:csb1="00000000"/>
  </w:font>
  <w:font w:name="Arial">
    <w:panose1 w:val="020B0604020202020204"/>
    <w:charset w:val="01"/>
    <w:family w:val="swiss"/>
    <w:pitch w:val="default"/>
    <w:sig w:usb0="00007A87" w:usb1="80000000" w:usb2="00000008" w:usb3="00000000" w:csb0="400001FF" w:csb1="FFFF0000"/>
  </w:font>
  <w:font w:name="Courier New">
    <w:panose1 w:val="02070309020205020404"/>
    <w:charset w:val="01"/>
    <w:family w:val="modern"/>
    <w:pitch w:val="default"/>
    <w:sig w:usb0="E0002AFF" w:usb1="C0007843" w:usb2="00000009" w:usb3="00000000" w:csb0="400001FF" w:csb1="FFFF0000"/>
  </w:font>
  <w:font w:name="等线 Light">
    <w:altName w:val="SimSun"/>
    <w:panose1 w:val="02010600030101010101"/>
    <w:charset w:val="86"/>
    <w:family w:val="auto"/>
    <w:pitch w:val="default"/>
    <w:sig w:usb0="00000000" w:usb1="00000000" w:usb2="00000016" w:usb3="00000000" w:csb0="0004000F" w:csb1="00000000"/>
  </w:font>
  <w:font w:name="SimSun">
    <w:panose1 w:val="02010600030101010101"/>
    <w:charset w:val="86"/>
    <w:family w:val="auto"/>
    <w:pitch w:val="default"/>
    <w:sig w:usb0="00000003" w:usb1="080E0000" w:usb2="00000000"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仿宋">
    <w:altName w:val="宋体"/>
    <w:panose1 w:val="02010609060101010101"/>
    <w:charset w:val="86"/>
    <w:family w:val="modern"/>
    <w:pitch w:val="default"/>
    <w:sig w:usb0="00000000" w:usb1="00000000" w:usb2="00000016" w:usb3="00000000" w:csb0="00040001" w:csb1="00000000"/>
  </w:font>
  <w:font w:name="仿宋_GB2312">
    <w:altName w:val="宋体"/>
    <w:panose1 w:val="02010609030101010101"/>
    <w:charset w:val="86"/>
    <w:family w:val="modern"/>
    <w:pitch w:val="default"/>
    <w:sig w:usb0="00000000" w:usb1="00000000" w:usb2="00000000" w:usb3="00000000" w:csb0="00040000" w:csb1="0000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Microsoft YaHei">
    <w:panose1 w:val="020B0503020204020204"/>
    <w:charset w:val="86"/>
    <w:family w:val="auto"/>
    <w:pitch w:val="default"/>
    <w:sig w:usb0="80000287" w:usb1="2A0F3C52" w:usb2="00000016" w:usb3="00000000" w:csb0="0004001F" w:csb1="00000000"/>
  </w:font>
  <w:font w:name="Tahoma">
    <w:altName w:val="noto sans thai"/>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FC2BA">
    <w:pPr>
      <w:pStyle w:val="21"/>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6AB5B">
    <w:pPr>
      <w:pStyle w:val="21"/>
      <w:framePr w:wrap="around" w:vAnchor="text" w:hAnchor="margin" w:xAlign="outside" w:y="1"/>
      <w:rPr>
        <w:rStyle w:val="25"/>
      </w:rPr>
    </w:pPr>
    <w:r>
      <w:fldChar w:fldCharType="begin"/>
    </w:r>
    <w:r>
      <w:rPr>
        <w:rStyle w:val="25"/>
      </w:rPr>
      <w:instrText xml:space="preserve">PAGE  </w:instrText>
    </w:r>
    <w:r>
      <w:fldChar w:fldCharType="end"/>
    </w:r>
  </w:p>
  <w:p w14:paraId="43305302">
    <w:pPr>
      <w:pStyle w:val="21"/>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E1AED">
    <w:pPr>
      <w:pStyle w:val="21"/>
      <w:jc w:val="center"/>
    </w:pPr>
    <w:r>
      <w:fldChar w:fldCharType="begin"/>
    </w:r>
    <w:r>
      <w:instrText xml:space="preserve"> PAGE   \* MERGEFORMAT </w:instrText>
    </w:r>
    <w:r>
      <w:fldChar w:fldCharType="separate"/>
    </w:r>
    <w:r>
      <w:rPr>
        <w:lang w:val="zh-CN" w:eastAsia="zh-CN"/>
      </w:rPr>
      <w:t>I</w:t>
    </w:r>
    <w:r>
      <w:fldChar w:fldCharType="end"/>
    </w:r>
  </w:p>
  <w:p w14:paraId="5EDA7356">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75B21">
    <w:pPr>
      <w:pStyle w:val="21"/>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68977">
    <w:pPr>
      <w:pStyle w:val="21"/>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DEF28">
    <w:pPr>
      <w:pStyle w:val="22"/>
      <w:ind w:firstLine="360"/>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31C24E67"/>
    <w:multiLevelType w:val="multilevel"/>
    <w:tmpl w:val="31C24E67"/>
    <w:lvl w:ilvl="0" w:tentative="0">
      <w:start w:val="1"/>
      <w:numFmt w:val="decimal"/>
      <w:pStyle w:val="56"/>
      <w:lvlText w:val="[%1]"/>
      <w:lvlJc w:val="left"/>
      <w:pPr>
        <w:ind w:hanging="420" w:left="420"/>
      </w:pPr>
      <w:rPr>
        <w:rFonts w:hint="eastAsia"/>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1">
    <w:nsid w:val="63A9678D"/>
    <w:multiLevelType w:val="multilevel"/>
    <w:tmpl w:val="63A9678D"/>
    <w:lvl w:ilvl="0" w:tentative="0">
      <w:start w:val="1"/>
      <w:numFmt w:val="decimal"/>
      <w:pStyle w:val="2"/>
      <w:lvlText w:val="%1."/>
      <w:lvlJc w:val="left"/>
      <w:pPr>
        <w:ind w:hanging="432" w:left="432"/>
      </w:pPr>
      <w:rPr>
        <w:rFonts w:hint="default"/>
      </w:rPr>
    </w:lvl>
    <w:lvl w:ilvl="1" w:tentative="0">
      <w:start w:val="1"/>
      <w:numFmt w:val="decimal"/>
      <w:pStyle w:val="3"/>
      <w:lvlText w:val="%1.%2."/>
      <w:lvlJc w:val="left"/>
      <w:pPr>
        <w:ind w:hanging="575" w:left="575"/>
      </w:pPr>
      <w:rPr>
        <w:rFonts w:hint="default"/>
      </w:rPr>
    </w:lvl>
    <w:lvl w:ilvl="2" w:tentative="0">
      <w:start w:val="1"/>
      <w:numFmt w:val="decimal"/>
      <w:pStyle w:val="4"/>
      <w:lvlText w:val="%1.%2.%3."/>
      <w:lvlJc w:val="left"/>
      <w:pPr>
        <w:ind w:hanging="720" w:left="720"/>
      </w:pPr>
      <w:rPr>
        <w:rFonts w:hint="default"/>
      </w:rPr>
    </w:lvl>
    <w:lvl w:ilvl="3" w:tentative="0">
      <w:start w:val="1"/>
      <w:numFmt w:val="decimal"/>
      <w:pStyle w:val="5"/>
      <w:lvlText w:val="%1.%2.%3.%4."/>
      <w:lvlJc w:val="left"/>
      <w:pPr>
        <w:ind w:hanging="864" w:left="864"/>
      </w:pPr>
      <w:rPr>
        <w:rFonts w:hint="default"/>
      </w:rPr>
    </w:lvl>
    <w:lvl w:ilvl="4" w:tentative="0">
      <w:start w:val="1"/>
      <w:numFmt w:val="decimal"/>
      <w:pStyle w:val="6"/>
      <w:lvlText w:val="%1.%2.%3.%4.%5."/>
      <w:lvlJc w:val="left"/>
      <w:pPr>
        <w:ind w:hanging="1008" w:left="1008"/>
      </w:pPr>
      <w:rPr>
        <w:rFonts w:hint="default"/>
      </w:rPr>
    </w:lvl>
    <w:lvl w:ilvl="5" w:tentative="0">
      <w:start w:val="1"/>
      <w:numFmt w:val="decimal"/>
      <w:pStyle w:val="7"/>
      <w:lvlText w:val="%1.%2.%3.%4.%5.%6."/>
      <w:lvlJc w:val="left"/>
      <w:pPr>
        <w:ind w:hanging="1151" w:left="1151"/>
      </w:pPr>
      <w:rPr>
        <w:rFonts w:hint="default"/>
      </w:rPr>
    </w:lvl>
    <w:lvl w:ilvl="6" w:tentative="0">
      <w:start w:val="1"/>
      <w:numFmt w:val="decimal"/>
      <w:pStyle w:val="8"/>
      <w:lvlText w:val="%1.%2.%3.%4.%5.%6.%7."/>
      <w:lvlJc w:val="left"/>
      <w:pPr>
        <w:ind w:hanging="1296" w:left="1296"/>
      </w:pPr>
      <w:rPr>
        <w:rFonts w:hint="default"/>
      </w:rPr>
    </w:lvl>
    <w:lvl w:ilvl="7" w:tentative="0">
      <w:start w:val="1"/>
      <w:numFmt w:val="decimal"/>
      <w:pStyle w:val="9"/>
      <w:lvlText w:val="%1.%2.%3.%4.%5.%6.%7.%8."/>
      <w:lvlJc w:val="left"/>
      <w:pPr>
        <w:ind w:hanging="1440" w:left="1440"/>
      </w:pPr>
      <w:rPr>
        <w:rFonts w:hint="default"/>
      </w:rPr>
    </w:lvl>
    <w:lvl w:ilvl="8" w:tentative="0">
      <w:start w:val="1"/>
      <w:numFmt w:val="decimal"/>
      <w:pStyle w:val="10"/>
      <w:lvlText w:val="%1.%2.%3.%4.%5.%6.%7.%8.%9."/>
      <w:lvlJc w:val="left"/>
      <w:pPr>
        <w:ind w:hanging="1583" w:left="1583"/>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0"/>
  <w:noPunctuationKerning w:val="1"/>
  <w:characterSpacingControl w:val="compressPunctuation"/>
  <w:savePreviewPicture/>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lZDZiNDNiNWM1NWFiMTM2ZTY0ODJhNzA5MDBmYmYifQ=="/>
  </w:docVars>
  <w:rsids>
    <w:rsidRoot w:val="00172A27"/>
    <w:rsid w:val="000037B7"/>
    <w:rsid w:val="000046DB"/>
    <w:rsid w:val="0003369C"/>
    <w:rsid w:val="00050683"/>
    <w:rsid w:val="00073CA5"/>
    <w:rsid w:val="000A17B4"/>
    <w:rsid w:val="000A63CD"/>
    <w:rsid w:val="000A7EFE"/>
    <w:rsid w:val="00112CE7"/>
    <w:rsid w:val="00117D12"/>
    <w:rsid w:val="00131460"/>
    <w:rsid w:val="00157FA7"/>
    <w:rsid w:val="0016476A"/>
    <w:rsid w:val="001F7C08"/>
    <w:rsid w:val="002147EA"/>
    <w:rsid w:val="0022650D"/>
    <w:rsid w:val="0026379B"/>
    <w:rsid w:val="002725A0"/>
    <w:rsid w:val="00283693"/>
    <w:rsid w:val="002A3D33"/>
    <w:rsid w:val="002C352B"/>
    <w:rsid w:val="002D0193"/>
    <w:rsid w:val="002F7AEA"/>
    <w:rsid w:val="00313F1A"/>
    <w:rsid w:val="00324B9E"/>
    <w:rsid w:val="00345197"/>
    <w:rsid w:val="0037261A"/>
    <w:rsid w:val="003866E0"/>
    <w:rsid w:val="003A322B"/>
    <w:rsid w:val="003D1E4B"/>
    <w:rsid w:val="003E2F07"/>
    <w:rsid w:val="003E5EF5"/>
    <w:rsid w:val="003F1D39"/>
    <w:rsid w:val="00403904"/>
    <w:rsid w:val="004136B4"/>
    <w:rsid w:val="004235C7"/>
    <w:rsid w:val="00425F86"/>
    <w:rsid w:val="00445B98"/>
    <w:rsid w:val="00471694"/>
    <w:rsid w:val="00494233"/>
    <w:rsid w:val="004D5A68"/>
    <w:rsid w:val="004E677A"/>
    <w:rsid w:val="00530FA8"/>
    <w:rsid w:val="00533B1E"/>
    <w:rsid w:val="00561FC4"/>
    <w:rsid w:val="005861AC"/>
    <w:rsid w:val="005D49BC"/>
    <w:rsid w:val="005D76DC"/>
    <w:rsid w:val="006874FC"/>
    <w:rsid w:val="006A7110"/>
    <w:rsid w:val="006D0DFC"/>
    <w:rsid w:val="006D66E9"/>
    <w:rsid w:val="006E7E2A"/>
    <w:rsid w:val="00717B5D"/>
    <w:rsid w:val="00796109"/>
    <w:rsid w:val="007A2452"/>
    <w:rsid w:val="007B06D6"/>
    <w:rsid w:val="00837C97"/>
    <w:rsid w:val="00845A38"/>
    <w:rsid w:val="00863C20"/>
    <w:rsid w:val="0086431E"/>
    <w:rsid w:val="00880723"/>
    <w:rsid w:val="0089676B"/>
    <w:rsid w:val="008A52F2"/>
    <w:rsid w:val="008B2549"/>
    <w:rsid w:val="008D7757"/>
    <w:rsid w:val="008D7CA9"/>
    <w:rsid w:val="008F79D4"/>
    <w:rsid w:val="009061C9"/>
    <w:rsid w:val="009307CC"/>
    <w:rsid w:val="00935BBC"/>
    <w:rsid w:val="00941D0A"/>
    <w:rsid w:val="009517D1"/>
    <w:rsid w:val="009719B0"/>
    <w:rsid w:val="0098502C"/>
    <w:rsid w:val="009A2DDC"/>
    <w:rsid w:val="009D0F50"/>
    <w:rsid w:val="00A17566"/>
    <w:rsid w:val="00A40522"/>
    <w:rsid w:val="00A54F42"/>
    <w:rsid w:val="00A644C2"/>
    <w:rsid w:val="00A84696"/>
    <w:rsid w:val="00B06934"/>
    <w:rsid w:val="00B51CCF"/>
    <w:rsid w:val="00B640B3"/>
    <w:rsid w:val="00BA01AA"/>
    <w:rsid w:val="00BC302B"/>
    <w:rsid w:val="00C04C64"/>
    <w:rsid w:val="00C507E4"/>
    <w:rsid w:val="00C6617B"/>
    <w:rsid w:val="00C85336"/>
    <w:rsid w:val="00C87868"/>
    <w:rsid w:val="00CB222D"/>
    <w:rsid w:val="00CD77EF"/>
    <w:rsid w:val="00D16E1F"/>
    <w:rsid w:val="00D647E0"/>
    <w:rsid w:val="00D86E43"/>
    <w:rsid w:val="00DA194D"/>
    <w:rsid w:val="00DB0C9D"/>
    <w:rsid w:val="00DB38E2"/>
    <w:rsid w:val="00DC1F49"/>
    <w:rsid w:val="00DD1DA7"/>
    <w:rsid w:val="00DF5C44"/>
    <w:rsid w:val="00DF7183"/>
    <w:rsid w:val="00E80CC3"/>
    <w:rsid w:val="00EE4197"/>
    <w:rsid w:val="00F10A82"/>
    <w:rsid w:val="00F54F49"/>
    <w:rsid w:val="00F61F91"/>
    <w:rsid w:val="00F9088C"/>
    <w:rsid w:val="00F916E3"/>
    <w:rsid w:val="00FA2EA8"/>
    <w:rsid w:val="00FC21C7"/>
    <w:rsid w:val="00FC6342"/>
    <w:rsid w:val="00FD5499"/>
    <w:rsid w:val="02F32B56"/>
    <w:rsid w:val="03846C33"/>
    <w:rsid w:val="05FB130E"/>
    <w:rsid w:val="072B7F2A"/>
    <w:rsid w:val="08BC7B38"/>
    <w:rsid w:val="0D0567F0"/>
    <w:rsid w:val="0D2F36B7"/>
    <w:rsid w:val="0D7E3AFF"/>
    <w:rsid w:val="0DB658CF"/>
    <w:rsid w:val="10260A90"/>
    <w:rsid w:val="10E87F18"/>
    <w:rsid w:val="11345752"/>
    <w:rsid w:val="119D4831"/>
    <w:rsid w:val="125D5D38"/>
    <w:rsid w:val="140334FB"/>
    <w:rsid w:val="14D902A4"/>
    <w:rsid w:val="15341A54"/>
    <w:rsid w:val="160E259E"/>
    <w:rsid w:val="19620118"/>
    <w:rsid w:val="1A840C0A"/>
    <w:rsid w:val="1BE07FA5"/>
    <w:rsid w:val="2051361B"/>
    <w:rsid w:val="20C0033E"/>
    <w:rsid w:val="293B7BDB"/>
    <w:rsid w:val="2DA61BFF"/>
    <w:rsid w:val="2FD52024"/>
    <w:rsid w:val="30166FA0"/>
    <w:rsid w:val="37EF39B9"/>
    <w:rsid w:val="39EF41D8"/>
    <w:rsid w:val="439320F2"/>
    <w:rsid w:val="454313DF"/>
    <w:rsid w:val="46826ECA"/>
    <w:rsid w:val="47200E11"/>
    <w:rsid w:val="4D713A1F"/>
    <w:rsid w:val="4D8C1D7C"/>
    <w:rsid w:val="4ED765AF"/>
    <w:rsid w:val="50815EA4"/>
    <w:rsid w:val="50CC366C"/>
    <w:rsid w:val="513525FF"/>
    <w:rsid w:val="516E3026"/>
    <w:rsid w:val="5274688D"/>
    <w:rsid w:val="53C90AD2"/>
    <w:rsid w:val="53E00FD8"/>
    <w:rsid w:val="576A14F1"/>
    <w:rsid w:val="59054CA9"/>
    <w:rsid w:val="5C735ECB"/>
    <w:rsid w:val="5EC03E77"/>
    <w:rsid w:val="5F5C70D4"/>
    <w:rsid w:val="609E4875"/>
    <w:rsid w:val="60FC3CA7"/>
    <w:rsid w:val="615E060F"/>
    <w:rsid w:val="62D627A4"/>
    <w:rsid w:val="64DA5735"/>
    <w:rsid w:val="67155394"/>
    <w:rsid w:val="68632EA7"/>
    <w:rsid w:val="6CA5548C"/>
    <w:rsid w:val="6D344F72"/>
    <w:rsid w:val="6E16BFB9"/>
    <w:rsid w:val="6F2968A7"/>
    <w:rsid w:val="6F850D4A"/>
    <w:rsid w:val="706C73A7"/>
    <w:rsid w:val="70761994"/>
    <w:rsid w:val="730A38C5"/>
    <w:rsid w:val="74087332"/>
    <w:rsid w:val="76CE0460"/>
    <w:rsid w:val="78865B21"/>
    <w:rsid w:val="7D9F11E6"/>
    <w:rsid w:val="7EB541A3"/>
    <w:rsid w:val="7EDF12E2"/>
    <w:rsid w:val="9AA70A00"/>
    <w:rsid w:val="FE7FB7D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unhideWhenUsed="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unhideWhenUsed="0"/>
    <w:lsdException w:name="toc 2" w:qFormat="1" w:semiHidden="0" w:uiPriority="39" w:unhideWhenUsed="0"/>
    <w:lsdException w:name="toc 3" w:qFormat="1" w:semiHidden="0" w:uiPriority="39"/>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qFormat="1" w:semiHidden="0" w:uiPriority="0" w:unhideWhenUsed="0"/>
    <w:lsdException w:name="header" w:qFormat="1" w:semiHidden="0" w:uiPriority="99"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qFormat="1" w:semiHidden="0" w:uiPriority="99"/>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semiHidden="0" w:uiPriority="0" w:unhideWhenUsed="0"/>
    <w:lsdException w:name="Body Text" w:semiHidden="0" w:uiPriority="0" w:unhideWhenUsed="0"/>
    <w:lsdException w:name="Body Text Indent" w:qFormat="1" w:semiHidden="0" w:uiPriority="99"/>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qFormat="1" w:semiHidden="0" w:uiPriority="99"/>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99"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qFormat="1"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uiPriority="0" w:unhideWhenUsed="0"/>
    <w:lsdException w:name="Table Grid" w:qFormat="1"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pPr>
    <w:rPr>
      <w:rFonts w:ascii="宋体" w:cs="Times New Roman" w:eastAsia="宋体" w:hAnsi="宋体"/>
      <w:color w:val="000000"/>
      <w:kern w:val="2"/>
      <w:sz w:val="24"/>
      <w:szCs w:val="24"/>
      <w:u w:val="none"/>
      <w:lang w:bidi="ar-SA" w:eastAsia="zh-CN" w:val="en-US"/>
    </w:rPr>
  </w:style>
  <w:style w:styleId="2" w:type="paragraph">
    <w:name w:val="heading 1"/>
    <w:basedOn w:val="1"/>
    <w:next w:val="1"/>
    <w:link w:val="32"/>
    <w:qFormat/>
    <w:uiPriority w:val="0"/>
    <w:pPr>
      <w:numPr>
        <w:ilvl w:val="0"/>
        <w:numId w:val="1"/>
      </w:numPr>
      <w:ind w:firstLineChars="0" w:hanging="432" w:left="432"/>
      <w:outlineLvl w:val="0"/>
    </w:pPr>
    <w:rPr>
      <w:rFonts w:ascii="宋体" w:eastAsia="宋体" w:hAnsi="宋体"/>
      <w:b/>
      <w:sz w:val="32"/>
      <w:szCs w:val="32"/>
    </w:rPr>
  </w:style>
  <w:style w:styleId="3" w:type="paragraph">
    <w:name w:val="heading 2"/>
    <w:basedOn w:val="1"/>
    <w:next w:val="1"/>
    <w:autoRedefine/>
    <w:unhideWhenUsed/>
    <w:qFormat/>
    <w:uiPriority w:val="0"/>
    <w:pPr>
      <w:numPr>
        <w:ilvl w:val="1"/>
        <w:numId w:val="1"/>
      </w:numPr>
      <w:ind w:firstLineChars="0" w:hanging="575" w:left="575"/>
      <w:outlineLvl w:val="1"/>
    </w:pPr>
    <w:rPr>
      <w:rFonts w:eastAsia="宋体"/>
      <w:b/>
      <w:sz w:val="28"/>
      <w:szCs w:val="28"/>
    </w:rPr>
  </w:style>
  <w:style w:styleId="4" w:type="paragraph">
    <w:name w:val="heading 3"/>
    <w:basedOn w:val="1"/>
    <w:next w:val="1"/>
    <w:qFormat/>
    <w:uiPriority w:val="0"/>
    <w:pPr>
      <w:numPr>
        <w:ilvl w:val="2"/>
        <w:numId w:val="1"/>
      </w:numPr>
      <w:ind w:firstLineChars="0" w:hanging="720" w:left="720"/>
      <w:outlineLvl w:val="2"/>
    </w:pPr>
    <w:rPr>
      <w:rFonts w:eastAsia="宋体"/>
      <w:b/>
    </w:rPr>
  </w:style>
  <w:style w:styleId="5" w:type="paragraph">
    <w:name w:val="heading 4"/>
    <w:basedOn w:val="1"/>
    <w:next w:val="1"/>
    <w:autoRedefine/>
    <w:semiHidden/>
    <w:unhideWhenUsed/>
    <w:qFormat/>
    <w:uiPriority w:val="0"/>
    <w:pPr>
      <w:keepNext/>
      <w:keepLines/>
      <w:numPr>
        <w:ilvl w:val="3"/>
        <w:numId w:val="1"/>
      </w:numPr>
      <w:spacing w:after="290" w:afterAutospacing="0" w:afterLines="0" w:before="280" w:beforeAutospacing="0" w:beforeLines="0" w:line="372" w:lineRule="auto"/>
      <w:ind w:firstLineChars="0" w:hanging="864" w:left="864"/>
      <w:outlineLvl w:val="3"/>
    </w:pPr>
    <w:rPr>
      <w:rFonts w:ascii="Arial" w:eastAsia="黑体" w:hAnsi="Arial"/>
      <w:b/>
      <w:sz w:val="28"/>
    </w:rPr>
  </w:style>
  <w:style w:styleId="6" w:type="paragraph">
    <w:name w:val="heading 5"/>
    <w:basedOn w:val="1"/>
    <w:next w:val="1"/>
    <w:semiHidden/>
    <w:unhideWhenUsed/>
    <w:qFormat/>
    <w:uiPriority w:val="0"/>
    <w:pPr>
      <w:keepNext/>
      <w:keepLines/>
      <w:numPr>
        <w:ilvl w:val="4"/>
        <w:numId w:val="1"/>
      </w:numPr>
      <w:spacing w:after="290" w:afterAutospacing="0" w:afterLines="0" w:before="280" w:beforeAutospacing="0" w:beforeLines="0" w:line="372" w:lineRule="auto"/>
      <w:ind w:firstLineChars="0" w:hanging="1008" w:left="1008"/>
      <w:outlineLvl w:val="4"/>
    </w:pPr>
    <w:rPr>
      <w:b/>
      <w:sz w:val="28"/>
    </w:rPr>
  </w:style>
  <w:style w:styleId="7" w:type="paragraph">
    <w:name w:val="heading 6"/>
    <w:basedOn w:val="1"/>
    <w:next w:val="1"/>
    <w:semiHidden/>
    <w:unhideWhenUsed/>
    <w:qFormat/>
    <w:uiPriority w:val="0"/>
    <w:pPr>
      <w:keepNext/>
      <w:keepLines/>
      <w:numPr>
        <w:ilvl w:val="5"/>
        <w:numId w:val="1"/>
      </w:numPr>
      <w:spacing w:after="64" w:afterAutospacing="0" w:afterLines="0" w:before="240" w:beforeAutospacing="0" w:beforeLines="0" w:line="317" w:lineRule="auto"/>
      <w:ind w:firstLineChars="0" w:hanging="1151" w:left="1151"/>
      <w:outlineLvl w:val="5"/>
    </w:pPr>
    <w:rPr>
      <w:rFonts w:ascii="Arial" w:eastAsia="黑体" w:hAnsi="Arial"/>
      <w:b/>
      <w:sz w:val="24"/>
    </w:rPr>
  </w:style>
  <w:style w:styleId="8" w:type="paragraph">
    <w:name w:val="heading 7"/>
    <w:basedOn w:val="1"/>
    <w:next w:val="1"/>
    <w:semiHidden/>
    <w:unhideWhenUsed/>
    <w:qFormat/>
    <w:uiPriority w:val="0"/>
    <w:pPr>
      <w:keepNext/>
      <w:keepLines/>
      <w:numPr>
        <w:ilvl w:val="6"/>
        <w:numId w:val="1"/>
      </w:numPr>
      <w:spacing w:after="64" w:afterAutospacing="0" w:afterLines="0" w:before="240" w:beforeAutospacing="0" w:beforeLines="0" w:line="317" w:lineRule="auto"/>
      <w:ind w:firstLineChars="0" w:hanging="1296" w:left="1296"/>
      <w:outlineLvl w:val="6"/>
    </w:pPr>
    <w:rPr>
      <w:b/>
      <w:sz w:val="24"/>
    </w:rPr>
  </w:style>
  <w:style w:styleId="9" w:type="paragraph">
    <w:name w:val="heading 8"/>
    <w:basedOn w:val="1"/>
    <w:next w:val="1"/>
    <w:semiHidden/>
    <w:unhideWhenUsed/>
    <w:qFormat/>
    <w:uiPriority w:val="0"/>
    <w:pPr>
      <w:keepNext/>
      <w:keepLines/>
      <w:numPr>
        <w:ilvl w:val="7"/>
        <w:numId w:val="1"/>
      </w:numPr>
      <w:spacing w:after="64" w:afterAutospacing="0" w:afterLines="0" w:before="240" w:beforeAutospacing="0" w:beforeLines="0" w:line="317" w:lineRule="auto"/>
      <w:ind w:firstLineChars="0" w:hanging="1440" w:left="1440"/>
      <w:outlineLvl w:val="7"/>
    </w:pPr>
    <w:rPr>
      <w:rFonts w:ascii="Arial" w:eastAsia="黑体" w:hAnsi="Arial"/>
      <w:sz w:val="24"/>
    </w:rPr>
  </w:style>
  <w:style w:styleId="10" w:type="paragraph">
    <w:name w:val="heading 9"/>
    <w:basedOn w:val="1"/>
    <w:next w:val="1"/>
    <w:semiHidden/>
    <w:unhideWhenUsed/>
    <w:qFormat/>
    <w:uiPriority w:val="0"/>
    <w:pPr>
      <w:keepNext/>
      <w:keepLines/>
      <w:numPr>
        <w:ilvl w:val="8"/>
        <w:numId w:val="1"/>
      </w:numPr>
      <w:spacing w:after="64" w:afterAutospacing="0" w:afterLines="0" w:before="240" w:beforeAutospacing="0" w:beforeLines="0" w:line="317" w:lineRule="auto"/>
      <w:ind w:firstLineChars="0" w:hanging="1583" w:left="1583"/>
      <w:outlineLvl w:val="8"/>
    </w:pPr>
    <w:rPr>
      <w:rFonts w:ascii="Arial" w:eastAsia="黑体" w:hAnsi="Arial"/>
      <w:sz w:val="21"/>
    </w:rPr>
  </w:style>
  <w:style w:default="1" w:styleId="11" w:type="character">
    <w:name w:val="Default Paragraph Font"/>
    <w:qFormat/>
    <w:uiPriority w:val="0"/>
  </w:style>
  <w:style w:default="1" w:styleId="12" w:type="table">
    <w:name w:val="Normal Table"/>
    <w:semiHidden/>
    <w:qFormat/>
    <w:uiPriority w:val="0"/>
    <w:tblPr>
      <w:tblCellMar>
        <w:top w:type="dxa" w:w="0"/>
        <w:left w:type="dxa" w:w="108"/>
        <w:bottom w:type="dxa" w:w="0"/>
        <w:right w:type="dxa" w:w="108"/>
      </w:tblCellMar>
    </w:tblPr>
  </w:style>
  <w:style w:styleId="13" w:type="paragraph">
    <w:name w:val="Balloon Text"/>
    <w:basedOn w:val="1"/>
    <w:semiHidden/>
    <w:qFormat/>
    <w:uiPriority w:val="0"/>
    <w:rPr>
      <w:sz w:val="18"/>
      <w:szCs w:val="18"/>
    </w:rPr>
  </w:style>
  <w:style w:styleId="14" w:type="paragraph">
    <w:name w:val="Body Text Indent"/>
    <w:basedOn w:val="1"/>
    <w:unhideWhenUsed/>
    <w:qFormat/>
    <w:uiPriority w:val="99"/>
    <w:pPr>
      <w:spacing w:after="120"/>
      <w:ind w:left="420" w:leftChars="200"/>
    </w:pPr>
  </w:style>
  <w:style w:styleId="15" w:type="paragraph">
    <w:name w:val="Body Text First Indent 2"/>
    <w:basedOn w:val="14"/>
    <w:unhideWhenUsed/>
    <w:qFormat/>
    <w:uiPriority w:val="99"/>
    <w:pPr>
      <w:ind w:left="0" w:leftChars="0"/>
    </w:pPr>
    <w:rPr>
      <w:sz w:val="24"/>
    </w:rPr>
  </w:style>
  <w:style w:styleId="16" w:type="paragraph">
    <w:name w:val="caption"/>
    <w:basedOn w:val="1"/>
    <w:next w:val="1"/>
    <w:link w:val="55"/>
    <w:qFormat/>
    <w:uiPriority w:val="0"/>
    <w:pPr>
      <w:spacing w:line="312" w:lineRule="auto"/>
      <w:ind w:firstLine="0" w:firstLineChars="0"/>
      <w:jc w:val="center"/>
    </w:pPr>
    <w:rPr>
      <w:rFonts w:cs="宋体"/>
      <w:b/>
      <w:bCs/>
    </w:rPr>
  </w:style>
  <w:style w:styleId="17" w:type="character">
    <w:name w:val="annotation reference"/>
    <w:qFormat/>
    <w:uiPriority w:val="0"/>
    <w:rPr>
      <w:sz w:val="21"/>
      <w:szCs w:val="21"/>
    </w:rPr>
  </w:style>
  <w:style w:styleId="18" w:type="paragraph">
    <w:name w:val="annotation text"/>
    <w:basedOn w:val="1"/>
    <w:link w:val="33"/>
    <w:qFormat/>
    <w:uiPriority w:val="0"/>
    <w:pPr>
      <w:jc w:val="left"/>
    </w:pPr>
  </w:style>
  <w:style w:styleId="19" w:type="paragraph">
    <w:name w:val="annotation subject"/>
    <w:basedOn w:val="18"/>
    <w:next w:val="18"/>
    <w:link w:val="37"/>
    <w:qFormat/>
    <w:uiPriority w:val="0"/>
    <w:rPr>
      <w:b/>
      <w:bCs/>
    </w:rPr>
  </w:style>
  <w:style w:styleId="20" w:type="character">
    <w:name w:val="FollowedHyperlink"/>
    <w:qFormat/>
    <w:uiPriority w:val="0"/>
    <w:rPr>
      <w:color w:val="800080"/>
      <w:u w:val="single"/>
    </w:rPr>
  </w:style>
  <w:style w:styleId="21" w:type="paragraph">
    <w:name w:val="footer"/>
    <w:basedOn w:val="1"/>
    <w:link w:val="35"/>
    <w:qFormat/>
    <w:uiPriority w:val="99"/>
    <w:pPr>
      <w:tabs>
        <w:tab w:pos="4153" w:val="center"/>
        <w:tab w:pos="8306" w:val="right"/>
      </w:tabs>
      <w:snapToGrid w:val="0"/>
      <w:jc w:val="left"/>
    </w:pPr>
    <w:rPr>
      <w:sz w:val="18"/>
      <w:szCs w:val="18"/>
    </w:rPr>
  </w:style>
  <w:style w:styleId="22" w:type="paragraph">
    <w:name w:val="header"/>
    <w:basedOn w:val="1"/>
    <w:link w:val="36"/>
    <w:qFormat/>
    <w:uiPriority w:val="99"/>
    <w:pPr>
      <w:pBdr>
        <w:bottom w:color="auto" w:space="1" w:sz="6" w:val="single"/>
      </w:pBdr>
      <w:tabs>
        <w:tab w:pos="4153" w:val="center"/>
        <w:tab w:pos="8306" w:val="right"/>
      </w:tabs>
      <w:snapToGrid w:val="0"/>
      <w:jc w:val="center"/>
    </w:pPr>
    <w:rPr>
      <w:sz w:val="18"/>
      <w:szCs w:val="18"/>
    </w:rPr>
  </w:style>
  <w:style w:styleId="23" w:type="character">
    <w:name w:val="Hyperlink"/>
    <w:qFormat/>
    <w:uiPriority w:val="99"/>
    <w:rPr>
      <w:color w:val="000000"/>
      <w:u w:val="none"/>
    </w:rPr>
  </w:style>
  <w:style w:styleId="24" w:type="paragraph">
    <w:name w:val="Normal (Web)"/>
    <w:basedOn w:val="1"/>
    <w:qFormat/>
    <w:uiPriority w:val="0"/>
    <w:rPr>
      <w:sz w:val="24"/>
    </w:rPr>
  </w:style>
  <w:style w:styleId="25" w:type="character">
    <w:name w:val="page number"/>
    <w:qFormat/>
    <w:uiPriority w:val="0"/>
  </w:style>
  <w:style w:styleId="26" w:type="paragraph">
    <w:name w:val="Plain Text"/>
    <w:basedOn w:val="1"/>
    <w:link w:val="34"/>
    <w:qFormat/>
    <w:uiPriority w:val="0"/>
    <w:rPr>
      <w:rFonts w:ascii="宋体" w:cs="Courier New" w:hAnsi="Courier New"/>
      <w:szCs w:val="21"/>
    </w:rPr>
  </w:style>
  <w:style w:styleId="27" w:type="table">
    <w:name w:val="Table Grid"/>
    <w:basedOn w:val="12"/>
    <w:qFormat/>
    <w:uiPriority w:val="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8" w:type="paragraph">
    <w:name w:val="table of figures"/>
    <w:basedOn w:val="1"/>
    <w:next w:val="1"/>
    <w:unhideWhenUsed/>
    <w:qFormat/>
    <w:uiPriority w:val="99"/>
    <w:pPr>
      <w:spacing w:line="360" w:lineRule="auto"/>
      <w:ind w:hanging="200" w:hangingChars="200" w:left="200" w:leftChars="200"/>
    </w:pPr>
    <w:rPr>
      <w:sz w:val="24"/>
      <w:szCs w:val="24"/>
    </w:rPr>
  </w:style>
  <w:style w:styleId="29" w:type="paragraph">
    <w:name w:val="toc 1"/>
    <w:basedOn w:val="1"/>
    <w:next w:val="1"/>
    <w:qFormat/>
    <w:uiPriority w:val="39"/>
    <w:pPr>
      <w:tabs>
        <w:tab w:leader="dot" w:pos="8306" w:val="right"/>
      </w:tabs>
      <w:ind w:firstLine="0" w:firstLineChars="0"/>
    </w:pPr>
    <w:rPr>
      <w:rFonts w:ascii="Times New Roman" w:hAnsi="Times New Roman"/>
      <w:sz w:val="21"/>
    </w:rPr>
  </w:style>
  <w:style w:styleId="30" w:type="paragraph">
    <w:name w:val="toc 2"/>
    <w:basedOn w:val="1"/>
    <w:next w:val="1"/>
    <w:qFormat/>
    <w:uiPriority w:val="39"/>
    <w:pPr>
      <w:tabs>
        <w:tab w:leader="dot" w:pos="8306" w:val="right"/>
      </w:tabs>
      <w:ind w:firstLine="0" w:firstLineChars="0" w:left="420" w:leftChars="200"/>
    </w:pPr>
    <w:rPr>
      <w:rFonts w:ascii="宋体" w:cs="宋体" w:eastAsia="宋体" w:hAnsi="宋体"/>
    </w:rPr>
  </w:style>
  <w:style w:styleId="31" w:type="paragraph">
    <w:name w:val="toc 3"/>
    <w:basedOn w:val="1"/>
    <w:next w:val="1"/>
    <w:unhideWhenUsed/>
    <w:qFormat/>
    <w:uiPriority w:val="39"/>
    <w:pPr>
      <w:tabs>
        <w:tab w:leader="dot" w:pos="8306" w:val="right"/>
      </w:tabs>
      <w:ind w:firstLine="0" w:firstLineChars="0" w:left="960" w:leftChars="400"/>
    </w:pPr>
    <w:rPr>
      <w:rFonts w:ascii="宋体" w:cs="宋体" w:eastAsia="宋体" w:hAnsi="宋体"/>
      <w:szCs w:val="21"/>
    </w:rPr>
  </w:style>
  <w:style w:customStyle="1" w:styleId="32" w:type="character">
    <w:name w:val="标题 1 字符"/>
    <w:link w:val="2"/>
    <w:qFormat/>
    <w:uiPriority w:val="0"/>
    <w:rPr>
      <w:rFonts w:ascii="宋体" w:cs="Times New Roman" w:eastAsia="宋体" w:hAnsi="宋体"/>
      <w:b/>
      <w:color w:val="000000"/>
      <w:kern w:val="2"/>
      <w:sz w:val="32"/>
      <w:szCs w:val="32"/>
      <w:u w:val="none"/>
      <w:lang w:bidi="ar-SA" w:eastAsia="zh-CN" w:val="en-US"/>
    </w:rPr>
  </w:style>
  <w:style w:customStyle="1" w:styleId="33" w:type="character">
    <w:name w:val="批注文字 字符"/>
    <w:link w:val="18"/>
    <w:qFormat/>
    <w:uiPriority w:val="0"/>
    <w:rPr>
      <w:kern w:val="2"/>
      <w:sz w:val="21"/>
    </w:rPr>
  </w:style>
  <w:style w:customStyle="1" w:styleId="34" w:type="character">
    <w:name w:val="纯文本 字符1"/>
    <w:link w:val="26"/>
    <w:qFormat/>
    <w:uiPriority w:val="0"/>
    <w:rPr>
      <w:rFonts w:ascii="宋体" w:cs="Courier New" w:hAnsi="Courier New"/>
      <w:kern w:val="2"/>
      <w:sz w:val="21"/>
      <w:szCs w:val="21"/>
    </w:rPr>
  </w:style>
  <w:style w:customStyle="1" w:styleId="35" w:type="character">
    <w:name w:val="页脚 字符"/>
    <w:link w:val="21"/>
    <w:qFormat/>
    <w:uiPriority w:val="99"/>
    <w:rPr>
      <w:kern w:val="2"/>
      <w:sz w:val="18"/>
      <w:szCs w:val="18"/>
    </w:rPr>
  </w:style>
  <w:style w:customStyle="1" w:styleId="36" w:type="character">
    <w:name w:val="页眉 字符"/>
    <w:link w:val="22"/>
    <w:qFormat/>
    <w:uiPriority w:val="99"/>
    <w:rPr>
      <w:kern w:val="2"/>
      <w:sz w:val="18"/>
      <w:szCs w:val="18"/>
    </w:rPr>
  </w:style>
  <w:style w:customStyle="1" w:styleId="37" w:type="character">
    <w:name w:val="批注主题 字符"/>
    <w:link w:val="19"/>
    <w:qFormat/>
    <w:uiPriority w:val="0"/>
    <w:rPr>
      <w:b/>
      <w:bCs/>
      <w:kern w:val="2"/>
      <w:sz w:val="21"/>
    </w:rPr>
  </w:style>
  <w:style w:customStyle="1" w:styleId="38" w:type="paragraph">
    <w:name w:val="xl64"/>
    <w:basedOn w:val="1"/>
    <w:qFormat/>
    <w:uiPriority w:val="0"/>
    <w:pPr>
      <w:widowControl/>
      <w:spacing w:after="100" w:afterAutospacing="1" w:before="100" w:beforeAutospacing="1"/>
      <w:jc w:val="center"/>
    </w:pPr>
    <w:rPr>
      <w:rFonts w:ascii="宋体" w:cs="宋体" w:hAnsi="宋体"/>
      <w:kern w:val="0"/>
      <w:sz w:val="24"/>
      <w:szCs w:val="24"/>
    </w:rPr>
  </w:style>
  <w:style w:customStyle="1" w:styleId="39" w:type="paragraph">
    <w:name w:val="xl67"/>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kern w:val="0"/>
      <w:sz w:val="20"/>
    </w:rPr>
  </w:style>
  <w:style w:customStyle="1" w:styleId="40" w:type="paragraph">
    <w:name w:val="xl65"/>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b/>
      <w:bCs/>
      <w:kern w:val="0"/>
      <w:sz w:val="20"/>
    </w:rPr>
  </w:style>
  <w:style w:customStyle="1" w:styleId="41" w:type="paragraph">
    <w:name w:val="xl69"/>
    <w:basedOn w:val="1"/>
    <w:qFormat/>
    <w:uiPriority w:val="0"/>
    <w:pPr>
      <w:widowControl/>
      <w:spacing w:after="100" w:afterAutospacing="1" w:before="100" w:beforeAutospacing="1"/>
      <w:jc w:val="left"/>
    </w:pPr>
    <w:rPr>
      <w:rFonts w:ascii="宋体" w:cs="宋体" w:hAnsi="宋体"/>
      <w:kern w:val="0"/>
      <w:sz w:val="24"/>
      <w:szCs w:val="24"/>
    </w:rPr>
  </w:style>
  <w:style w:customStyle="1" w:styleId="42" w:type="paragraph">
    <w:name w:val="xl70"/>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left"/>
    </w:pPr>
    <w:rPr>
      <w:rFonts w:ascii="宋体" w:cs="宋体" w:hAnsi="宋体"/>
      <w:kern w:val="0"/>
      <w:sz w:val="20"/>
    </w:rPr>
  </w:style>
  <w:style w:customStyle="1" w:styleId="43" w:type="paragraph">
    <w:name w:val="xl66"/>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b/>
      <w:bCs/>
      <w:kern w:val="0"/>
      <w:sz w:val="20"/>
    </w:rPr>
  </w:style>
  <w:style w:customStyle="1" w:styleId="44" w:type="paragraph">
    <w:name w:val="xl63"/>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kern w:val="0"/>
      <w:sz w:val="20"/>
    </w:rPr>
  </w:style>
  <w:style w:customStyle="1" w:styleId="45" w:type="paragraph">
    <w:name w:val="font6"/>
    <w:basedOn w:val="1"/>
    <w:qFormat/>
    <w:uiPriority w:val="0"/>
    <w:pPr>
      <w:widowControl/>
      <w:spacing w:after="100" w:afterAutospacing="1" w:before="100" w:beforeAutospacing="1"/>
      <w:jc w:val="left"/>
    </w:pPr>
    <w:rPr>
      <w:rFonts w:ascii="宋体" w:cs="宋体" w:hAnsi="宋体"/>
      <w:kern w:val="0"/>
      <w:sz w:val="18"/>
      <w:szCs w:val="18"/>
    </w:rPr>
  </w:style>
  <w:style w:customStyle="1" w:styleId="46" w:type="paragraph">
    <w:name w:val="xl68"/>
    <w:basedOn w:val="1"/>
    <w:qFormat/>
    <w:uiPriority w:val="0"/>
    <w:pPr>
      <w:widowControl/>
      <w:pBdr>
        <w:bottom w:color="auto" w:space="0" w:sz="4" w:val="single"/>
      </w:pBdr>
      <w:spacing w:after="100" w:afterAutospacing="1" w:before="100" w:beforeAutospacing="1"/>
      <w:jc w:val="center"/>
    </w:pPr>
    <w:rPr>
      <w:rFonts w:ascii="宋体" w:cs="宋体" w:hAnsi="宋体"/>
      <w:b/>
      <w:bCs/>
      <w:kern w:val="0"/>
      <w:sz w:val="36"/>
      <w:szCs w:val="36"/>
    </w:rPr>
  </w:style>
  <w:style w:customStyle="1" w:styleId="47" w:type="paragraph">
    <w:name w:val="段"/>
    <w:qFormat/>
    <w:uiPriority w:val="0"/>
    <w:pPr>
      <w:autoSpaceDE w:val="0"/>
      <w:autoSpaceDN w:val="0"/>
      <w:ind w:firstLine="200" w:firstLineChars="200"/>
      <w:jc w:val="both"/>
    </w:pPr>
    <w:rPr>
      <w:rFonts w:ascii="宋体" w:cs="宋体" w:eastAsia="宋体" w:hAnsi="Times New Roman"/>
      <w:szCs w:val="21"/>
      <w:lang w:bidi="ar-SA" w:eastAsia="zh-CN" w:val="en-US"/>
    </w:rPr>
  </w:style>
  <w:style w:customStyle="1" w:styleId="48" w:type="paragraph">
    <w:name w:val="font5"/>
    <w:basedOn w:val="1"/>
    <w:qFormat/>
    <w:uiPriority w:val="0"/>
    <w:pPr>
      <w:widowControl/>
      <w:spacing w:after="100" w:afterAutospacing="1" w:before="100" w:beforeAutospacing="1"/>
      <w:jc w:val="left"/>
    </w:pPr>
    <w:rPr>
      <w:rFonts w:ascii="宋体" w:cs="宋体" w:hAnsi="宋体"/>
      <w:kern w:val="0"/>
      <w:sz w:val="18"/>
      <w:szCs w:val="18"/>
    </w:rPr>
  </w:style>
  <w:style w:customStyle="1" w:styleId="49" w:type="character">
    <w:name w:val="纯文本 字符"/>
    <w:qFormat/>
    <w:uiPriority w:val="0"/>
    <w:rPr>
      <w:rFonts w:ascii="宋体" w:cs="Courier New" w:hAnsi="Courier New"/>
      <w:kern w:val="2"/>
      <w:sz w:val="21"/>
      <w:szCs w:val="21"/>
    </w:rPr>
  </w:style>
  <w:style w:customStyle="1" w:styleId="50" w:type="paragraph">
    <w:name w:val="TOC Heading"/>
    <w:basedOn w:val="2"/>
    <w:next w:val="1"/>
    <w:qFormat/>
    <w:uiPriority w:val="39"/>
    <w:pPr>
      <w:widowControl/>
      <w:spacing w:after="0" w:before="240" w:line="259" w:lineRule="auto"/>
      <w:jc w:val="left"/>
      <w:outlineLvl w:val="9"/>
    </w:pPr>
    <w:rPr>
      <w:rFonts w:ascii="等线 Light" w:eastAsia="等线 Light" w:hAnsi="等线 Light"/>
      <w:b w:val="0"/>
      <w:color w:val="2F5496"/>
      <w:kern w:val="0"/>
      <w:sz w:val="32"/>
      <w:szCs w:val="32"/>
    </w:rPr>
  </w:style>
  <w:style w:customStyle="1" w:styleId="51" w:type="paragraph">
    <w:name w:val="WPSOffice手动目录 1"/>
    <w:qFormat/>
    <w:uiPriority w:val="0"/>
    <w:rPr>
      <w:rFonts w:ascii="Times New Roman" w:cs="Times New Roman" w:eastAsia="宋体" w:hAnsi="Times New Roman"/>
      <w:lang w:bidi="ar-SA" w:eastAsia="zh-CN" w:val="en-US"/>
    </w:rPr>
  </w:style>
  <w:style w:customStyle="1" w:styleId="52" w:type="paragraph">
    <w:name w:val="WPSOffice手动目录 2"/>
    <w:qFormat/>
    <w:uiPriority w:val="0"/>
    <w:pPr>
      <w:ind w:leftChars="200"/>
    </w:pPr>
    <w:rPr>
      <w:rFonts w:ascii="Times New Roman" w:cs="Times New Roman" w:eastAsia="宋体" w:hAnsi="Times New Roman"/>
      <w:lang w:bidi="ar-SA" w:eastAsia="zh-CN" w:val="en-US"/>
    </w:rPr>
  </w:style>
  <w:style w:customStyle="1" w:styleId="53" w:type="paragraph">
    <w:name w:val="Table Paragraph"/>
    <w:basedOn w:val="1"/>
    <w:qFormat/>
    <w:uiPriority w:val="1"/>
    <w:rPr>
      <w:rFonts w:ascii="宋体" w:cs="宋体" w:eastAsia="宋体" w:hAnsi="宋体"/>
      <w:lang w:bidi="zh-CN" w:eastAsia="zh-CN" w:val="zh-CN"/>
    </w:rPr>
  </w:style>
  <w:style w:customStyle="1" w:styleId="54" w:type="paragraph">
    <w:name w:val="图表"/>
    <w:basedOn w:val="1"/>
    <w:qFormat/>
    <w:uiPriority w:val="0"/>
    <w:pPr>
      <w:ind w:firstLine="0" w:firstLineChars="0"/>
      <w:jc w:val="center"/>
    </w:pPr>
    <w:rPr>
      <w:rFonts w:ascii="Times" w:eastAsia="宋体" w:hAnsi="Times"/>
      <w:bCs/>
      <w:szCs w:val="32"/>
    </w:rPr>
  </w:style>
  <w:style w:customStyle="1" w:styleId="55" w:type="character">
    <w:name w:val="题注 Char"/>
    <w:link w:val="16"/>
    <w:qFormat/>
    <w:uiPriority w:val="0"/>
    <w:rPr>
      <w:rFonts w:ascii="宋体" w:cs="宋体" w:eastAsia="宋体" w:hAnsi="宋体"/>
      <w:b/>
      <w:bCs/>
      <w:color w:val="000000"/>
      <w:kern w:val="2"/>
      <w:sz w:val="24"/>
      <w:szCs w:val="24"/>
      <w:u w:val="none"/>
      <w:lang w:bidi="ar-SA" w:eastAsia="zh-CN" w:val="en-US"/>
    </w:rPr>
  </w:style>
  <w:style w:customStyle="1" w:styleId="56" w:type="paragraph">
    <w:name w:val="参考文献"/>
    <w:basedOn w:val="1"/>
    <w:qFormat/>
    <w:uiPriority w:val="0"/>
    <w:pPr>
      <w:numPr>
        <w:ilvl w:val="0"/>
        <w:numId w:val="2"/>
      </w:numPr>
      <w:ind w:firstLineChars="0" w:hanging="420" w:left="420" w:right="178" w:rightChars="74"/>
    </w:pPr>
    <w:rPr>
      <w:rFonts w:ascii="宋体" w:cs="宋体" w:eastAsia="宋体" w:hAnsi="宋体"/>
    </w:rPr>
  </w:style>
  <w:style w:styleId="57" w:type="paragraph">
    <w:name w:val="List Paragraph"/>
    <w:basedOn w:val="1"/>
    <w:unhideWhenUsed/>
    <w:qFormat/>
    <w:uiPriority w:val="99"/>
    <w:pPr>
      <w:ind w:firstLine="420" w:firstLineChars="20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7" Target="numbering.xml" /><Relationship Type="http://schemas.openxmlformats.org/officeDocument/2006/relationships/styles" Id="rId36" Target="styles.xml" /><Relationship Type="http://schemas.openxmlformats.org/officeDocument/2006/relationships/settings" Id="rId35" Target="settings.xml" /><Relationship Type="http://schemas.openxmlformats.org/officeDocument/2006/relationships/webSettings" Id="rId34" Target="webSettings.xml" /><Relationship Type="http://schemas.openxmlformats.org/officeDocument/2006/relationships/fontTable" Id="rId33" Target="fontTable.xml" /><Relationship Type="http://schemas.openxmlformats.org/officeDocument/2006/relationships/theme" Id="rId32" Target="theme/theme1.xml" /><Relationship Type="http://schemas.openxmlformats.org/officeDocument/2006/relationships/footnotes" Id="rId31" Target="footnotes.xml" /><Relationship Type="http://schemas.openxmlformats.org/officeDocument/2006/relationships/comments" Id="rId30" Target="comments.xml" /><Relationship Id="rId9" Target="footer4.xml" Type="http://schemas.openxmlformats.org/officeDocument/2006/relationships/footer" /><Relationship Id="rId8" Target="footer3.xml" Type="http://schemas.openxmlformats.org/officeDocument/2006/relationships/footer" /><Relationship Id="rId7" Target="footer2.xml" Type="http://schemas.openxmlformats.org/officeDocument/2006/relationships/footer" /><Relationship Id="rId6" Target="footer1.xml" Type="http://schemas.openxmlformats.org/officeDocument/2006/relationships/footer" /><Relationship Id="rId5" Target="header1.xml" Type="http://schemas.openxmlformats.org/officeDocument/2006/relationships/header" /><Relationship Id="rId19" Target="media/image8.png" Type="http://schemas.openxmlformats.org/officeDocument/2006/relationships/image" /><Relationship Id="rId18" Target="media/image7.png" Type="http://schemas.openxmlformats.org/officeDocument/2006/relationships/image" /><Relationship Id="rId17" Target="media/image6.png" Type="http://schemas.openxmlformats.org/officeDocument/2006/relationships/image" /><Relationship Id="rId16" Target="media/image5.png" Type="http://schemas.openxmlformats.org/officeDocument/2006/relationships/image" /><Relationship Id="rId15" Target="media/image4.png" Type="http://schemas.openxmlformats.org/officeDocument/2006/relationships/image" /><Relationship Id="rId14" Target="media/image3.png" Type="http://schemas.openxmlformats.org/officeDocument/2006/relationships/image" /><Relationship Id="rId13" Target="media/image2.png" Type="http://schemas.openxmlformats.org/officeDocument/2006/relationships/image" /><Relationship Id="rId12" Target="media/image1.png" Type="http://schemas.openxmlformats.org/officeDocument/2006/relationships/image" /><Relationship Id="rId10" Target="footer5.xml" Type="http://schemas.openxmlformats.org/officeDocument/2006/relationships/footer" /><Relationship Id="rId23" Target="media/image9.png" Type="http://schemas.openxmlformats.org/officeDocument/2006/relationships/image" /><Relationship Id="rId24" Target="media/image10.png" Type="http://schemas.openxmlformats.org/officeDocument/2006/relationships/image" /><Relationship Id="rId25" Target="media/image11.png" Type="http://schemas.openxmlformats.org/officeDocument/2006/relationships/image" /><Relationship Id="rId26" Target="media/image12.png" Type="http://schemas.openxmlformats.org/officeDocument/2006/relationships/image" /><Relationship Id="rId27" Target="media/image13.png" Type="http://schemas.openxmlformats.org/officeDocument/2006/relationships/image" /><Relationship Id="rId28" Target="media/image14.png" Type="http://schemas.openxmlformats.org/officeDocument/2006/relationships/image" /><Relationship Id="rId29" Target="media/image15.png" Type="http://schemas.openxmlformats.org/officeDocument/2006/relationships/image" /><Relationship Type="http://schemas.openxmlformats.org/officeDocument/2006/relationships/image" Id="rId66" Target="media/rId66.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43</Pages>
  <Words>7792</Words>
  <Characters>8845</Characters>
  <Lines>27</Lines>
  <Paragraphs>7</Paragraphs>
  <TotalTime>0</TotalTime>
  <ScaleCrop>false</ScaleCrop>
  <LinksUpToDate>false</LinksUpToDate>
  <CharactersWithSpaces>9336</CharactersWithSpaces>
  <Application>WPS Office_12.1.2.26885_F1E327BC-269C-435d-A152-05C5408002CA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2026-08-09T14:30:47Z</dcterms:created>
  <dcterms:modified xsi:type="dcterms:W3CDTF">2026-08-09T14:30:47Z</dcterms:modified>
</cp:coreProperties>
</file>

<file path=docProps/custom.xml><?xml version="1.0" encoding="utf-8"?>
<Properties xmlns="http://schemas.openxmlformats.org/officeDocument/2006/custom-properties" xmlns:vt="http://schemas.openxmlformats.org/officeDocument/2006/docPropsVTypes"/>
</file>