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media/rId83.png" ContentType="image/png"/>
  <Override PartName="/word/media/rId70.png" ContentType="image/png"/>
  <Override PartName="/word/media/image8.png" ContentType="image/png"/>
  <Override PartName="/word/media/image7.png" ContentType="image/png"/>
  <Override PartName="/word/media/image6.png" ContentType="image/png"/>
  <Override PartName="/word/media/image5.png" ContentType="image/png"/>
  <Override PartName="/word/media/image4.png" ContentType="image/png"/>
  <Override PartName="/word/media/image3.png" ContentType="image/png"/>
  <Override PartName="/word/media/image2.png" ContentType="image/png"/>
  <Override PartName="/word/media/image1.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ns7="http://schemas.openxmlformats.org/officeDocument/2006/math"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w:body>
    <w:bookmarkStart w:id="95" w:name="航空航天设施工程预测方法的建模及计算仿真报告"/>
    <w:p>
      <w:pPr>
        <w:pStyle w:val="2"/>
      </w:pPr>
      <w:r>
        <w:rPr>
          <w:rFonts w:hint="eastAsia"/>
        </w:rPr>
        <w:t xml:space="preserve">航空航天设施工程预测方法的建模及计算仿真报告</w:t>
      </w:r>
    </w:p>
    <w:p>
      <w:pPr>
        <w:pStyle w:val="BlockText"/>
      </w:pPr>
      <w:r>
        <w:rPr>
          <w:rFonts w:hint="eastAsia"/>
          <w:b/>
          <w:bCs/>
        </w:rPr>
        <w:t xml:space="preserve">报告日期：</w:t>
      </w:r>
      <w:r>
        <w:t xml:space="preserve"> </w:t>
      </w:r>
      <w:r>
        <w:t xml:space="preserve">2026 </w:t>
      </w:r>
      <w:r>
        <w:rPr>
          <w:rFonts w:hint="eastAsia"/>
        </w:rPr>
        <w:t xml:space="preserve">年</w:t>
      </w:r>
      <w:r>
        <w:t xml:space="preserve"> 7 </w:t>
      </w:r>
      <w:r>
        <w:rPr>
          <w:rFonts w:hint="eastAsia"/>
        </w:rPr>
        <w:t xml:space="preserve">月</w:t>
      </w:r>
      <w:r>
        <w:t xml:space="preserve"> 15 </w:t>
      </w:r>
      <w:r>
        <w:rPr>
          <w:rFonts w:hint="eastAsia"/>
        </w:rPr>
        <w:t xml:space="preserve">日</w:t>
      </w:r>
    </w:p>
    <w:p>
      <w:pPr>
        <w:pStyle w:val="BlockText"/>
      </w:pPr>
      <w:r>
        <w:rPr>
          <w:rFonts w:hint="eastAsia"/>
          <w:b/>
          <w:bCs/>
        </w:rPr>
        <w:t xml:space="preserve">数据版本：</w:t>
      </w:r>
      <w:r>
        <w:t xml:space="preserve"> </w:t>
      </w:r>
      <w:r>
        <w:t xml:space="preserve">2026 </w:t>
      </w:r>
      <w:r>
        <w:rPr>
          <w:rFonts w:hint="eastAsia"/>
        </w:rPr>
        <w:t xml:space="preserve">年</w:t>
      </w:r>
      <w:r>
        <w:t xml:space="preserve"> 7 </w:t>
      </w:r>
      <w:r>
        <w:rPr>
          <w:rFonts w:hint="eastAsia"/>
        </w:rPr>
        <w:t xml:space="preserve">月</w:t>
      </w:r>
      <w:r>
        <w:t xml:space="preserve"> 14 </w:t>
      </w:r>
      <w:r>
        <w:rPr>
          <w:rFonts w:hint="eastAsia"/>
        </w:rPr>
        <w:t xml:space="preserve">日冻结数据</w:t>
      </w:r>
    </w:p>
    <w:p>
      <w:pPr>
        <w:pStyle w:val="BlockText"/>
      </w:pPr>
      <w:r>
        <w:rPr>
          <w:rFonts w:hint="eastAsia"/>
          <w:b/>
          <w:bCs/>
        </w:rPr>
        <w:t xml:space="preserve">预测对象：</w:t>
      </w:r>
      <w:r>
        <w:t xml:space="preserve"> </w:t>
      </w:r>
      <w:r>
        <w:rPr>
          <w:rFonts w:hint="eastAsia"/>
        </w:rPr>
        <w:t xml:space="preserve">航空航天设施与机场机库外部热辐射作用下的设施级损伤指数及损伤等级</w:t>
      </w:r>
    </w:p>
    <w:p>
      <w:r>
        <w:pict>
          <v:rect style="width:0;height:1.5pt" o:hralign="center" o:hrstd="t" o:hr="t"/>
        </w:pict>
      </w:r>
    </w:p>
    <w:bookmarkStart w:id="55" w:name="引言"/>
    <w:p>
      <w:pPr>
        <w:pStyle w:val="3"/>
      </w:pPr>
      <w:r>
        <w:rPr>
          <w:rFonts w:hint="eastAsia"/>
        </w:rPr>
        <w:t xml:space="preserve">引言</w:t>
      </w:r>
    </w:p>
    <w:p>
      <w:pPr>
        <w:pStyle w:val="FirstParagraph"/>
      </w:pPr>
      <w:r>
        <w:rPr>
          <w:rFonts w:hint="eastAsia"/>
        </w:rPr>
        <w:t xml:space="preserve">航空航天设施是承担航天器制造、装配、处理、发射和飞行控制的重要工程载体，机场机库则承担航空器停放、维修和后勤保障任务。两类设施通常具有高价值目标集中、功能系统复杂和生产保障连续性要求高等特点；火灾或外部热辐射造成的局部损伤，可能进一步影响关键设备、任务准备和维修保障进度。对于发射控制、卫星处理、飞机总装以及机库维修等场景，建筑、设备和目标之间的空间关系直接决定热量传递路径和设施级损失。</w:t>
      </w:r>
    </w:p>
    <w:p>
      <w:pPr>
        <w:pStyle w:val="BodyText"/>
      </w:pPr>
      <w:r>
        <w:rPr>
          <w:rFonts w:hint="eastAsia"/>
        </w:rPr>
        <w:t xml:space="preserve">本报告将航空航天设施与机场机库设施纳入同一工程预测体系，建立基于</w:t>
      </w:r>
      <w:r>
        <w:t xml:space="preserve"> FDS </w:t>
      </w:r>
      <w:r>
        <w:rPr>
          <w:rFonts w:hint="eastAsia"/>
        </w:rPr>
        <w:t xml:space="preserve">数值模拟数据的快速预测方法。传统精细化火灾数值仿真能够提供详细的温度场和热通量分布，但在多方向、多持续时间和多热通量条件下进行大规模扫描时计算成本较高。代理模型以热源工况特征与设施构型及目标特征为输入，同时预测连续损伤指数</w:t>
      </w:r>
      <w:r>
        <w:t xml:space="preserve"> Dk </w:t>
      </w:r>
      <w:r>
        <w:rPr>
          <w:rFonts w:hint="eastAsia"/>
        </w:rPr>
        <w:t xml:space="preserve">和四级损伤结果。通过等级约束机制，连续值与工程等级保持一致，可用于热辐射工况快速筛查、阈值方向分析和代表性工况选择。</w:t>
      </w:r>
    </w:p>
    <w:p>
      <w:pPr>
        <w:pStyle w:val="BodyText"/>
      </w:pPr>
      <w:r>
        <w:rPr>
          <w:rFonts w:hint="eastAsia"/>
        </w:rPr>
        <w:t xml:space="preserve">当前合格数据共包含</w:t>
      </w:r>
      <w:r>
        <w:t xml:space="preserve"> 38 </w:t>
      </w:r>
      <w:r>
        <w:rPr>
          <w:rFonts w:hint="eastAsia"/>
        </w:rPr>
        <w:t xml:space="preserve">个设施的</w:t>
      </w:r>
      <w:r>
        <w:t xml:space="preserve"> 6584 </w:t>
      </w:r>
      <w:r>
        <w:rPr>
          <w:rFonts w:hint="eastAsia"/>
        </w:rPr>
        <w:t xml:space="preserve">条模拟工况。本报告覆盖其中</w:t>
      </w:r>
      <w:r>
        <w:t xml:space="preserve"> 15 </w:t>
      </w:r>
      <w:r>
        <w:rPr>
          <w:rFonts w:hint="eastAsia"/>
        </w:rPr>
        <w:t xml:space="preserve">个航空航天设施、2800</w:t>
      </w:r>
      <w:r>
        <w:t xml:space="preserve"> </w:t>
      </w:r>
      <w:r>
        <w:rPr>
          <w:rFonts w:hint="eastAsia"/>
        </w:rPr>
        <w:t xml:space="preserve">条工况，以及</w:t>
      </w:r>
      <w:r>
        <w:t xml:space="preserve"> 6 </w:t>
      </w:r>
      <w:r>
        <w:rPr>
          <w:rFonts w:hint="eastAsia"/>
        </w:rPr>
        <w:t xml:space="preserve">个机场机库设施、1524</w:t>
      </w:r>
      <w:r>
        <w:t xml:space="preserve"> </w:t>
      </w:r>
      <w:r>
        <w:rPr>
          <w:rFonts w:hint="eastAsia"/>
        </w:rPr>
        <w:t xml:space="preserve">条工况，合计</w:t>
      </w:r>
      <w:r>
        <w:t xml:space="preserve"> 21 </w:t>
      </w:r>
      <w:r>
        <w:rPr>
          <w:rFonts w:hint="eastAsia"/>
        </w:rPr>
        <w:t xml:space="preserve">个设施、4324</w:t>
      </w:r>
      <w:r>
        <w:t xml:space="preserve"> </w:t>
      </w:r>
      <w:r>
        <w:rPr>
          <w:rFonts w:hint="eastAsia"/>
        </w:rPr>
        <w:t xml:space="preserve">条工况，包括特异设施模型和等效设施模型。模型对各设施分别训练逐设施代理模型，并对航空航天与机场机库合并子集、两个子类和各设施分别进行专项统计，以保证评价口径统一并完整覆盖机场机库。</w:t>
      </w:r>
    </w:p>
    <w:p>
      <w:r>
        <w:pict>
          <v:rect style="width:0;height:1.5pt" o:hralign="center" o:hrstd="t" o:hr="t"/>
        </w:pict>
      </w:r>
    </w:p>
    <w:bookmarkEnd w:id="55"/>
    <w:bookmarkStart w:id="59" w:name="X29b31ee7b5ace5146af424fd1f23e48a6358181"/>
    <w:p>
      <w:pPr>
        <w:pStyle w:val="3"/>
      </w:pPr>
      <w:r>
        <w:t xml:space="preserve">1 </w:t>
      </w:r>
      <w:r>
        <w:rPr>
          <w:rFonts w:hint="eastAsia"/>
        </w:rPr>
        <w:t xml:space="preserve">研究对象与工程特征</w:t>
      </w:r>
    </w:p>
    <w:bookmarkStart w:id="56" w:name="X6db785e240e612f761795b692339acdadab1943"/>
    <w:p>
      <w:pPr>
        <w:pStyle w:val="4"/>
      </w:pPr>
      <w:r>
        <w:t xml:space="preserve">1.1 </w:t>
      </w:r>
      <w:r>
        <w:rPr>
          <w:rFonts w:hint="eastAsia"/>
        </w:rPr>
        <w:t xml:space="preserve">航空航天与机场机库设施分类</w:t>
      </w:r>
    </w:p>
    <w:p>
      <w:pPr>
        <w:pStyle w:val="FirstParagraph"/>
      </w:pPr>
      <w:r>
        <w:rPr>
          <w:rFonts w:hint="eastAsia"/>
        </w:rPr>
        <w:t xml:space="preserve">本报告的</w:t>
      </w:r>
      <w:r>
        <w:t xml:space="preserve"> 21 </w:t>
      </w:r>
      <w:r>
        <w:rPr>
          <w:rFonts w:hint="eastAsia"/>
        </w:rPr>
        <w:t xml:space="preserve">个设施分为航空航天设施和机场机库设施两个子类。航空航天子类包含</w:t>
      </w:r>
      <w:r>
        <w:t xml:space="preserve"> 12 </w:t>
      </w:r>
      <w:r>
        <w:rPr>
          <w:rFonts w:hint="eastAsia"/>
        </w:rPr>
        <w:t xml:space="preserve">个具有明确工程对象的特异设施模型和</w:t>
      </w:r>
      <w:r>
        <w:t xml:space="preserve"> 3 </w:t>
      </w:r>
      <w:r>
        <w:rPr>
          <w:rFonts w:hint="eastAsia"/>
        </w:rPr>
        <w:t xml:space="preserve">个大、中、小等效设施模型；机场机库子类包含</w:t>
      </w:r>
      <w:r>
        <w:t xml:space="preserve"> 3 </w:t>
      </w:r>
      <w:r>
        <w:rPr>
          <w:rFonts w:hint="eastAsia"/>
        </w:rPr>
        <w:t xml:space="preserve">个具有明确工程对象的特异设施模型和</w:t>
      </w:r>
      <w:r>
        <w:t xml:space="preserve"> 3 </w:t>
      </w:r>
      <w:r>
        <w:rPr>
          <w:rFonts w:hint="eastAsia"/>
        </w:rPr>
        <w:t xml:space="preserve">个大、中、小等效设施模型。特异设施模型用于反映具体建筑几何、开口与目标配置，等效设施模型用于分析尺度、体量、开口比例和目标密度变化对阈值的影响。</w:t>
      </w:r>
    </w:p>
    <w:p>
      <w:pPr>
        <w:pStyle w:val="BodyText"/>
      </w:pPr>
      <w:r>
        <w:rPr>
          <w:rFonts w:hint="eastAsia"/>
        </w:rPr>
        <w:t xml:space="preserve">从工程功能看，发射控制中心和操作楼以飞行控制、通信和数据处理为主，控制室、机房和线缆通道中的电子设备及电缆系统是重要敏感目标；总装、部装和加工厂房承担大型部件装配、航天器处理或零件制造，通常具有连续生产空间、工艺设备区和物料搬运开口；发射塔台及移动发射台具有开放或半开放的受热边界，外部辐射可能更直接地作用于发射设备。机场机库则以大跨度空间、大型机库门和航空器集中停放为主要特征，维修机库还包含检修平台、工装和工艺作业区。上述功能差异通过建筑体量、迎火侧墙面、门窗及总开口比例、敏感目标密度和设施类别等参数进入当前模型。</w:t>
      </w:r>
    </w:p>
    <w:p>
      <w:pPr>
        <w:pStyle w:val="BodyText"/>
      </w:pPr>
      <w:r>
        <w:rPr>
          <w:rFonts w:hint="eastAsia"/>
          <w:b/>
          <w:bCs/>
        </w:rPr>
        <w:t xml:space="preserve">表</w:t>
      </w:r>
      <w:r>
        <w:rPr>
          <w:b/>
          <w:bCs/>
        </w:rPr>
        <w:t xml:space="preserve"> 1 </w:t>
      </w:r>
      <w:r>
        <w:rPr>
          <w:rFonts w:hint="eastAsia"/>
          <w:b/>
          <w:bCs/>
        </w:rPr>
        <w:t xml:space="preserve">航空航天与机场机库设施模拟工况构成</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rPr>
                <w:rFonts w:hint="eastAsia"/>
              </w:rPr>
              <w:t xml:space="preserve">序号</w:t>
            </w:r>
          </w:p>
        </w:tc>
        <w:tc>
          <w:tcPr/>
          <w:p>
            <w:pPr>
              <w:pStyle w:val="Compact"/>
            </w:pPr>
            <w:r>
              <w:rPr>
                <w:rFonts w:hint="eastAsia"/>
              </w:rPr>
              <w:t xml:space="preserve">子类</w:t>
            </w:r>
          </w:p>
        </w:tc>
        <w:tc>
          <w:tcPr/>
          <w:p>
            <w:pPr>
              <w:pStyle w:val="Compact"/>
            </w:pPr>
            <w:r>
              <w:rPr>
                <w:rFonts w:hint="eastAsia"/>
              </w:rPr>
              <w:t xml:space="preserve">设施名称</w:t>
            </w:r>
          </w:p>
        </w:tc>
        <w:tc>
          <w:tcPr/>
          <w:p>
            <w:pPr>
              <w:pStyle w:val="Compact"/>
            </w:pPr>
            <w:r>
              <w:rPr>
                <w:rFonts w:hint="eastAsia"/>
              </w:rPr>
              <w:t xml:space="preserve">模型类型</w:t>
            </w:r>
          </w:p>
        </w:tc>
        <w:tc>
          <w:tcPr/>
          <w:p>
            <w:pPr>
              <w:pStyle w:val="Compact"/>
            </w:pPr>
            <w:r>
              <w:rPr>
                <w:rFonts w:hint="eastAsia"/>
              </w:rPr>
              <w:t xml:space="preserve">工程分类</w:t>
            </w:r>
          </w:p>
        </w:tc>
        <w:tc>
          <w:tcPr/>
          <w:p>
            <w:pPr>
              <w:pStyle w:val="Compact"/>
              <w:jc w:val="right"/>
            </w:pPr>
            <w:r>
              <w:rPr>
                <w:rFonts w:hint="eastAsia"/>
              </w:rPr>
              <w:t xml:space="preserve">合格工况数</w:t>
            </w:r>
          </w:p>
        </w:tc>
      </w:tr>
      <w:tr>
        <w:tc>
          <w:tcPr/>
          <w:p>
            <w:pPr>
              <w:pStyle w:val="Compact"/>
              <w:jc w:val="right"/>
            </w:pPr>
            <w:r>
              <w:t xml:space="preserve">1</w:t>
            </w:r>
          </w:p>
        </w:tc>
        <w:tc>
          <w:tcPr/>
          <w:p>
            <w:pPr>
              <w:pStyle w:val="Compact"/>
            </w:pPr>
            <w:r>
              <w:rPr>
                <w:rFonts w:hint="eastAsia"/>
              </w:rPr>
              <w:t xml:space="preserve">航空航天设施</w:t>
            </w:r>
          </w:p>
        </w:tc>
        <w:tc>
          <w:tcPr/>
          <w:p>
            <w:pPr>
              <w:pStyle w:val="Compact"/>
            </w:pPr>
            <w:r>
              <w:rPr>
                <w:rFonts w:hint="eastAsia"/>
              </w:rPr>
              <w:t xml:space="preserve">波音卫星制造厂</w:t>
            </w:r>
          </w:p>
        </w:tc>
        <w:tc>
          <w:tcPr/>
          <w:p>
            <w:pPr>
              <w:pStyle w:val="Compact"/>
            </w:pPr>
            <w:r>
              <w:rPr>
                <w:rFonts w:hint="eastAsia"/>
              </w:rPr>
              <w:t xml:space="preserve">特异设施模型</w:t>
            </w:r>
          </w:p>
        </w:tc>
        <w:tc>
          <w:tcPr/>
          <w:p>
            <w:pPr>
              <w:pStyle w:val="Compact"/>
            </w:pPr>
            <w:r>
              <w:rPr>
                <w:rFonts w:hint="eastAsia"/>
              </w:rPr>
              <w:t xml:space="preserve">卫星制造设施</w:t>
            </w:r>
          </w:p>
        </w:tc>
        <w:tc>
          <w:tcPr/>
          <w:p>
            <w:pPr>
              <w:pStyle w:val="Compact"/>
              <w:jc w:val="right"/>
            </w:pPr>
            <w:r>
              <w:t xml:space="preserve">362</w:t>
            </w:r>
          </w:p>
        </w:tc>
      </w:tr>
      <w:tr>
        <w:tc>
          <w:tcPr/>
          <w:p>
            <w:pPr>
              <w:pStyle w:val="Compact"/>
              <w:jc w:val="right"/>
            </w:pPr>
            <w:r>
              <w:t xml:space="preserve">2</w:t>
            </w:r>
          </w:p>
        </w:tc>
        <w:tc>
          <w:tcPr/>
          <w:p>
            <w:pPr>
              <w:pStyle w:val="Compact"/>
            </w:pPr>
            <w:r>
              <w:rPr>
                <w:rFonts w:hint="eastAsia"/>
              </w:rPr>
              <w:t xml:space="preserve">航空航天设施</w:t>
            </w:r>
          </w:p>
        </w:tc>
        <w:tc>
          <w:tcPr/>
          <w:p>
            <w:pPr>
              <w:pStyle w:val="Compact"/>
            </w:pPr>
            <w:r>
              <w:rPr>
                <w:rFonts w:hint="eastAsia"/>
              </w:rPr>
              <w:t xml:space="preserve">多载荷处理厂房（MPPF）</w:t>
            </w:r>
          </w:p>
        </w:tc>
        <w:tc>
          <w:tcPr/>
          <w:p>
            <w:pPr>
              <w:pStyle w:val="Compact"/>
            </w:pPr>
            <w:r>
              <w:rPr>
                <w:rFonts w:hint="eastAsia"/>
              </w:rPr>
              <w:t xml:space="preserve">特异设施模型</w:t>
            </w:r>
          </w:p>
        </w:tc>
        <w:tc>
          <w:tcPr/>
          <w:p>
            <w:pPr>
              <w:pStyle w:val="Compact"/>
            </w:pPr>
            <w:r>
              <w:rPr>
                <w:rFonts w:hint="eastAsia"/>
              </w:rPr>
              <w:t xml:space="preserve">航天器处理厂房</w:t>
            </w:r>
          </w:p>
        </w:tc>
        <w:tc>
          <w:tcPr/>
          <w:p>
            <w:pPr>
              <w:pStyle w:val="Compact"/>
              <w:jc w:val="right"/>
            </w:pPr>
            <w:r>
              <w:t xml:space="preserve">313</w:t>
            </w:r>
          </w:p>
        </w:tc>
      </w:tr>
      <w:tr>
        <w:tc>
          <w:tcPr/>
          <w:p>
            <w:pPr>
              <w:pStyle w:val="Compact"/>
              <w:jc w:val="right"/>
            </w:pPr>
            <w:r>
              <w:t xml:space="preserve">3</w:t>
            </w:r>
          </w:p>
        </w:tc>
        <w:tc>
          <w:tcPr/>
          <w:p>
            <w:pPr>
              <w:pStyle w:val="Compact"/>
            </w:pPr>
            <w:r>
              <w:rPr>
                <w:rFonts w:hint="eastAsia"/>
              </w:rPr>
              <w:t xml:space="preserve">航空航天设施</w:t>
            </w:r>
          </w:p>
        </w:tc>
        <w:tc>
          <w:tcPr/>
          <w:p>
            <w:pPr>
              <w:pStyle w:val="Compact"/>
            </w:pPr>
            <w:r>
              <w:rPr>
                <w:rFonts w:hint="eastAsia"/>
              </w:rPr>
              <w:t xml:space="preserve">SLC3发射塔与移动发射台</w:t>
            </w:r>
          </w:p>
        </w:tc>
        <w:tc>
          <w:tcPr/>
          <w:p>
            <w:pPr>
              <w:pStyle w:val="Compact"/>
            </w:pPr>
            <w:r>
              <w:rPr>
                <w:rFonts w:hint="eastAsia"/>
              </w:rPr>
              <w:t xml:space="preserve">特异设施模型</w:t>
            </w:r>
          </w:p>
        </w:tc>
        <w:tc>
          <w:tcPr/>
          <w:p>
            <w:pPr>
              <w:pStyle w:val="Compact"/>
            </w:pPr>
            <w:r>
              <w:rPr>
                <w:rFonts w:hint="eastAsia"/>
              </w:rPr>
              <w:t xml:space="preserve">发射塔台设施</w:t>
            </w:r>
          </w:p>
        </w:tc>
        <w:tc>
          <w:tcPr/>
          <w:p>
            <w:pPr>
              <w:pStyle w:val="Compact"/>
              <w:jc w:val="right"/>
            </w:pPr>
            <w:r>
              <w:t xml:space="preserve">261</w:t>
            </w:r>
          </w:p>
        </w:tc>
      </w:tr>
      <w:tr>
        <w:tc>
          <w:tcPr/>
          <w:p>
            <w:pPr>
              <w:pStyle w:val="Compact"/>
              <w:jc w:val="right"/>
            </w:pPr>
            <w:r>
              <w:t xml:space="preserve">4</w:t>
            </w:r>
          </w:p>
        </w:tc>
        <w:tc>
          <w:tcPr/>
          <w:p>
            <w:pPr>
              <w:pStyle w:val="Compact"/>
            </w:pPr>
            <w:r>
              <w:rPr>
                <w:rFonts w:hint="eastAsia"/>
              </w:rPr>
              <w:t xml:space="preserve">航空航天设施</w:t>
            </w:r>
          </w:p>
        </w:tc>
        <w:tc>
          <w:tcPr/>
          <w:p>
            <w:pPr>
              <w:pStyle w:val="Compact"/>
            </w:pPr>
            <w:r>
              <w:rPr>
                <w:rFonts w:hint="eastAsia"/>
              </w:rPr>
              <w:t xml:space="preserve">波音飞机主厂房及相邻机身辅助厂</w:t>
            </w:r>
          </w:p>
        </w:tc>
        <w:tc>
          <w:tcPr/>
          <w:p>
            <w:pPr>
              <w:pStyle w:val="Compact"/>
            </w:pPr>
            <w:r>
              <w:rPr>
                <w:rFonts w:hint="eastAsia"/>
              </w:rPr>
              <w:t xml:space="preserve">特异设施模型</w:t>
            </w:r>
          </w:p>
        </w:tc>
        <w:tc>
          <w:tcPr/>
          <w:p>
            <w:pPr>
              <w:pStyle w:val="Compact"/>
            </w:pPr>
            <w:r>
              <w:rPr>
                <w:rFonts w:hint="eastAsia"/>
              </w:rPr>
              <w:t xml:space="preserve">飞机制造与部装设施</w:t>
            </w:r>
          </w:p>
        </w:tc>
        <w:tc>
          <w:tcPr/>
          <w:p>
            <w:pPr>
              <w:pStyle w:val="Compact"/>
              <w:jc w:val="right"/>
            </w:pPr>
            <w:r>
              <w:t xml:space="preserve">108</w:t>
            </w:r>
          </w:p>
        </w:tc>
      </w:tr>
      <w:tr>
        <w:tc>
          <w:tcPr/>
          <w:p>
            <w:pPr>
              <w:pStyle w:val="Compact"/>
              <w:jc w:val="right"/>
            </w:pPr>
            <w:r>
              <w:t xml:space="preserve">5</w:t>
            </w:r>
          </w:p>
        </w:tc>
        <w:tc>
          <w:tcPr/>
          <w:p>
            <w:pPr>
              <w:pStyle w:val="Compact"/>
            </w:pPr>
            <w:r>
              <w:rPr>
                <w:rFonts w:hint="eastAsia"/>
              </w:rPr>
              <w:t xml:space="preserve">航空航天设施</w:t>
            </w:r>
          </w:p>
        </w:tc>
        <w:tc>
          <w:tcPr/>
          <w:p>
            <w:pPr>
              <w:pStyle w:val="Compact"/>
            </w:pPr>
            <w:r>
              <w:rPr>
                <w:rFonts w:hint="eastAsia"/>
              </w:rPr>
              <w:t xml:space="preserve">沃斯堡空军4号飞机工厂</w:t>
            </w:r>
          </w:p>
        </w:tc>
        <w:tc>
          <w:tcPr/>
          <w:p>
            <w:pPr>
              <w:pStyle w:val="Compact"/>
            </w:pPr>
            <w:r>
              <w:rPr>
                <w:rFonts w:hint="eastAsia"/>
              </w:rPr>
              <w:t xml:space="preserve">特异设施模型</w:t>
            </w:r>
          </w:p>
        </w:tc>
        <w:tc>
          <w:tcPr/>
          <w:p>
            <w:pPr>
              <w:pStyle w:val="Compact"/>
            </w:pPr>
            <w:r>
              <w:rPr>
                <w:rFonts w:hint="eastAsia"/>
              </w:rPr>
              <w:t xml:space="preserve">飞机制造设施</w:t>
            </w:r>
          </w:p>
        </w:tc>
        <w:tc>
          <w:tcPr/>
          <w:p>
            <w:pPr>
              <w:pStyle w:val="Compact"/>
              <w:jc w:val="right"/>
            </w:pPr>
            <w:r>
              <w:t xml:space="preserve">209</w:t>
            </w:r>
          </w:p>
        </w:tc>
      </w:tr>
      <w:tr>
        <w:tc>
          <w:tcPr/>
          <w:p>
            <w:pPr>
              <w:pStyle w:val="Compact"/>
              <w:jc w:val="right"/>
            </w:pPr>
            <w:r>
              <w:t xml:space="preserve">6</w:t>
            </w:r>
          </w:p>
        </w:tc>
        <w:tc>
          <w:tcPr/>
          <w:p>
            <w:pPr>
              <w:pStyle w:val="Compact"/>
            </w:pPr>
            <w:r>
              <w:rPr>
                <w:rFonts w:hint="eastAsia"/>
              </w:rPr>
              <w:t xml:space="preserve">航空航天设施</w:t>
            </w:r>
          </w:p>
        </w:tc>
        <w:tc>
          <w:tcPr/>
          <w:p>
            <w:pPr>
              <w:pStyle w:val="Compact"/>
            </w:pPr>
            <w:r>
              <w:rPr>
                <w:rFonts w:hint="eastAsia"/>
              </w:rPr>
              <w:t xml:space="preserve">40号发射场机库</w:t>
            </w:r>
          </w:p>
        </w:tc>
        <w:tc>
          <w:tcPr/>
          <w:p>
            <w:pPr>
              <w:pStyle w:val="Compact"/>
            </w:pPr>
            <w:r>
              <w:rPr>
                <w:rFonts w:hint="eastAsia"/>
              </w:rPr>
              <w:t xml:space="preserve">特异设施模型</w:t>
            </w:r>
          </w:p>
        </w:tc>
        <w:tc>
          <w:tcPr/>
          <w:p>
            <w:pPr>
              <w:pStyle w:val="Compact"/>
            </w:pPr>
            <w:r>
              <w:rPr>
                <w:rFonts w:hint="eastAsia"/>
              </w:rPr>
              <w:t xml:space="preserve">发射场机库</w:t>
            </w:r>
          </w:p>
        </w:tc>
        <w:tc>
          <w:tcPr/>
          <w:p>
            <w:pPr>
              <w:pStyle w:val="Compact"/>
              <w:jc w:val="right"/>
            </w:pPr>
            <w:r>
              <w:t xml:space="preserve">192</w:t>
            </w:r>
          </w:p>
        </w:tc>
      </w:tr>
      <w:tr>
        <w:tc>
          <w:tcPr/>
          <w:p>
            <w:pPr>
              <w:pStyle w:val="Compact"/>
              <w:jc w:val="right"/>
            </w:pPr>
            <w:r>
              <w:t xml:space="preserve">7</w:t>
            </w:r>
          </w:p>
        </w:tc>
        <w:tc>
          <w:tcPr/>
          <w:p>
            <w:pPr>
              <w:pStyle w:val="Compact"/>
            </w:pPr>
            <w:r>
              <w:rPr>
                <w:rFonts w:hint="eastAsia"/>
              </w:rPr>
              <w:t xml:space="preserve">航空航天设施</w:t>
            </w:r>
          </w:p>
        </w:tc>
        <w:tc>
          <w:tcPr/>
          <w:p>
            <w:pPr>
              <w:pStyle w:val="Compact"/>
            </w:pPr>
            <w:r>
              <w:rPr>
                <w:rFonts w:hint="eastAsia"/>
              </w:rPr>
              <w:t xml:space="preserve">发射控制中心（LCC）</w:t>
            </w:r>
          </w:p>
        </w:tc>
        <w:tc>
          <w:tcPr/>
          <w:p>
            <w:pPr>
              <w:pStyle w:val="Compact"/>
            </w:pPr>
            <w:r>
              <w:rPr>
                <w:rFonts w:hint="eastAsia"/>
              </w:rPr>
              <w:t xml:space="preserve">特异设施模型</w:t>
            </w:r>
          </w:p>
        </w:tc>
        <w:tc>
          <w:tcPr/>
          <w:p>
            <w:pPr>
              <w:pStyle w:val="Compact"/>
            </w:pPr>
            <w:r>
              <w:rPr>
                <w:rFonts w:hint="eastAsia"/>
              </w:rPr>
              <w:t xml:space="preserve">发射控制设施</w:t>
            </w:r>
          </w:p>
        </w:tc>
        <w:tc>
          <w:tcPr/>
          <w:p>
            <w:pPr>
              <w:pStyle w:val="Compact"/>
              <w:jc w:val="right"/>
            </w:pPr>
            <w:r>
              <w:t xml:space="preserve">182</w:t>
            </w:r>
          </w:p>
        </w:tc>
      </w:tr>
      <w:tr>
        <w:tc>
          <w:tcPr/>
          <w:p>
            <w:pPr>
              <w:pStyle w:val="Compact"/>
              <w:jc w:val="right"/>
            </w:pPr>
            <w:r>
              <w:t xml:space="preserve">8</w:t>
            </w:r>
          </w:p>
        </w:tc>
        <w:tc>
          <w:tcPr/>
          <w:p>
            <w:pPr>
              <w:pStyle w:val="Compact"/>
            </w:pPr>
            <w:r>
              <w:rPr>
                <w:rFonts w:hint="eastAsia"/>
              </w:rPr>
              <w:t xml:space="preserve">航空航天设施</w:t>
            </w:r>
          </w:p>
        </w:tc>
        <w:tc>
          <w:tcPr/>
          <w:p>
            <w:pPr>
              <w:pStyle w:val="Compact"/>
            </w:pPr>
            <w:r>
              <w:rPr>
                <w:rFonts w:hint="eastAsia"/>
              </w:rPr>
              <w:t xml:space="preserve">SLC3发射操作楼</w:t>
            </w:r>
          </w:p>
        </w:tc>
        <w:tc>
          <w:tcPr/>
          <w:p>
            <w:pPr>
              <w:pStyle w:val="Compact"/>
            </w:pPr>
            <w:r>
              <w:rPr>
                <w:rFonts w:hint="eastAsia"/>
              </w:rPr>
              <w:t xml:space="preserve">特异设施模型</w:t>
            </w:r>
          </w:p>
        </w:tc>
        <w:tc>
          <w:tcPr/>
          <w:p>
            <w:pPr>
              <w:pStyle w:val="Compact"/>
            </w:pPr>
            <w:r>
              <w:rPr>
                <w:rFonts w:hint="eastAsia"/>
              </w:rPr>
              <w:t xml:space="preserve">发射操作设施</w:t>
            </w:r>
          </w:p>
        </w:tc>
        <w:tc>
          <w:tcPr/>
          <w:p>
            <w:pPr>
              <w:pStyle w:val="Compact"/>
              <w:jc w:val="right"/>
            </w:pPr>
            <w:r>
              <w:t xml:space="preserve">184</w:t>
            </w:r>
          </w:p>
        </w:tc>
      </w:tr>
      <w:tr>
        <w:tc>
          <w:tcPr/>
          <w:p>
            <w:pPr>
              <w:pStyle w:val="Compact"/>
              <w:jc w:val="right"/>
            </w:pPr>
            <w:r>
              <w:t xml:space="preserve">9</w:t>
            </w:r>
          </w:p>
        </w:tc>
        <w:tc>
          <w:tcPr/>
          <w:p>
            <w:pPr>
              <w:pStyle w:val="Compact"/>
            </w:pPr>
            <w:r>
              <w:rPr>
                <w:rFonts w:hint="eastAsia"/>
              </w:rPr>
              <w:t xml:space="preserve">航空航天设施</w:t>
            </w:r>
          </w:p>
        </w:tc>
        <w:tc>
          <w:tcPr/>
          <w:p>
            <w:pPr>
              <w:pStyle w:val="Compact"/>
            </w:pPr>
            <w:r>
              <w:rPr>
                <w:rFonts w:hint="eastAsia"/>
              </w:rPr>
              <w:t xml:space="preserve">加工厂房（MAF）</w:t>
            </w:r>
          </w:p>
        </w:tc>
        <w:tc>
          <w:tcPr/>
          <w:p>
            <w:pPr>
              <w:pStyle w:val="Compact"/>
            </w:pPr>
            <w:r>
              <w:rPr>
                <w:rFonts w:hint="eastAsia"/>
              </w:rPr>
              <w:t xml:space="preserve">特异设施模型</w:t>
            </w:r>
          </w:p>
        </w:tc>
        <w:tc>
          <w:tcPr/>
          <w:p>
            <w:pPr>
              <w:pStyle w:val="Compact"/>
            </w:pPr>
            <w:r>
              <w:rPr>
                <w:rFonts w:hint="eastAsia"/>
              </w:rPr>
              <w:t xml:space="preserve">加工厂房</w:t>
            </w:r>
          </w:p>
        </w:tc>
        <w:tc>
          <w:tcPr/>
          <w:p>
            <w:pPr>
              <w:pStyle w:val="Compact"/>
              <w:jc w:val="right"/>
            </w:pPr>
            <w:r>
              <w:t xml:space="preserve">175</w:t>
            </w:r>
          </w:p>
        </w:tc>
      </w:tr>
      <w:tr>
        <w:tc>
          <w:tcPr/>
          <w:p>
            <w:pPr>
              <w:pStyle w:val="Compact"/>
              <w:jc w:val="right"/>
            </w:pPr>
            <w:r>
              <w:t xml:space="preserve">10</w:t>
            </w:r>
          </w:p>
        </w:tc>
        <w:tc>
          <w:tcPr/>
          <w:p>
            <w:pPr>
              <w:pStyle w:val="Compact"/>
            </w:pPr>
            <w:r>
              <w:rPr>
                <w:rFonts w:hint="eastAsia"/>
              </w:rPr>
              <w:t xml:space="preserve">航空航天设施</w:t>
            </w:r>
          </w:p>
        </w:tc>
        <w:tc>
          <w:tcPr/>
          <w:p>
            <w:pPr>
              <w:pStyle w:val="Compact"/>
            </w:pPr>
            <w:r>
              <w:rPr>
                <w:rFonts w:hint="eastAsia"/>
              </w:rPr>
              <w:t xml:space="preserve">操作测试大楼</w:t>
            </w:r>
          </w:p>
        </w:tc>
        <w:tc>
          <w:tcPr/>
          <w:p>
            <w:pPr>
              <w:pStyle w:val="Compact"/>
            </w:pPr>
            <w:r>
              <w:rPr>
                <w:rFonts w:hint="eastAsia"/>
              </w:rPr>
              <w:t xml:space="preserve">特异设施模型</w:t>
            </w:r>
          </w:p>
        </w:tc>
        <w:tc>
          <w:tcPr/>
          <w:p>
            <w:pPr>
              <w:pStyle w:val="Compact"/>
            </w:pPr>
            <w:r>
              <w:rPr>
                <w:rFonts w:hint="eastAsia"/>
              </w:rPr>
              <w:t xml:space="preserve">操作测试设施</w:t>
            </w:r>
          </w:p>
        </w:tc>
        <w:tc>
          <w:tcPr/>
          <w:p>
            <w:pPr>
              <w:pStyle w:val="Compact"/>
              <w:jc w:val="right"/>
            </w:pPr>
            <w:r>
              <w:t xml:space="preserve">155</w:t>
            </w:r>
          </w:p>
        </w:tc>
      </w:tr>
      <w:tr>
        <w:tc>
          <w:tcPr/>
          <w:p>
            <w:pPr>
              <w:pStyle w:val="Compact"/>
              <w:jc w:val="right"/>
            </w:pPr>
            <w:r>
              <w:t xml:space="preserve">11</w:t>
            </w:r>
          </w:p>
        </w:tc>
        <w:tc>
          <w:tcPr/>
          <w:p>
            <w:pPr>
              <w:pStyle w:val="Compact"/>
            </w:pPr>
            <w:r>
              <w:rPr>
                <w:rFonts w:hint="eastAsia"/>
              </w:rPr>
              <w:t xml:space="preserve">航空航天设施</w:t>
            </w:r>
          </w:p>
        </w:tc>
        <w:tc>
          <w:tcPr/>
          <w:p>
            <w:pPr>
              <w:pStyle w:val="Compact"/>
            </w:pPr>
            <w:r>
              <w:rPr>
                <w:rFonts w:hint="eastAsia"/>
              </w:rPr>
              <w:t xml:space="preserve">空间系统处理设施（SSPF）</w:t>
            </w:r>
          </w:p>
        </w:tc>
        <w:tc>
          <w:tcPr/>
          <w:p>
            <w:pPr>
              <w:pStyle w:val="Compact"/>
            </w:pPr>
            <w:r>
              <w:rPr>
                <w:rFonts w:hint="eastAsia"/>
              </w:rPr>
              <w:t xml:space="preserve">特异设施模型</w:t>
            </w:r>
          </w:p>
        </w:tc>
        <w:tc>
          <w:tcPr/>
          <w:p>
            <w:pPr>
              <w:pStyle w:val="Compact"/>
            </w:pPr>
            <w:r>
              <w:rPr>
                <w:rFonts w:hint="eastAsia"/>
              </w:rPr>
              <w:t xml:space="preserve">空间系统处理设施</w:t>
            </w:r>
          </w:p>
        </w:tc>
        <w:tc>
          <w:tcPr/>
          <w:p>
            <w:pPr>
              <w:pStyle w:val="Compact"/>
              <w:jc w:val="right"/>
            </w:pPr>
            <w:r>
              <w:t xml:space="preserve">55</w:t>
            </w:r>
          </w:p>
        </w:tc>
      </w:tr>
      <w:tr>
        <w:tc>
          <w:tcPr/>
          <w:p>
            <w:pPr>
              <w:pStyle w:val="Compact"/>
              <w:jc w:val="right"/>
            </w:pPr>
            <w:r>
              <w:t xml:space="preserve">12</w:t>
            </w:r>
          </w:p>
        </w:tc>
        <w:tc>
          <w:tcPr/>
          <w:p>
            <w:pPr>
              <w:pStyle w:val="Compact"/>
            </w:pPr>
            <w:r>
              <w:rPr>
                <w:rFonts w:hint="eastAsia"/>
              </w:rPr>
              <w:t xml:space="preserve">航空航天设施</w:t>
            </w:r>
          </w:p>
        </w:tc>
        <w:tc>
          <w:tcPr/>
          <w:p>
            <w:pPr>
              <w:pStyle w:val="Compact"/>
            </w:pPr>
            <w:r>
              <w:rPr>
                <w:rFonts w:hint="eastAsia"/>
              </w:rPr>
              <w:t xml:space="preserve">总装大楼（VAB）</w:t>
            </w:r>
          </w:p>
        </w:tc>
        <w:tc>
          <w:tcPr/>
          <w:p>
            <w:pPr>
              <w:pStyle w:val="Compact"/>
            </w:pPr>
            <w:r>
              <w:rPr>
                <w:rFonts w:hint="eastAsia"/>
              </w:rPr>
              <w:t xml:space="preserve">特异设施模型</w:t>
            </w:r>
          </w:p>
        </w:tc>
        <w:tc>
          <w:tcPr/>
          <w:p>
            <w:pPr>
              <w:pStyle w:val="Compact"/>
            </w:pPr>
            <w:r>
              <w:rPr>
                <w:rFonts w:hint="eastAsia"/>
              </w:rPr>
              <w:t xml:space="preserve">总装设施</w:t>
            </w:r>
          </w:p>
        </w:tc>
        <w:tc>
          <w:tcPr/>
          <w:p>
            <w:pPr>
              <w:pStyle w:val="Compact"/>
              <w:jc w:val="right"/>
            </w:pPr>
            <w:r>
              <w:t xml:space="preserve">186</w:t>
            </w:r>
          </w:p>
        </w:tc>
      </w:tr>
      <w:tr>
        <w:tc>
          <w:tcPr/>
          <w:p>
            <w:pPr>
              <w:pStyle w:val="Compact"/>
              <w:jc w:val="right"/>
            </w:pPr>
            <w:r>
              <w:t xml:space="preserve">13</w:t>
            </w:r>
          </w:p>
        </w:tc>
        <w:tc>
          <w:tcPr/>
          <w:p>
            <w:pPr>
              <w:pStyle w:val="Compact"/>
            </w:pPr>
            <w:r>
              <w:rPr>
                <w:rFonts w:hint="eastAsia"/>
              </w:rPr>
              <w:t xml:space="preserve">航空航天设施</w:t>
            </w:r>
          </w:p>
        </w:tc>
        <w:tc>
          <w:tcPr/>
          <w:p>
            <w:pPr>
              <w:pStyle w:val="Compact"/>
            </w:pPr>
            <w:r>
              <w:rPr>
                <w:rFonts w:hint="eastAsia"/>
              </w:rPr>
              <w:t xml:space="preserve">大型航空航天等效设施</w:t>
            </w:r>
          </w:p>
        </w:tc>
        <w:tc>
          <w:tcPr/>
          <w:p>
            <w:pPr>
              <w:pStyle w:val="Compact"/>
            </w:pPr>
            <w:r>
              <w:rPr>
                <w:rFonts w:hint="eastAsia"/>
              </w:rPr>
              <w:t xml:space="preserve">等效设施模型</w:t>
            </w:r>
          </w:p>
        </w:tc>
        <w:tc>
          <w:tcPr/>
          <w:p>
            <w:pPr>
              <w:pStyle w:val="Compact"/>
            </w:pPr>
            <w:r>
              <w:rPr>
                <w:rFonts w:hint="eastAsia"/>
              </w:rPr>
              <w:t xml:space="preserve">通用航空航天设施（大）</w:t>
            </w:r>
          </w:p>
        </w:tc>
        <w:tc>
          <w:tcPr/>
          <w:p>
            <w:pPr>
              <w:pStyle w:val="Compact"/>
              <w:jc w:val="right"/>
            </w:pPr>
            <w:r>
              <w:t xml:space="preserve">106</w:t>
            </w:r>
          </w:p>
        </w:tc>
      </w:tr>
      <w:tr>
        <w:tc>
          <w:tcPr/>
          <w:p>
            <w:pPr>
              <w:pStyle w:val="Compact"/>
              <w:jc w:val="right"/>
            </w:pPr>
            <w:r>
              <w:t xml:space="preserve">14</w:t>
            </w:r>
          </w:p>
        </w:tc>
        <w:tc>
          <w:tcPr/>
          <w:p>
            <w:pPr>
              <w:pStyle w:val="Compact"/>
            </w:pPr>
            <w:r>
              <w:rPr>
                <w:rFonts w:hint="eastAsia"/>
              </w:rPr>
              <w:t xml:space="preserve">航空航天设施</w:t>
            </w:r>
          </w:p>
        </w:tc>
        <w:tc>
          <w:tcPr/>
          <w:p>
            <w:pPr>
              <w:pStyle w:val="Compact"/>
            </w:pPr>
            <w:r>
              <w:rPr>
                <w:rFonts w:hint="eastAsia"/>
              </w:rPr>
              <w:t xml:space="preserve">中型航空航天等效设施</w:t>
            </w:r>
          </w:p>
        </w:tc>
        <w:tc>
          <w:tcPr/>
          <w:p>
            <w:pPr>
              <w:pStyle w:val="Compact"/>
            </w:pPr>
            <w:r>
              <w:rPr>
                <w:rFonts w:hint="eastAsia"/>
              </w:rPr>
              <w:t xml:space="preserve">等效设施模型</w:t>
            </w:r>
          </w:p>
        </w:tc>
        <w:tc>
          <w:tcPr/>
          <w:p>
            <w:pPr>
              <w:pStyle w:val="Compact"/>
            </w:pPr>
            <w:r>
              <w:rPr>
                <w:rFonts w:hint="eastAsia"/>
              </w:rPr>
              <w:t xml:space="preserve">通用航空航天设施（中）</w:t>
            </w:r>
          </w:p>
        </w:tc>
        <w:tc>
          <w:tcPr/>
          <w:p>
            <w:pPr>
              <w:pStyle w:val="Compact"/>
              <w:jc w:val="right"/>
            </w:pPr>
            <w:r>
              <w:t xml:space="preserve">168</w:t>
            </w:r>
          </w:p>
        </w:tc>
      </w:tr>
      <w:tr>
        <w:tc>
          <w:tcPr/>
          <w:p>
            <w:pPr>
              <w:pStyle w:val="Compact"/>
              <w:jc w:val="right"/>
            </w:pPr>
            <w:r>
              <w:t xml:space="preserve">15</w:t>
            </w:r>
          </w:p>
        </w:tc>
        <w:tc>
          <w:tcPr/>
          <w:p>
            <w:pPr>
              <w:pStyle w:val="Compact"/>
            </w:pPr>
            <w:r>
              <w:rPr>
                <w:rFonts w:hint="eastAsia"/>
              </w:rPr>
              <w:t xml:space="preserve">航空航天设施</w:t>
            </w:r>
          </w:p>
        </w:tc>
        <w:tc>
          <w:tcPr/>
          <w:p>
            <w:pPr>
              <w:pStyle w:val="Compact"/>
            </w:pPr>
            <w:r>
              <w:rPr>
                <w:rFonts w:hint="eastAsia"/>
              </w:rPr>
              <w:t xml:space="preserve">小型航空航天等效设施</w:t>
            </w:r>
          </w:p>
        </w:tc>
        <w:tc>
          <w:tcPr/>
          <w:p>
            <w:pPr>
              <w:pStyle w:val="Compact"/>
            </w:pPr>
            <w:r>
              <w:rPr>
                <w:rFonts w:hint="eastAsia"/>
              </w:rPr>
              <w:t xml:space="preserve">等效设施模型</w:t>
            </w:r>
          </w:p>
        </w:tc>
        <w:tc>
          <w:tcPr/>
          <w:p>
            <w:pPr>
              <w:pStyle w:val="Compact"/>
            </w:pPr>
            <w:r>
              <w:rPr>
                <w:rFonts w:hint="eastAsia"/>
              </w:rPr>
              <w:t xml:space="preserve">通用航空航天设施（小）</w:t>
            </w:r>
          </w:p>
        </w:tc>
        <w:tc>
          <w:tcPr/>
          <w:p>
            <w:pPr>
              <w:pStyle w:val="Compact"/>
              <w:jc w:val="right"/>
            </w:pPr>
            <w:r>
              <w:t xml:space="preserve">144</w:t>
            </w:r>
          </w:p>
        </w:tc>
      </w:tr>
      <w:tr>
        <w:tc>
          <w:tcPr/>
          <w:p>
            <w:pPr>
              <w:pStyle w:val="Compact"/>
              <w:jc w:val="right"/>
            </w:pPr>
            <w:r>
              <w:t xml:space="preserve">16</w:t>
            </w:r>
          </w:p>
        </w:tc>
        <w:tc>
          <w:tcPr/>
          <w:p>
            <w:pPr>
              <w:pStyle w:val="Compact"/>
            </w:pPr>
            <w:r>
              <w:rPr>
                <w:rFonts w:hint="eastAsia"/>
              </w:rPr>
              <w:t xml:space="preserve">机场机库设施</w:t>
            </w:r>
          </w:p>
        </w:tc>
        <w:tc>
          <w:tcPr/>
          <w:p>
            <w:pPr>
              <w:pStyle w:val="Compact"/>
            </w:pPr>
            <w:r>
              <w:rPr>
                <w:rFonts w:hint="eastAsia"/>
              </w:rPr>
              <w:t xml:space="preserve">埃格林空军基地一号机库</w:t>
            </w:r>
          </w:p>
        </w:tc>
        <w:tc>
          <w:tcPr/>
          <w:p>
            <w:pPr>
              <w:pStyle w:val="Compact"/>
            </w:pPr>
            <w:r>
              <w:rPr>
                <w:rFonts w:hint="eastAsia"/>
              </w:rPr>
              <w:t xml:space="preserve">特异设施模型</w:t>
            </w:r>
          </w:p>
        </w:tc>
        <w:tc>
          <w:tcPr/>
          <w:p>
            <w:pPr>
              <w:pStyle w:val="Compact"/>
            </w:pPr>
            <w:r>
              <w:rPr>
                <w:rFonts w:hint="eastAsia"/>
              </w:rPr>
              <w:t xml:space="preserve">军用航空器机库</w:t>
            </w:r>
          </w:p>
        </w:tc>
        <w:tc>
          <w:tcPr/>
          <w:p>
            <w:pPr>
              <w:pStyle w:val="Compact"/>
              <w:jc w:val="right"/>
            </w:pPr>
            <w:r>
              <w:t xml:space="preserve">375</w:t>
            </w:r>
          </w:p>
        </w:tc>
      </w:tr>
      <w:tr>
        <w:tc>
          <w:tcPr/>
          <w:p>
            <w:pPr>
              <w:pStyle w:val="Compact"/>
              <w:jc w:val="right"/>
            </w:pPr>
            <w:r>
              <w:t xml:space="preserve">17</w:t>
            </w:r>
          </w:p>
        </w:tc>
        <w:tc>
          <w:tcPr/>
          <w:p>
            <w:pPr>
              <w:pStyle w:val="Compact"/>
            </w:pPr>
            <w:r>
              <w:rPr>
                <w:rFonts w:hint="eastAsia"/>
              </w:rPr>
              <w:t xml:space="preserve">机场机库设施</w:t>
            </w:r>
          </w:p>
        </w:tc>
        <w:tc>
          <w:tcPr/>
          <w:p>
            <w:pPr>
              <w:pStyle w:val="Compact"/>
            </w:pPr>
            <w:r>
              <w:rPr>
                <w:rFonts w:hint="eastAsia"/>
              </w:rPr>
              <w:t xml:space="preserve">费城国际机场TWA维修机库</w:t>
            </w:r>
          </w:p>
        </w:tc>
        <w:tc>
          <w:tcPr/>
          <w:p>
            <w:pPr>
              <w:pStyle w:val="Compact"/>
            </w:pPr>
            <w:r>
              <w:rPr>
                <w:rFonts w:hint="eastAsia"/>
              </w:rPr>
              <w:t xml:space="preserve">特异设施模型</w:t>
            </w:r>
          </w:p>
        </w:tc>
        <w:tc>
          <w:tcPr/>
          <w:p>
            <w:pPr>
              <w:pStyle w:val="Compact"/>
            </w:pPr>
            <w:r>
              <w:rPr>
                <w:rFonts w:hint="eastAsia"/>
              </w:rPr>
              <w:t xml:space="preserve">民航维修机库</w:t>
            </w:r>
          </w:p>
        </w:tc>
        <w:tc>
          <w:tcPr/>
          <w:p>
            <w:pPr>
              <w:pStyle w:val="Compact"/>
              <w:jc w:val="right"/>
            </w:pPr>
            <w:r>
              <w:t xml:space="preserve">465</w:t>
            </w:r>
          </w:p>
        </w:tc>
      </w:tr>
      <w:tr>
        <w:tc>
          <w:tcPr/>
          <w:p>
            <w:pPr>
              <w:pStyle w:val="Compact"/>
              <w:jc w:val="right"/>
            </w:pPr>
            <w:r>
              <w:t xml:space="preserve">18</w:t>
            </w:r>
          </w:p>
        </w:tc>
        <w:tc>
          <w:tcPr/>
          <w:p>
            <w:pPr>
              <w:pStyle w:val="Compact"/>
            </w:pPr>
            <w:r>
              <w:rPr>
                <w:rFonts w:hint="eastAsia"/>
              </w:rPr>
              <w:t xml:space="preserve">机场机库设施</w:t>
            </w:r>
          </w:p>
        </w:tc>
        <w:tc>
          <w:tcPr/>
          <w:p>
            <w:pPr>
              <w:pStyle w:val="Compact"/>
            </w:pPr>
            <w:r>
              <w:rPr>
                <w:rFonts w:hint="eastAsia"/>
              </w:rPr>
              <w:t xml:space="preserve">华盛顿里根国家机场机库</w:t>
            </w:r>
          </w:p>
        </w:tc>
        <w:tc>
          <w:tcPr/>
          <w:p>
            <w:pPr>
              <w:pStyle w:val="Compact"/>
            </w:pPr>
            <w:r>
              <w:rPr>
                <w:rFonts w:hint="eastAsia"/>
              </w:rPr>
              <w:t xml:space="preserve">特异设施模型</w:t>
            </w:r>
          </w:p>
        </w:tc>
        <w:tc>
          <w:tcPr/>
          <w:p>
            <w:pPr>
              <w:pStyle w:val="Compact"/>
            </w:pPr>
            <w:r>
              <w:rPr>
                <w:rFonts w:hint="eastAsia"/>
              </w:rPr>
              <w:t xml:space="preserve">民航机场机库</w:t>
            </w:r>
          </w:p>
        </w:tc>
        <w:tc>
          <w:tcPr/>
          <w:p>
            <w:pPr>
              <w:pStyle w:val="Compact"/>
              <w:jc w:val="right"/>
            </w:pPr>
            <w:r>
              <w:t xml:space="preserve">248</w:t>
            </w:r>
          </w:p>
        </w:tc>
      </w:tr>
      <w:tr>
        <w:tc>
          <w:tcPr/>
          <w:p>
            <w:pPr>
              <w:pStyle w:val="Compact"/>
              <w:jc w:val="right"/>
            </w:pPr>
            <w:r>
              <w:t xml:space="preserve">19</w:t>
            </w:r>
          </w:p>
        </w:tc>
        <w:tc>
          <w:tcPr/>
          <w:p>
            <w:pPr>
              <w:pStyle w:val="Compact"/>
            </w:pPr>
            <w:r>
              <w:rPr>
                <w:rFonts w:hint="eastAsia"/>
              </w:rPr>
              <w:t xml:space="preserve">机场机库设施</w:t>
            </w:r>
          </w:p>
        </w:tc>
        <w:tc>
          <w:tcPr/>
          <w:p>
            <w:pPr>
              <w:pStyle w:val="Compact"/>
            </w:pPr>
            <w:r>
              <w:rPr>
                <w:rFonts w:hint="eastAsia"/>
              </w:rPr>
              <w:t xml:space="preserve">大型机场机库等效设施</w:t>
            </w:r>
          </w:p>
        </w:tc>
        <w:tc>
          <w:tcPr/>
          <w:p>
            <w:pPr>
              <w:pStyle w:val="Compact"/>
            </w:pPr>
            <w:r>
              <w:rPr>
                <w:rFonts w:hint="eastAsia"/>
              </w:rPr>
              <w:t xml:space="preserve">等效设施模型</w:t>
            </w:r>
          </w:p>
        </w:tc>
        <w:tc>
          <w:tcPr/>
          <w:p>
            <w:pPr>
              <w:pStyle w:val="Compact"/>
            </w:pPr>
            <w:r>
              <w:rPr>
                <w:rFonts w:hint="eastAsia"/>
              </w:rPr>
              <w:t xml:space="preserve">通用机场机库（大）</w:t>
            </w:r>
          </w:p>
        </w:tc>
        <w:tc>
          <w:tcPr/>
          <w:p>
            <w:pPr>
              <w:pStyle w:val="Compact"/>
              <w:jc w:val="right"/>
            </w:pPr>
            <w:r>
              <w:t xml:space="preserve">148</w:t>
            </w:r>
          </w:p>
        </w:tc>
      </w:tr>
      <w:tr>
        <w:tc>
          <w:tcPr/>
          <w:p>
            <w:pPr>
              <w:pStyle w:val="Compact"/>
              <w:jc w:val="right"/>
            </w:pPr>
            <w:r>
              <w:t xml:space="preserve">20</w:t>
            </w:r>
          </w:p>
        </w:tc>
        <w:tc>
          <w:tcPr/>
          <w:p>
            <w:pPr>
              <w:pStyle w:val="Compact"/>
            </w:pPr>
            <w:r>
              <w:rPr>
                <w:rFonts w:hint="eastAsia"/>
              </w:rPr>
              <w:t xml:space="preserve">机场机库设施</w:t>
            </w:r>
          </w:p>
        </w:tc>
        <w:tc>
          <w:tcPr/>
          <w:p>
            <w:pPr>
              <w:pStyle w:val="Compact"/>
            </w:pPr>
            <w:r>
              <w:rPr>
                <w:rFonts w:hint="eastAsia"/>
              </w:rPr>
              <w:t xml:space="preserve">中型机场机库等效设施</w:t>
            </w:r>
          </w:p>
        </w:tc>
        <w:tc>
          <w:tcPr/>
          <w:p>
            <w:pPr>
              <w:pStyle w:val="Compact"/>
            </w:pPr>
            <w:r>
              <w:rPr>
                <w:rFonts w:hint="eastAsia"/>
              </w:rPr>
              <w:t xml:space="preserve">等效设施模型</w:t>
            </w:r>
          </w:p>
        </w:tc>
        <w:tc>
          <w:tcPr/>
          <w:p>
            <w:pPr>
              <w:pStyle w:val="Compact"/>
            </w:pPr>
            <w:r>
              <w:rPr>
                <w:rFonts w:hint="eastAsia"/>
              </w:rPr>
              <w:t xml:space="preserve">通用机场机库（中）</w:t>
            </w:r>
          </w:p>
        </w:tc>
        <w:tc>
          <w:tcPr/>
          <w:p>
            <w:pPr>
              <w:pStyle w:val="Compact"/>
              <w:jc w:val="right"/>
            </w:pPr>
            <w:r>
              <w:t xml:space="preserve">144</w:t>
            </w:r>
          </w:p>
        </w:tc>
      </w:tr>
      <w:tr>
        <w:tc>
          <w:tcPr/>
          <w:p>
            <w:pPr>
              <w:pStyle w:val="Compact"/>
              <w:jc w:val="right"/>
            </w:pPr>
            <w:r>
              <w:t xml:space="preserve">21</w:t>
            </w:r>
          </w:p>
        </w:tc>
        <w:tc>
          <w:tcPr/>
          <w:p>
            <w:pPr>
              <w:pStyle w:val="Compact"/>
            </w:pPr>
            <w:r>
              <w:rPr>
                <w:rFonts w:hint="eastAsia"/>
              </w:rPr>
              <w:t xml:space="preserve">机场机库设施</w:t>
            </w:r>
          </w:p>
        </w:tc>
        <w:tc>
          <w:tcPr/>
          <w:p>
            <w:pPr>
              <w:pStyle w:val="Compact"/>
            </w:pPr>
            <w:r>
              <w:rPr>
                <w:rFonts w:hint="eastAsia"/>
              </w:rPr>
              <w:t xml:space="preserve">小型机场机库等效设施</w:t>
            </w:r>
          </w:p>
        </w:tc>
        <w:tc>
          <w:tcPr/>
          <w:p>
            <w:pPr>
              <w:pStyle w:val="Compact"/>
            </w:pPr>
            <w:r>
              <w:rPr>
                <w:rFonts w:hint="eastAsia"/>
              </w:rPr>
              <w:t xml:space="preserve">等效设施模型</w:t>
            </w:r>
          </w:p>
        </w:tc>
        <w:tc>
          <w:tcPr/>
          <w:p>
            <w:pPr>
              <w:pStyle w:val="Compact"/>
            </w:pPr>
            <w:r>
              <w:rPr>
                <w:rFonts w:hint="eastAsia"/>
              </w:rPr>
              <w:t xml:space="preserve">通用机场机库（小）</w:t>
            </w:r>
          </w:p>
        </w:tc>
        <w:tc>
          <w:tcPr/>
          <w:p>
            <w:pPr>
              <w:pStyle w:val="Compact"/>
              <w:jc w:val="right"/>
            </w:pPr>
            <w:r>
              <w:t xml:space="preserve">144</w:t>
            </w:r>
          </w:p>
        </w:tc>
      </w:tr>
      <w:tr>
        <w:tc>
          <w:tcPr/>
          <w:p>
            <w:pPr>
              <w:pStyle w:val="Compact"/>
              <w:jc w:val="right"/>
            </w:pPr>
            <w:r>
              <w:rPr>
                <w:rFonts w:hint="eastAsia"/>
                <w:b/>
                <w:bCs/>
              </w:rPr>
              <w:t xml:space="preserve">合计</w:t>
            </w:r>
          </w:p>
        </w:tc>
        <w:tc>
          <w:tcPr/>
          <w:p>
            <w:pPr>
              <w:pStyle w:val="Compact"/>
            </w:pPr>
            <w:r>
              <w:rPr>
                <w:b/>
                <w:bCs/>
              </w:rPr>
              <w:t xml:space="preserve">2 </w:t>
            </w:r>
            <w:r>
              <w:rPr>
                <w:rFonts w:hint="eastAsia"/>
                <w:b/>
                <w:bCs/>
              </w:rPr>
              <w:t xml:space="preserve">个子类</w:t>
            </w:r>
          </w:p>
        </w:tc>
        <w:tc>
          <w:tcPr/>
          <w:p>
            <w:pPr>
              <w:pStyle w:val="Compact"/>
            </w:pPr>
            <w:r>
              <w:rPr>
                <w:b/>
                <w:bCs/>
              </w:rPr>
              <w:t xml:space="preserve">21 </w:t>
            </w:r>
            <w:r>
              <w:rPr>
                <w:rFonts w:hint="eastAsia"/>
                <w:b/>
                <w:bCs/>
              </w:rPr>
              <w:t xml:space="preserve">个设施</w:t>
            </w:r>
          </w:p>
        </w:tc>
        <w:tc>
          <w:tcPr/>
          <w:p>
            <w:pPr>
              <w:pStyle w:val="Compact"/>
            </w:pPr>
            <w:r>
              <w:rPr>
                <w:b/>
                <w:bCs/>
              </w:rPr>
              <w:t xml:space="preserve">15 </w:t>
            </w:r>
            <w:r>
              <w:rPr>
                <w:rFonts w:hint="eastAsia"/>
                <w:b/>
                <w:bCs/>
              </w:rPr>
              <w:t xml:space="preserve">个特异设施模型、6</w:t>
            </w:r>
            <w:r>
              <w:rPr>
                <w:b/>
                <w:bCs/>
              </w:rPr>
              <w:t xml:space="preserve"> </w:t>
            </w:r>
            <w:r>
              <w:rPr>
                <w:rFonts w:hint="eastAsia"/>
                <w:b/>
                <w:bCs/>
              </w:rPr>
              <w:t xml:space="preserve">个等效设施模型</w:t>
            </w:r>
          </w:p>
        </w:tc>
        <w:tc>
          <w:tcPr/>
          <w:p>
            <w:pPr>
              <w:pStyle w:val="Compact"/>
            </w:pPr>
            <w:r>
              <w:t xml:space="preserve">—</w:t>
            </w:r>
          </w:p>
        </w:tc>
        <w:tc>
          <w:tcPr/>
          <w:p>
            <w:pPr>
              <w:pStyle w:val="Compact"/>
              <w:jc w:val="right"/>
            </w:pPr>
            <w:r>
              <w:rPr>
                <w:b/>
                <w:bCs/>
              </w:rPr>
              <w:t xml:space="preserve">4324</w:t>
            </w:r>
          </w:p>
        </w:tc>
      </w:tr>
    </w:tbl>
    <w:bookmarkEnd w:id="56"/>
    <w:bookmarkStart w:id="57" w:name="X20446c91eb8e3e5d31b263ba380539e62bae5e0"/>
    <w:p>
      <w:pPr>
        <w:pStyle w:val="4"/>
      </w:pPr>
      <w:r>
        <w:t xml:space="preserve">1.2 </w:t>
      </w:r>
      <w:r>
        <w:rPr>
          <w:rFonts w:hint="eastAsia"/>
        </w:rPr>
        <w:t xml:space="preserve">热辐射损伤与建筑响应特征</w:t>
      </w:r>
    </w:p>
    <w:p>
      <w:pPr>
        <w:pStyle w:val="FirstParagraph"/>
      </w:pPr>
      <w:r>
        <w:rPr>
          <w:rFonts w:hint="eastAsia"/>
        </w:rPr>
        <w:t xml:space="preserve">航空航天设施的设施级损伤既受热源强度和作用时间控制，也受建筑尺度、结构与围护形式、迎火侧开口、发射与工艺设备布置以及高价值敏感目标位置影响。控制和处理建筑通常以实体围护、钢筋混凝土或钢结构框架、局部防护玻璃和受控开口为主要特征；总装与制造厂房更强调大跨度连续空间、设备搬运门和工艺区域；发射塔台及露天或半开放设施则可能存在更直接的受热路径。不同建筑形式对热通量的衰减、热量进入内部的路径和敏感目标的可见暴露程度不同。</w:t>
      </w:r>
    </w:p>
    <w:p>
      <w:pPr>
        <w:pStyle w:val="BodyText"/>
      </w:pPr>
      <w:r>
        <w:rPr>
          <w:rFonts w:hint="eastAsia"/>
        </w:rPr>
        <w:t xml:space="preserve">控制室、通信机房、线缆夹层和操作测试区域的电子设备、仪表柜、电缆绝缘层及部分内装材料，可能在局部受热方向形成高价值敏感目标；总装、部装和加工区域的复合材料、预浸料、粘结剂、密封剂、涂层剂、包装材料、切削油和润滑介质，则体现了工艺过程相关的可燃物差异。发射场景还可能涉及电缆绝缘、橡胶包覆和油类工质。上述材料类别不作为当前模型的新增独立类别，而是通过</w:t>
      </w:r>
      <w:r>
        <w:t xml:space="preserve"> FDS </w:t>
      </w:r>
      <w:r>
        <w:rPr>
          <w:rFonts w:hint="eastAsia"/>
        </w:rPr>
        <w:t xml:space="preserve">建筑、可燃物/敏感目标密度和迎火侧比例等实际参数反映其对设施级</w:t>
      </w:r>
      <w:r>
        <w:t xml:space="preserve"> Dk </w:t>
      </w:r>
      <w:r>
        <w:rPr>
          <w:rFonts w:hint="eastAsia"/>
        </w:rPr>
        <w:t xml:space="preserve">的影响。</w:t>
      </w:r>
    </w:p>
    <w:p>
      <w:pPr>
        <w:pStyle w:val="BodyText"/>
      </w:pPr>
      <w:r>
        <w:rPr>
          <w:rFonts w:hint="eastAsia"/>
        </w:rPr>
        <w:t xml:space="preserve">机场机库具有大跨度空间、大型机库门和航空器集中停放等特点。不同方位角可能使大门、侧墙或背墙成为迎火侧，俯仰角则改变辐射对墙面、屋面和航空器目标的作用关系。机库中的航空器电缆、内饰和绝热材料，以及维修作业中的燃油残留、润滑介质、有机溶剂、环氧或聚氨酯涂层、密封胶和检修材料，构成具有对象特征的可燃物与敏感目标组合。高价值航空器和维修设备可能使少数不利方向形成较低设施级阈值，而围护完整或目标位于背火侧的方向仍可能保持较高阈值。因此，机场机库必须与其他航空航天设施一并纳入方向阈值和专项验证分析。</w:t>
      </w:r>
    </w:p>
    <w:bookmarkEnd w:id="57"/>
    <w:bookmarkStart w:id="58" w:name="X5f476d0092714377705e21301cf11c49e221140"/>
    <w:p>
      <w:pPr>
        <w:pStyle w:val="4"/>
      </w:pPr>
      <w:r>
        <w:t xml:space="preserve">1.3 </w:t>
      </w:r>
      <w:r>
        <w:rPr>
          <w:rFonts w:hint="eastAsia"/>
        </w:rPr>
        <w:t xml:space="preserve">研究目标</w:t>
      </w:r>
    </w:p>
    <w:p>
      <w:pPr>
        <w:pStyle w:val="FirstParagraph"/>
      </w:pPr>
      <w:r>
        <w:rPr>
          <w:rFonts w:hint="eastAsia"/>
        </w:rPr>
        <w:t xml:space="preserve">本研究面向航空航天设施与机场机库的工程快速评估需求，在</w:t>
      </w:r>
      <w:r>
        <w:t xml:space="preserve"> FDS </w:t>
      </w:r>
      <w:r>
        <w:rPr>
          <w:rFonts w:hint="eastAsia"/>
        </w:rPr>
        <w:t xml:space="preserve">计算结果基础上建立热辐射工况与设施级</w:t>
      </w:r>
      <w:r>
        <w:t xml:space="preserve"> Dk </w:t>
      </w:r>
      <w:r>
        <w:rPr>
          <w:rFonts w:hint="eastAsia"/>
        </w:rPr>
        <w:t xml:space="preserve">之间的映射。模型既输出连续</w:t>
      </w:r>
      <w:r>
        <w:t xml:space="preserve"> </w:t>
      </w:r>
      <w:r>
        <w:rPr>
          <w:rFonts w:hint="eastAsia"/>
        </w:rPr>
        <w:t xml:space="preserve">Dk，用于同等级内部的风险排序，又输出基本完好、轻微破坏、中等破坏和严重破坏四级结果，用于工程判定。通过批量扫描热通量、方位角、俯仰角和持续时间，可形成覆盖全部</w:t>
      </w:r>
      <w:r>
        <w:t xml:space="preserve"> 21 </w:t>
      </w:r>
      <w:r>
        <w:rPr>
          <w:rFonts w:hint="eastAsia"/>
        </w:rPr>
        <w:t xml:space="preserve">个设施在不同方向与工况下的损伤响应规律，为重点目标、重点方向和精细仿真工况选择提供依据。</w:t>
      </w:r>
    </w:p>
    <w:p>
      <w:r>
        <w:pict>
          <v:rect style="width:0;height:1.5pt" o:hralign="center" o:hrstd="t" o:hr="t"/>
        </w:pict>
      </w:r>
    </w:p>
    <w:bookmarkEnd w:id="58"/>
    <w:bookmarkEnd w:id="59"/>
    <w:bookmarkStart w:id="64" w:name="Xb9d6ad9f54286da7506c16c77b99e6b750f4959"/>
    <w:p>
      <w:pPr>
        <w:pStyle w:val="3"/>
      </w:pPr>
      <w:r>
        <w:t xml:space="preserve">2 FDS </w:t>
      </w:r>
      <w:r>
        <w:rPr>
          <w:rFonts w:hint="eastAsia"/>
        </w:rPr>
        <w:t xml:space="preserve">模拟数据体系</w:t>
      </w:r>
    </w:p>
    <w:bookmarkStart w:id="60" w:name="Xa7c7a5f597259e235081e64014a83576a10dac3"/>
    <w:p>
      <w:pPr>
        <w:pStyle w:val="4"/>
      </w:pPr>
      <w:r>
        <w:t xml:space="preserve">2.1 </w:t>
      </w:r>
      <w:r>
        <w:rPr>
          <w:rFonts w:hint="eastAsia"/>
        </w:rPr>
        <w:t xml:space="preserve">数据组成</w:t>
      </w:r>
    </w:p>
    <w:p>
      <w:pPr>
        <w:pStyle w:val="FirstParagraph"/>
      </w:pPr>
      <w:r>
        <w:rPr>
          <w:rFonts w:hint="eastAsia"/>
        </w:rPr>
        <w:t xml:space="preserve">每条工况由设施</w:t>
      </w:r>
      <w:r>
        <w:t xml:space="preserve"> FDS </w:t>
      </w:r>
      <w:r>
        <w:rPr>
          <w:rFonts w:hint="eastAsia"/>
        </w:rPr>
        <w:t xml:space="preserve">模型和对应的损伤计算结果共同组成。FDS</w:t>
      </w:r>
      <w:r>
        <w:t xml:space="preserve"> </w:t>
      </w:r>
      <w:r>
        <w:rPr>
          <w:rFonts w:hint="eastAsia"/>
        </w:rPr>
        <w:t xml:space="preserve">模型提供建筑计算域、障碍物、门窗与通风口、设备测点、敏感目标位置以及热辐射输入；损伤计算结果提供设施修复成本、资产价值和连续损伤指数</w:t>
      </w:r>
      <w:r>
        <w:t xml:space="preserve"> </w:t>
      </w:r>
      <w:r>
        <w:rPr>
          <w:rFonts w:hint="eastAsia"/>
        </w:rPr>
        <w:t xml:space="preserve">Dk。建筑信息既包括长度、宽度、高度、平面面积和体积等尺度参数，也包括外墙、门窗、通风口、设备布置和迎火侧墙面信息；这些参数用于表达建筑体量、围护衰减、热量进入路径和目标暴露关系。经过完整性、有效性和取值范围检查后，形成</w:t>
      </w:r>
      <w:r>
        <w:t xml:space="preserve"> 6584 </w:t>
      </w:r>
      <w:r>
        <w:rPr>
          <w:rFonts w:hint="eastAsia"/>
        </w:rPr>
        <w:t xml:space="preserve">条合格工况，其中航空航天设施</w:t>
      </w:r>
      <w:r>
        <w:t xml:space="preserve"> 2800 </w:t>
      </w:r>
      <w:r>
        <w:rPr>
          <w:rFonts w:hint="eastAsia"/>
        </w:rPr>
        <w:t xml:space="preserve">条、机场机库设施</w:t>
      </w:r>
      <w:r>
        <w:t xml:space="preserve"> 1524 </w:t>
      </w:r>
      <w:r>
        <w:rPr>
          <w:rFonts w:hint="eastAsia"/>
        </w:rPr>
        <w:t xml:space="preserve">条，本报告合计</w:t>
      </w:r>
      <w:r>
        <w:t xml:space="preserve"> 4324 </w:t>
      </w:r>
      <w:r>
        <w:rPr>
          <w:rFonts w:hint="eastAsia"/>
        </w:rPr>
        <w:t xml:space="preserve">条。</w:t>
      </w:r>
    </w:p>
    <w:p>
      <w:pPr>
        <w:pStyle w:val="BodyText"/>
      </w:pPr>
      <w:r>
        <w:rPr>
          <w:rFonts w:hint="eastAsia"/>
        </w:rPr>
        <w:t xml:space="preserve">大、中、小等效设施按建筑平面尺度划分，用以表征不同体量下目标密度、开口比例和局部损伤占总资产价值比例的差异。由于实际建筑尺度是连续分布，无法逐一模拟，各规模档以一段长度、宽度范围定义，模拟时取该范围内的代表值。航空航天等效设施涵盖发射控制、总装、部装、加工和发射等典型功能空间，机场机库等效设施则覆盖从单机库到多机位大跨机库的尺度区间。各规模的几何参数范围与代表值如下表所示。</w:t>
      </w:r>
    </w:p>
    <w:p>
      <w:pPr>
        <w:pStyle w:val="BodyText"/>
      </w:pPr>
      <w:r>
        <w:rPr>
          <w:rFonts w:hint="eastAsia"/>
          <w:b/>
          <w:bCs/>
        </w:rPr>
        <w:t xml:space="preserve">表</w:t>
      </w:r>
      <w:r>
        <w:rPr>
          <w:b/>
          <w:bCs/>
        </w:rPr>
        <w:t xml:space="preserve"> 2 </w:t>
      </w:r>
      <w:r>
        <w:rPr>
          <w:rFonts w:hint="eastAsia"/>
          <w:b/>
          <w:bCs/>
        </w:rPr>
        <w:t xml:space="preserve">等效设施规模分级与典型几何参数</w:t>
      </w:r>
    </w:p>
    <w:p>
      <w:pPr>
        <w:pStyle w:val="BodyText"/>
      </w:pPr>
      <w:r>
        <w:rPr>
          <w:rFonts w:hint="eastAsia"/>
        </w:rPr>
        <w:t xml:space="preserve">机场机库的规模分级依据典型民用与军用机库的建筑尺度统计确定。统计样本中机库长度中位数约为</w:t>
      </w:r>
      <w:r>
        <w:t xml:space="preserve"> 135 </w:t>
      </w:r>
      <w:r>
        <w:rPr>
          <w:rFonts w:hint="eastAsia"/>
        </w:rPr>
        <w:t xml:space="preserve">m、四分位范围为</w:t>
      </w:r>
      <w:r>
        <w:t xml:space="preserve"> 100–320 </w:t>
      </w:r>
      <w:r>
        <w:rPr>
          <w:rFonts w:hint="eastAsia"/>
        </w:rPr>
        <w:t xml:space="preserve">m，宽度中位数约为</w:t>
      </w:r>
      <w:r>
        <w:t xml:space="preserve"> 90.5 </w:t>
      </w:r>
      <w:r>
        <w:rPr>
          <w:rFonts w:hint="eastAsia"/>
        </w:rPr>
        <w:t xml:space="preserve">m、主要集中在</w:t>
      </w:r>
      <w:r>
        <w:t xml:space="preserve"> 80–100 </w:t>
      </w:r>
      <w:r>
        <w:rPr>
          <w:rFonts w:hint="eastAsia"/>
        </w:rPr>
        <w:t xml:space="preserve">m，高度中位数约为</w:t>
      </w:r>
      <w:r>
        <w:t xml:space="preserve"> 26.5 </w:t>
      </w:r>
      <w:r>
        <w:rPr>
          <w:rFonts w:hint="eastAsia"/>
        </w:rPr>
        <w:t xml:space="preserve">m、四分位范围为</w:t>
      </w:r>
      <w:r>
        <w:t xml:space="preserve"> 20–41.8 </w:t>
      </w:r>
      <w:r>
        <w:rPr>
          <w:rFonts w:hint="eastAsia"/>
        </w:rPr>
        <w:t xml:space="preserve">m。在此基础上，小型机库对应单机或轻型飞机机库，中型机库对应宽体客机或大型军机机库，大型机库对应多机位、总装或超大型大跨机库。机库门作为最关键的围护构件，其高度通常占建筑高度的</w:t>
      </w:r>
      <w:r>
        <w:t xml:space="preserve"> </w:t>
      </w:r>
      <w:r>
        <w:rPr>
          <w:rFonts w:hint="eastAsia"/>
        </w:rPr>
        <w:t xml:space="preserve">90%–95%，门宽一般占可开口立面宽度的</w:t>
      </w:r>
      <w:r>
        <w:t xml:space="preserve"> </w:t>
      </w:r>
      <w:r>
        <w:rPr>
          <w:rFonts w:hint="eastAsia"/>
        </w:rPr>
        <w:t xml:space="preserve">65%–75%，这一尺度耦合关系在等效模型中通过开口与门窗比例参数统一表达。模拟代表值即各规模档在</w:t>
      </w:r>
      <w:r>
        <w:t xml:space="preserve"> FDS </w:t>
      </w:r>
      <w:r>
        <w:rPr>
          <w:rFonts w:hint="eastAsia"/>
        </w:rPr>
        <w:t xml:space="preserve">建模中实际采用的长宽高，相邻档位之间以代表值中点划分边界。</w:t>
      </w:r>
    </w:p>
    <w:p>
      <w:pPr>
        <w:pStyle w:val="BodyText"/>
      </w:pPr>
      <w:r>
        <w:rPr>
          <w:rFonts w:hint="eastAsia"/>
          <w:b/>
          <w:bCs/>
        </w:rPr>
        <w:t xml:space="preserve">表 2-1a 等效设施整体建筑面积范围</w:t>
      </w:r>
    </w:p>
    <w:tbl>
      <w:tblPr>
        <w:tblStyle w:val="Table"/>
        <w:tblW w:type="auto" w:w="0"/>
        <w:tblLook w:firstRow="1" w:lastRow="0" w:firstColumn="0" w:lastColumn="0" w:noHBand="0" w:noVBand="0" w:val="0020"/>
      </w:tblPr>
      <w:tblGrid>
        <w:gridCol w:w="2800"/>
        <w:gridCol w:w="1800"/>
        <w:gridCol w:w="5000"/>
      </w:tblGrid>
      <w:tr>
        <w:trPr>
          <w:tblHeader w:val="on"/>
        </w:trPr>
        <w:tc>
          <w:tcPr>
            <w:tcW w:w="2800" w:type="dxa"/>
          </w:tcPr>
          <w:p>
            <w:pPr>
              <w:pStyle w:val="Compact"/>
            </w:pPr>
            <w:r>
              <w:rPr>
                <w:rFonts w:hint="eastAsia"/>
              </w:rPr>
              <w:t xml:space="preserve">设施类别</w:t>
            </w:r>
          </w:p>
        </w:tc>
        <w:tc>
          <w:tcPr>
            <w:tcW w:w="1800" w:type="dxa"/>
          </w:tcPr>
          <w:p>
            <w:pPr>
              <w:pStyle w:val="Compact"/>
            </w:pPr>
            <w:r>
              <w:rPr>
                <w:rFonts w:hint="eastAsia"/>
              </w:rPr>
              <w:t xml:space="preserve">规模</w:t>
            </w:r>
          </w:p>
        </w:tc>
        <w:tc>
          <w:tcPr>
            <w:tcW w:w="5000" w:type="dxa"/>
          </w:tcPr>
          <w:p>
            <w:pPr>
              <w:pStyle w:val="Compact"/>
            </w:pPr>
            <w:r>
              <w:rPr>
                <w:rFonts w:hint="eastAsia"/>
              </w:rPr>
              <w:t xml:space="preserve">设施总建筑面积范围（m²）</w:t>
            </w:r>
          </w:p>
        </w:tc>
      </w:tr>
      <w:tr>
        <w:tc>
          <w:tcPr>
            <w:tcW w:w="2800" w:type="dxa"/>
          </w:tcPr>
          <w:p>
            <w:pPr>
              <w:pStyle w:val="Compact"/>
            </w:pPr>
            <w:r>
              <w:rPr>
                <w:rFonts w:hint="eastAsia"/>
              </w:rPr>
              <w:t xml:space="preserve">航空航天等效设施</w:t>
            </w:r>
          </w:p>
        </w:tc>
        <w:tc>
          <w:tcPr>
            <w:tcW w:w="1800" w:type="dxa"/>
          </w:tcPr>
          <w:p>
            <w:pPr>
              <w:pStyle w:val="Compact"/>
            </w:pPr>
            <w:r>
              <w:rPr>
                <w:rFonts w:hint="eastAsia"/>
              </w:rPr>
              <w:t xml:space="preserve">小</w:t>
            </w:r>
          </w:p>
        </w:tc>
        <w:tc>
          <w:tcPr>
            <w:tcW w:w="5000" w:type="dxa"/>
          </w:tcPr>
          <w:p>
            <w:pPr>
              <w:pStyle w:val="Compact"/>
            </w:pPr>
            <w:r>
              <w:rPr>
                <w:rFonts w:hint="eastAsia"/>
              </w:rPr>
              <w:t xml:space="preserve">≤36,690</w:t>
            </w:r>
          </w:p>
        </w:tc>
      </w:tr>
      <w:tr>
        <w:tc>
          <w:tcPr>
            <w:tcW w:w="2800" w:type="dxa"/>
          </w:tcPr>
          <w:p>
            <w:pPr>
              <w:pStyle w:val="Compact"/>
            </w:pPr>
            <w:r>
              <w:rPr>
                <w:rFonts w:hint="eastAsia"/>
              </w:rPr>
              <w:t xml:space="preserve">航空航天等效设施</w:t>
            </w:r>
          </w:p>
        </w:tc>
        <w:tc>
          <w:tcPr>
            <w:tcW w:w="1800" w:type="dxa"/>
          </w:tcPr>
          <w:p>
            <w:pPr>
              <w:pStyle w:val="Compact"/>
            </w:pPr>
            <w:r>
              <w:rPr>
                <w:rFonts w:hint="eastAsia"/>
              </w:rPr>
              <w:t xml:space="preserve">中</w:t>
            </w:r>
          </w:p>
        </w:tc>
        <w:tc>
          <w:tcPr>
            <w:tcW w:w="5000" w:type="dxa"/>
          </w:tcPr>
          <w:p>
            <w:pPr>
              <w:pStyle w:val="Compact"/>
            </w:pPr>
            <w:r>
              <w:rPr>
                <w:rFonts w:hint="eastAsia"/>
              </w:rPr>
              <w:t xml:space="preserve">36,690–60,763</w:t>
            </w:r>
          </w:p>
        </w:tc>
      </w:tr>
      <w:tr>
        <w:tc>
          <w:tcPr>
            <w:tcW w:w="2800" w:type="dxa"/>
          </w:tcPr>
          <w:p>
            <w:pPr>
              <w:pStyle w:val="Compact"/>
            </w:pPr>
            <w:r>
              <w:rPr>
                <w:rFonts w:hint="eastAsia"/>
              </w:rPr>
              <w:t xml:space="preserve">航空航天等效设施</w:t>
            </w:r>
          </w:p>
        </w:tc>
        <w:tc>
          <w:tcPr>
            <w:tcW w:w="1800" w:type="dxa"/>
          </w:tcPr>
          <w:p>
            <w:pPr>
              <w:pStyle w:val="Compact"/>
            </w:pPr>
            <w:r>
              <w:rPr>
                <w:rFonts w:hint="eastAsia"/>
              </w:rPr>
              <w:t xml:space="preserve">大</w:t>
            </w:r>
          </w:p>
        </w:tc>
        <w:tc>
          <w:tcPr>
            <w:tcW w:w="5000" w:type="dxa"/>
          </w:tcPr>
          <w:p>
            <w:pPr>
              <w:pStyle w:val="Compact"/>
            </w:pPr>
            <w:r>
              <w:rPr>
                <w:rFonts w:hint="eastAsia"/>
              </w:rPr>
              <w:t xml:space="preserve">&gt;60,763</w:t>
            </w:r>
          </w:p>
        </w:tc>
      </w:tr>
      <w:tr>
        <w:tc>
          <w:tcPr>
            <w:tcW w:w="2800" w:type="dxa"/>
          </w:tcPr>
          <w:p>
            <w:pPr>
              <w:pStyle w:val="Compact"/>
            </w:pPr>
            <w:r>
              <w:rPr>
                <w:rFonts w:hint="eastAsia"/>
              </w:rPr>
              <w:t xml:space="preserve">机场机库等效设施</w:t>
            </w:r>
          </w:p>
        </w:tc>
        <w:tc>
          <w:tcPr>
            <w:tcW w:w="1800" w:type="dxa"/>
          </w:tcPr>
          <w:p>
            <w:pPr>
              <w:pStyle w:val="Compact"/>
            </w:pPr>
            <w:r>
              <w:rPr>
                <w:rFonts w:hint="eastAsia"/>
              </w:rPr>
              <w:t xml:space="preserve">小</w:t>
            </w:r>
          </w:p>
        </w:tc>
        <w:tc>
          <w:tcPr>
            <w:tcW w:w="5000" w:type="dxa"/>
          </w:tcPr>
          <w:p>
            <w:pPr>
              <w:pStyle w:val="Compact"/>
            </w:pPr>
            <w:r>
              <w:rPr>
                <w:rFonts w:hint="eastAsia"/>
              </w:rPr>
              <w:t xml:space="preserve">≤6,000</w:t>
            </w:r>
          </w:p>
        </w:tc>
      </w:tr>
      <w:tr>
        <w:tc>
          <w:tcPr>
            <w:tcW w:w="2800" w:type="dxa"/>
          </w:tcPr>
          <w:p>
            <w:pPr>
              <w:pStyle w:val="Compact"/>
            </w:pPr>
            <w:r>
              <w:rPr>
                <w:rFonts w:hint="eastAsia"/>
              </w:rPr>
              <w:t xml:space="preserve">机场机库等效设施</w:t>
            </w:r>
          </w:p>
        </w:tc>
        <w:tc>
          <w:tcPr>
            <w:tcW w:w="1800" w:type="dxa"/>
          </w:tcPr>
          <w:p>
            <w:pPr>
              <w:pStyle w:val="Compact"/>
            </w:pPr>
            <w:r>
              <w:rPr>
                <w:rFonts w:hint="eastAsia"/>
              </w:rPr>
              <w:t xml:space="preserve">中</w:t>
            </w:r>
          </w:p>
        </w:tc>
        <w:tc>
          <w:tcPr>
            <w:tcW w:w="5000" w:type="dxa"/>
          </w:tcPr>
          <w:p>
            <w:pPr>
              <w:pStyle w:val="Compact"/>
            </w:pPr>
            <w:r>
              <w:rPr>
                <w:rFonts w:hint="eastAsia"/>
              </w:rPr>
              <w:t xml:space="preserve">6,000–24,000</w:t>
            </w:r>
          </w:p>
        </w:tc>
      </w:tr>
      <w:tr>
        <w:tc>
          <w:tcPr>
            <w:tcW w:w="2800" w:type="dxa"/>
          </w:tcPr>
          <w:p>
            <w:pPr>
              <w:pStyle w:val="Compact"/>
            </w:pPr>
            <w:r>
              <w:rPr>
                <w:rFonts w:hint="eastAsia"/>
              </w:rPr>
              <w:t xml:space="preserve">机场机库等效设施</w:t>
            </w:r>
          </w:p>
        </w:tc>
        <w:tc>
          <w:tcPr>
            <w:tcW w:w="1800" w:type="dxa"/>
          </w:tcPr>
          <w:p>
            <w:pPr>
              <w:pStyle w:val="Compact"/>
            </w:pPr>
            <w:r>
              <w:rPr>
                <w:rFonts w:hint="eastAsia"/>
              </w:rPr>
              <w:t xml:space="preserve">大</w:t>
            </w:r>
          </w:p>
        </w:tc>
        <w:tc>
          <w:tcPr>
            <w:tcW w:w="5000" w:type="dxa"/>
          </w:tcPr>
          <w:p>
            <w:pPr>
              <w:pStyle w:val="Compact"/>
            </w:pPr>
            <w:r>
              <w:rPr>
                <w:rFonts w:hint="eastAsia"/>
              </w:rPr>
              <w:t xml:space="preserve">&gt;24,000</w:t>
            </w:r>
          </w:p>
        </w:tc>
      </w:tr>
    </w:tbl>
    <w:p>
      <w:pPr>
        <w:pStyle w:val="BodyText"/>
      </w:pPr>
      <w:r>
        <w:rPr>
          <w:rFonts w:hint="eastAsia"/>
        </w:rPr>
        <w:t xml:space="preserve">整体建筑面积范围由各建筑在该规模档内的长度与宽度范围换算得到，反映设施级面积对应的小、中、大区间；表中上、下限是相邻规模档的分界值，不表示任一规模档只能取该具体面积。</w:t>
      </w:r>
    </w:p>
    <w:bookmarkEnd w:id="60"/>
    <w:bookmarkStart w:id="61" w:name="X1c721b7fcdb64e317edc0c8a9f4e792eee34c64"/>
    <w:p>
      <w:pPr>
        <w:pStyle w:val="4"/>
      </w:pPr>
      <w:r>
        <w:t xml:space="preserve">2.2 </w:t>
      </w:r>
      <w:r>
        <w:rPr>
          <w:rFonts w:hint="eastAsia"/>
        </w:rPr>
        <w:t xml:space="preserve">工况覆盖</w:t>
      </w:r>
    </w:p>
    <w:p>
      <w:pPr>
        <w:pStyle w:val="FirstParagraph"/>
      </w:pPr>
      <w:r>
        <w:rPr>
          <w:rFonts w:hint="eastAsia"/>
        </w:rPr>
        <w:t xml:space="preserve">航空航天与机场机库工况统一覆盖热通量、方位角、俯仰角和辐射持续时间四类热源条件。全部数据综合覆盖</w:t>
      </w:r>
      <w:r>
        <w:t xml:space="preserve"> </w:t>
      </w:r>
      <w:r>
        <w:rPr>
          <w:rFonts w:hint="eastAsia"/>
        </w:rPr>
        <w:t xml:space="preserve">250～30000</w:t>
      </w:r>
      <w:r>
        <w:t xml:space="preserve"> </w:t>
      </w:r>
      <w:r>
        <w:rPr>
          <w:rFonts w:hint="eastAsia"/>
        </w:rPr>
        <w:t xml:space="preserve">kW/m²热通量，主要方位角为</w:t>
      </w:r>
      <w:r>
        <w:t xml:space="preserve"> </w:t>
      </w:r>
      <w:r>
        <w:rPr>
          <w:rFonts w:hint="eastAsia"/>
        </w:rPr>
        <w:t xml:space="preserve">0°、90°、180°和</w:t>
      </w:r>
      <w:r>
        <w:t xml:space="preserve"> </w:t>
      </w:r>
      <w:r>
        <w:rPr>
          <w:rFonts w:hint="eastAsia"/>
        </w:rPr>
        <w:t xml:space="preserve">270°，俯仰角为</w:t>
      </w:r>
      <w:r>
        <w:t xml:space="preserve"> </w:t>
      </w:r>
      <w:r>
        <w:rPr>
          <w:rFonts w:hint="eastAsia"/>
        </w:rPr>
        <w:t xml:space="preserve">0°、30°、45°和</w:t>
      </w:r>
      <w:r>
        <w:t xml:space="preserve"> </w:t>
      </w:r>
      <w:r>
        <w:rPr>
          <w:rFonts w:hint="eastAsia"/>
        </w:rPr>
        <w:t xml:space="preserve">60°，主要辐射持续时间为</w:t>
      </w:r>
      <w:r>
        <w:t xml:space="preserve"> 1.36 s、2.10 s </w:t>
      </w:r>
      <w:r>
        <w:rPr>
          <w:rFonts w:hint="eastAsia"/>
        </w:rPr>
        <w:t xml:space="preserve">和</w:t>
      </w:r>
      <w:r>
        <w:t xml:space="preserve"> 7.50 </w:t>
      </w:r>
      <w:r>
        <w:rPr>
          <w:rFonts w:hint="eastAsia"/>
        </w:rPr>
        <w:t xml:space="preserve">s。三个主要持续时间分别包含</w:t>
      </w:r>
      <w:r>
        <w:t xml:space="preserve"> 1463、1445 </w:t>
      </w:r>
      <w:r>
        <w:rPr>
          <w:rFonts w:hint="eastAsia"/>
        </w:rPr>
        <w:t xml:space="preserve">和</w:t>
      </w:r>
      <w:r>
        <w:t xml:space="preserve"> 1415 </w:t>
      </w:r>
      <w:r>
        <w:rPr>
          <w:rFonts w:hint="eastAsia"/>
        </w:rPr>
        <w:t xml:space="preserve">条合格工况，形成覆盖两个设施子类的统一比较基础。</w:t>
      </w:r>
    </w:p>
    <w:p>
      <w:pPr>
        <w:pStyle w:val="BodyText"/>
      </w:pPr>
      <w:r>
        <w:rPr>
          <w:rFonts w:hint="eastAsia"/>
        </w:rPr>
        <w:t xml:space="preserve">各设施计算域、开口与敏感目标采用自身</w:t>
      </w:r>
      <w:r>
        <w:t xml:space="preserve"> FDS </w:t>
      </w:r>
      <w:r>
        <w:rPr>
          <w:rFonts w:hint="eastAsia"/>
        </w:rPr>
        <w:t xml:space="preserve">模型中的实际参数。航空航天厂房、发射与控制建筑、机场机库以及大中小等效设施在统一规则下组织，使模型能够学习热源条件与建筑体量、开口和目标分布之间的耦合作用。</w:t>
      </w:r>
    </w:p>
    <w:bookmarkEnd w:id="61"/>
    <w:bookmarkStart w:id="62" w:name="X83d2ca0be0c2152b2582a610b87cb56fa739407"/>
    <w:p>
      <w:pPr>
        <w:pStyle w:val="4"/>
      </w:pPr>
      <w:r>
        <w:t xml:space="preserve">2.3 </w:t>
      </w:r>
      <w:r>
        <w:rPr>
          <w:rFonts w:hint="eastAsia"/>
        </w:rPr>
        <w:t xml:space="preserve">设施构型与目标特征覆盖</w:t>
      </w:r>
    </w:p>
    <w:p>
      <w:pPr>
        <w:pStyle w:val="FirstParagraph"/>
      </w:pPr>
      <w:r>
        <w:rPr>
          <w:rFonts w:hint="eastAsia"/>
        </w:rPr>
        <w:t xml:space="preserve">设施构型及目标特征涵盖几何尺度与围护条件、可燃物与敏感目标分布两方面的工程参数。实体墙、预制围护板、钢结构大跨度空间、局部防护玻璃、观察窗、设备搬运门和机库门，分别改变入射热通量的衰减和热量进入内部的路径。建筑平面面积、体积、高度等尺度参数通过影响迎火侧墙面面积、总开口比例等模型输入间接进入预测；设施类别则进一步区分控制、处理、总装、发射和机库等工程对象。</w:t>
      </w:r>
    </w:p>
    <w:p>
      <w:pPr>
        <w:pStyle w:val="BodyText"/>
      </w:pPr>
      <w:r>
        <w:rPr>
          <w:rFonts w:hint="eastAsia"/>
        </w:rPr>
        <w:t xml:space="preserve">可燃物与敏感目标参数用于表达单位平面范围内的目标密度以及迎火侧目标比例。航空航天厂房中的电子设备、电缆系统、复合材料、粘结剂、密封剂、涂层剂、泡沫或木质包装、切削油和润滑介质，机场机库中的航空器电缆、内饰、绝热材料、燃油残留、维修溶剂、涂层和检修材料，均通过</w:t>
      </w:r>
      <w:r>
        <w:t xml:space="preserve"> FDS </w:t>
      </w:r>
      <w:r>
        <w:rPr>
          <w:rFonts w:hint="eastAsia"/>
        </w:rPr>
        <w:t xml:space="preserve">模型中的资产、可燃物和敏感目标配置进入损伤计算。报告层面将其归并为可燃物/敏感目标密度和迎火侧可燃物/敏感目标比例两项，避免把材料清单误作额外的独立特征类别。</w:t>
      </w:r>
    </w:p>
    <w:bookmarkEnd w:id="62"/>
    <w:bookmarkStart w:id="63" w:name="X5780df6d9117141f00e3a0c9fc1b42582d4c74e"/>
    <w:p>
      <w:pPr>
        <w:pStyle w:val="4"/>
      </w:pPr>
      <w:r>
        <w:t xml:space="preserve">2.4 </w:t>
      </w:r>
      <w:r>
        <w:rPr>
          <w:rFonts w:hint="eastAsia"/>
        </w:rPr>
        <w:t xml:space="preserve">航空航天与机场机库</w:t>
      </w:r>
      <w:r>
        <w:t xml:space="preserve"> Dk </w:t>
      </w:r>
      <w:r>
        <w:rPr>
          <w:rFonts w:hint="eastAsia"/>
        </w:rPr>
        <w:t xml:space="preserve">分布</w:t>
      </w:r>
    </w:p>
    <w:p>
      <w:pPr>
        <w:pStyle w:val="FirstParagraph"/>
      </w:pPr>
      <w:r>
        <w:rPr>
          <w:rFonts w:hint="eastAsia"/>
          <w:b/>
          <w:bCs/>
        </w:rPr>
        <w:t xml:space="preserve">表</w:t>
      </w:r>
      <w:r>
        <w:rPr>
          <w:b/>
          <w:bCs/>
        </w:rPr>
        <w:t xml:space="preserve"> 3 </w:t>
      </w:r>
      <w:r>
        <w:rPr>
          <w:rFonts w:hint="eastAsia"/>
          <w:b/>
          <w:bCs/>
        </w:rPr>
        <w:t xml:space="preserve">航空航天与机场机库设施</w:t>
      </w:r>
      <w:r>
        <w:rPr>
          <w:b/>
          <w:bCs/>
        </w:rPr>
        <w:t xml:space="preserve"> Dk </w:t>
      </w:r>
      <w:r>
        <w:rPr>
          <w:rFonts w:hint="eastAsia"/>
          <w:b/>
          <w:bCs/>
        </w:rPr>
        <w:t xml:space="preserve">与损伤等级分布</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损伤等级</w:t>
            </w:r>
          </w:p>
        </w:tc>
        <w:tc>
          <w:tcPr/>
          <w:p>
            <w:pPr>
              <w:pStyle w:val="Compact"/>
              <w:jc w:val="right"/>
            </w:pPr>
            <w:r>
              <w:t xml:space="preserve">Dk </w:t>
            </w:r>
            <w:r>
              <w:rPr>
                <w:rFonts w:hint="eastAsia"/>
              </w:rPr>
              <w:t xml:space="preserve">范围</w:t>
            </w:r>
          </w:p>
        </w:tc>
        <w:tc>
          <w:tcPr/>
          <w:p>
            <w:pPr>
              <w:pStyle w:val="Compact"/>
              <w:jc w:val="right"/>
            </w:pPr>
            <w:r>
              <w:rPr>
                <w:rFonts w:hint="eastAsia"/>
              </w:rPr>
              <w:t xml:space="preserve">航空航天设施</w:t>
            </w:r>
          </w:p>
        </w:tc>
        <w:tc>
          <w:tcPr/>
          <w:p>
            <w:pPr>
              <w:pStyle w:val="Compact"/>
              <w:jc w:val="right"/>
            </w:pPr>
            <w:r>
              <w:rPr>
                <w:rFonts w:hint="eastAsia"/>
              </w:rPr>
              <w:t xml:space="preserve">机场机库设施</w:t>
            </w:r>
          </w:p>
        </w:tc>
        <w:tc>
          <w:tcPr/>
          <w:p>
            <w:pPr>
              <w:pStyle w:val="Compact"/>
              <w:jc w:val="right"/>
            </w:pPr>
            <w:r>
              <w:rPr>
                <w:rFonts w:hint="eastAsia"/>
              </w:rPr>
              <w:t xml:space="preserve">合计</w:t>
            </w:r>
          </w:p>
        </w:tc>
        <w:tc>
          <w:tcPr/>
          <w:p>
            <w:pPr>
              <w:pStyle w:val="Compact"/>
              <w:jc w:val="right"/>
            </w:pPr>
            <w:r>
              <w:rPr>
                <w:rFonts w:hint="eastAsia"/>
              </w:rPr>
              <w:t xml:space="preserve">合计占比</w:t>
            </w:r>
          </w:p>
        </w:tc>
      </w:tr>
      <w:tr>
        <w:tc>
          <w:tcPr/>
          <w:p>
            <w:pPr>
              <w:pStyle w:val="Compact"/>
            </w:pPr>
            <w:r>
              <w:rPr>
                <w:rFonts w:hint="eastAsia"/>
              </w:rPr>
              <w:t xml:space="preserve">基本完好</w:t>
            </w:r>
          </w:p>
        </w:tc>
        <w:tc>
          <w:tcPr/>
          <w:p>
            <w:pPr>
              <w:pStyle w:val="Compact"/>
              <w:jc w:val="right"/>
            </w:pPr>
            <w:r>
              <w:rPr>
                <w:rStyle w:val="VerbatimChar"/>
              </w:rPr>
              <w:t xml:space="preserve">0 &lt;= Dk &lt; 0.04</w:t>
            </w:r>
          </w:p>
        </w:tc>
        <w:tc>
          <w:tcPr/>
          <w:p>
            <w:pPr>
              <w:pStyle w:val="Compact"/>
              <w:jc w:val="right"/>
            </w:pPr>
            <w:r>
              <w:t xml:space="preserve">1827</w:t>
            </w:r>
          </w:p>
        </w:tc>
        <w:tc>
          <w:tcPr/>
          <w:p>
            <w:pPr>
              <w:pStyle w:val="Compact"/>
              <w:jc w:val="right"/>
            </w:pPr>
            <w:r>
              <w:t xml:space="preserve">623</w:t>
            </w:r>
          </w:p>
        </w:tc>
        <w:tc>
          <w:tcPr/>
          <w:p>
            <w:pPr>
              <w:pStyle w:val="Compact"/>
              <w:jc w:val="right"/>
            </w:pPr>
            <w:r>
              <w:t xml:space="preserve">2450</w:t>
            </w:r>
          </w:p>
        </w:tc>
        <w:tc>
          <w:tcPr/>
          <w:p>
            <w:pPr>
              <w:pStyle w:val="Compact"/>
              <w:jc w:val="right"/>
            </w:pPr>
            <w:r>
              <w:t xml:space="preserve">56.66%</w:t>
            </w:r>
          </w:p>
        </w:tc>
      </w:tr>
      <w:tr>
        <w:tc>
          <w:tcPr/>
          <w:p>
            <w:pPr>
              <w:pStyle w:val="Compact"/>
            </w:pPr>
            <w:r>
              <w:rPr>
                <w:rFonts w:hint="eastAsia"/>
              </w:rPr>
              <w:t xml:space="preserve">轻微破坏</w:t>
            </w:r>
          </w:p>
        </w:tc>
        <w:tc>
          <w:tcPr/>
          <w:p>
            <w:pPr>
              <w:pStyle w:val="Compact"/>
              <w:jc w:val="right"/>
            </w:pPr>
            <w:r>
              <w:rPr>
                <w:rStyle w:val="VerbatimChar"/>
              </w:rPr>
              <w:t xml:space="preserve">0.04 &lt;= Dk &lt; 0.10</w:t>
            </w:r>
          </w:p>
        </w:tc>
        <w:tc>
          <w:tcPr/>
          <w:p>
            <w:pPr>
              <w:pStyle w:val="Compact"/>
              <w:jc w:val="right"/>
            </w:pPr>
            <w:r>
              <w:t xml:space="preserve">222</w:t>
            </w:r>
          </w:p>
        </w:tc>
        <w:tc>
          <w:tcPr/>
          <w:p>
            <w:pPr>
              <w:pStyle w:val="Compact"/>
              <w:jc w:val="right"/>
            </w:pPr>
            <w:r>
              <w:t xml:space="preserve">30</w:t>
            </w:r>
          </w:p>
        </w:tc>
        <w:tc>
          <w:tcPr/>
          <w:p>
            <w:pPr>
              <w:pStyle w:val="Compact"/>
              <w:jc w:val="right"/>
            </w:pPr>
            <w:r>
              <w:t xml:space="preserve">252</w:t>
            </w:r>
          </w:p>
        </w:tc>
        <w:tc>
          <w:tcPr/>
          <w:p>
            <w:pPr>
              <w:pStyle w:val="Compact"/>
              <w:jc w:val="right"/>
            </w:pPr>
            <w:r>
              <w:t xml:space="preserve">5.83%</w:t>
            </w:r>
          </w:p>
        </w:tc>
      </w:tr>
      <w:tr>
        <w:tc>
          <w:tcPr/>
          <w:p>
            <w:pPr>
              <w:pStyle w:val="Compact"/>
            </w:pPr>
            <w:r>
              <w:rPr>
                <w:rFonts w:hint="eastAsia"/>
              </w:rPr>
              <w:t xml:space="preserve">中等破坏</w:t>
            </w:r>
          </w:p>
        </w:tc>
        <w:tc>
          <w:tcPr/>
          <w:p>
            <w:pPr>
              <w:pStyle w:val="Compact"/>
              <w:jc w:val="right"/>
            </w:pPr>
            <w:r>
              <w:rPr>
                <w:rStyle w:val="VerbatimChar"/>
              </w:rPr>
              <w:t xml:space="preserve">0.10 &lt;= Dk &lt; 0.40</w:t>
            </w:r>
          </w:p>
        </w:tc>
        <w:tc>
          <w:tcPr/>
          <w:p>
            <w:pPr>
              <w:pStyle w:val="Compact"/>
              <w:jc w:val="right"/>
            </w:pPr>
            <w:r>
              <w:t xml:space="preserve">303</w:t>
            </w:r>
          </w:p>
        </w:tc>
        <w:tc>
          <w:tcPr/>
          <w:p>
            <w:pPr>
              <w:pStyle w:val="Compact"/>
              <w:jc w:val="right"/>
            </w:pPr>
            <w:r>
              <w:t xml:space="preserve">215</w:t>
            </w:r>
          </w:p>
        </w:tc>
        <w:tc>
          <w:tcPr/>
          <w:p>
            <w:pPr>
              <w:pStyle w:val="Compact"/>
              <w:jc w:val="right"/>
            </w:pPr>
            <w:r>
              <w:t xml:space="preserve">518</w:t>
            </w:r>
          </w:p>
        </w:tc>
        <w:tc>
          <w:tcPr/>
          <w:p>
            <w:pPr>
              <w:pStyle w:val="Compact"/>
              <w:jc w:val="right"/>
            </w:pPr>
            <w:r>
              <w:t xml:space="preserve">11.98%</w:t>
            </w:r>
          </w:p>
        </w:tc>
      </w:tr>
      <w:tr>
        <w:tc>
          <w:tcPr/>
          <w:p>
            <w:pPr>
              <w:pStyle w:val="Compact"/>
            </w:pPr>
            <w:r>
              <w:rPr>
                <w:rFonts w:hint="eastAsia"/>
              </w:rPr>
              <w:t xml:space="preserve">严重破坏</w:t>
            </w:r>
          </w:p>
        </w:tc>
        <w:tc>
          <w:tcPr/>
          <w:p>
            <w:pPr>
              <w:pStyle w:val="Compact"/>
              <w:jc w:val="right"/>
            </w:pPr>
            <w:r>
              <w:rPr>
                <w:rStyle w:val="VerbatimChar"/>
              </w:rPr>
              <w:t xml:space="preserve">0.40 &lt;= Dk &lt;= 1.00</w:t>
            </w:r>
          </w:p>
        </w:tc>
        <w:tc>
          <w:tcPr/>
          <w:p>
            <w:pPr>
              <w:pStyle w:val="Compact"/>
              <w:jc w:val="right"/>
            </w:pPr>
            <w:r>
              <w:t xml:space="preserve">448</w:t>
            </w:r>
          </w:p>
        </w:tc>
        <w:tc>
          <w:tcPr/>
          <w:p>
            <w:pPr>
              <w:pStyle w:val="Compact"/>
              <w:jc w:val="right"/>
            </w:pPr>
            <w:r>
              <w:t xml:space="preserve">656</w:t>
            </w:r>
          </w:p>
        </w:tc>
        <w:tc>
          <w:tcPr/>
          <w:p>
            <w:pPr>
              <w:pStyle w:val="Compact"/>
              <w:jc w:val="right"/>
            </w:pPr>
            <w:r>
              <w:t xml:space="preserve">1104</w:t>
            </w:r>
          </w:p>
        </w:tc>
        <w:tc>
          <w:tcPr/>
          <w:p>
            <w:pPr>
              <w:pStyle w:val="Compact"/>
              <w:jc w:val="right"/>
            </w:pPr>
            <w:r>
              <w:t xml:space="preserve">25.53%</w:t>
            </w:r>
          </w:p>
        </w:tc>
      </w:tr>
      <w:tr>
        <w:tc>
          <w:tcPr/>
          <w:p>
            <w:pPr>
              <w:pStyle w:val="Compact"/>
            </w:pPr>
            <w:r>
              <w:rPr>
                <w:rFonts w:hint="eastAsia"/>
                <w:b/>
                <w:bCs/>
              </w:rPr>
              <w:t xml:space="preserve">合计</w:t>
            </w:r>
          </w:p>
        </w:tc>
        <w:tc>
          <w:tcPr/>
          <w:p>
            <w:pPr>
              <w:pStyle w:val="Compact"/>
              <w:jc w:val="right"/>
            </w:pPr>
            <w:r>
              <w:t xml:space="preserve">—</w:t>
            </w:r>
          </w:p>
        </w:tc>
        <w:tc>
          <w:tcPr/>
          <w:p>
            <w:pPr>
              <w:pStyle w:val="Compact"/>
              <w:jc w:val="right"/>
            </w:pPr>
            <w:r>
              <w:rPr>
                <w:b/>
                <w:bCs/>
              </w:rPr>
              <w:t xml:space="preserve">2800</w:t>
            </w:r>
          </w:p>
        </w:tc>
        <w:tc>
          <w:tcPr/>
          <w:p>
            <w:pPr>
              <w:pStyle w:val="Compact"/>
              <w:jc w:val="right"/>
            </w:pPr>
            <w:r>
              <w:rPr>
                <w:b/>
                <w:bCs/>
              </w:rPr>
              <w:t xml:space="preserve">1524</w:t>
            </w:r>
          </w:p>
        </w:tc>
        <w:tc>
          <w:tcPr/>
          <w:p>
            <w:pPr>
              <w:pStyle w:val="Compact"/>
              <w:jc w:val="right"/>
            </w:pPr>
            <w:r>
              <w:rPr>
                <w:b/>
                <w:bCs/>
              </w:rPr>
              <w:t xml:space="preserve">4324</w:t>
            </w:r>
          </w:p>
        </w:tc>
        <w:tc>
          <w:tcPr/>
          <w:p>
            <w:pPr>
              <w:pStyle w:val="Compact"/>
              <w:jc w:val="right"/>
            </w:pPr>
            <w:r>
              <w:rPr>
                <w:b/>
                <w:bCs/>
              </w:rPr>
              <w:t xml:space="preserve">100.00%</w:t>
            </w:r>
          </w:p>
        </w:tc>
      </w:tr>
    </w:tbl>
    <w:p>
      <w:pPr>
        <w:pStyle w:val="BodyText"/>
      </w:pPr>
      <w:r>
        <w:rPr>
          <w:rFonts w:hint="eastAsia"/>
        </w:rPr>
        <w:t xml:space="preserve">合并数据覆盖从基本完好到严重破坏的完整等级范围。航空航天设施以基本完好和中等破坏为主，机场机库设施中严重破坏占比较高，反映高价值航空器、开口方向和目标集中布置对设施级</w:t>
      </w:r>
      <w:r>
        <w:t xml:space="preserve"> Dk </w:t>
      </w:r>
      <w:r>
        <w:rPr>
          <w:rFonts w:hint="eastAsia"/>
        </w:rPr>
        <w:t xml:space="preserve">的影响。轻微破坏样本处于较窄的</w:t>
      </w:r>
      <w:r>
        <w:t xml:space="preserve"> Dk </w:t>
      </w:r>
      <w:r>
        <w:rPr>
          <w:rFonts w:hint="eastAsia"/>
        </w:rPr>
        <w:t xml:space="preserve">区间，模型分类任务采用类别平衡方式训练，使各等级能够参与有效分裂。</w:t>
      </w:r>
    </w:p>
    <w:p>
      <w:r>
        <w:pict>
          <v:rect style="width:0;height:1.5pt" o:hralign="center" o:hrstd="t" o:hr="t"/>
        </w:pict>
      </w:r>
    </w:p>
    <w:bookmarkEnd w:id="63"/>
    <w:bookmarkEnd w:id="64"/>
    <w:bookmarkStart w:id="67" w:name="X0ad8933e65289b3d5b16b29c786d474ec1eeea6"/>
    <w:p>
      <w:pPr>
        <w:pStyle w:val="3"/>
      </w:pPr>
      <w:r>
        <w:t xml:space="preserve">3 </w:t>
      </w:r>
      <w:r>
        <w:rPr>
          <w:rFonts w:hint="eastAsia"/>
        </w:rPr>
        <w:t xml:space="preserve">损伤等级定义与工程解释</w:t>
      </w:r>
    </w:p>
    <w:bookmarkStart w:id="65" w:name="X558e6e9d28dbf294fbc837159c8e658a8f8b2a9"/>
    <w:p>
      <w:pPr>
        <w:pStyle w:val="4"/>
      </w:pPr>
      <w:r>
        <w:t xml:space="preserve">3.1 </w:t>
      </w:r>
      <w:r>
        <w:rPr>
          <w:rFonts w:hint="eastAsia"/>
        </w:rPr>
        <w:t xml:space="preserve">四级损伤标准</w:t>
      </w:r>
    </w:p>
    <w:p>
      <w:pPr>
        <w:pStyle w:val="FirstParagraph"/>
      </w:pPr>
      <w:r>
        <w:rPr>
          <w:rFonts w:hint="eastAsia"/>
          <w:b/>
          <w:bCs/>
        </w:rPr>
        <w:t xml:space="preserve">表</w:t>
      </w:r>
      <w:r>
        <w:rPr>
          <w:b/>
          <w:bCs/>
        </w:rPr>
        <w:t xml:space="preserve"> 4 Dk </w:t>
      </w:r>
      <w:r>
        <w:rPr>
          <w:rFonts w:hint="eastAsia"/>
          <w:b/>
          <w:bCs/>
        </w:rPr>
        <w:t xml:space="preserve">损伤等级划分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rPr>
                <w:rFonts w:hint="eastAsia"/>
              </w:rPr>
              <w:t xml:space="preserve">等级</w:t>
            </w:r>
          </w:p>
        </w:tc>
        <w:tc>
          <w:tcPr/>
          <w:p>
            <w:pPr>
              <w:pStyle w:val="Compact"/>
            </w:pPr>
            <w:r>
              <w:rPr>
                <w:rFonts w:hint="eastAsia"/>
              </w:rPr>
              <w:t xml:space="preserve">损伤状态</w:t>
            </w:r>
          </w:p>
        </w:tc>
        <w:tc>
          <w:tcPr/>
          <w:p>
            <w:pPr>
              <w:pStyle w:val="Compact"/>
              <w:jc w:val="right"/>
            </w:pPr>
            <w:r>
              <w:t xml:space="preserve">Dk </w:t>
            </w:r>
            <w:r>
              <w:rPr>
                <w:rFonts w:hint="eastAsia"/>
              </w:rPr>
              <w:t xml:space="preserve">区间</w:t>
            </w:r>
          </w:p>
        </w:tc>
        <w:tc>
          <w:tcPr/>
          <w:p>
            <w:pPr>
              <w:pStyle w:val="Compact"/>
            </w:pPr>
            <w:r>
              <w:rPr>
                <w:rFonts w:hint="eastAsia"/>
              </w:rPr>
              <w:t xml:space="preserve">工程含义</w:t>
            </w:r>
          </w:p>
        </w:tc>
      </w:tr>
      <w:tr>
        <w:tc>
          <w:tcPr/>
          <w:p>
            <w:pPr>
              <w:pStyle w:val="Compact"/>
              <w:jc w:val="right"/>
            </w:pPr>
            <w:r>
              <w:t xml:space="preserve">0</w:t>
            </w:r>
          </w:p>
        </w:tc>
        <w:tc>
          <w:tcPr/>
          <w:p>
            <w:pPr>
              <w:pStyle w:val="Compact"/>
            </w:pPr>
            <w:r>
              <w:rPr>
                <w:rFonts w:hint="eastAsia"/>
              </w:rPr>
              <w:t xml:space="preserve">基本完好</w:t>
            </w:r>
          </w:p>
        </w:tc>
        <w:tc>
          <w:tcPr/>
          <w:p>
            <w:pPr>
              <w:pStyle w:val="Compact"/>
              <w:jc w:val="right"/>
            </w:pPr>
            <w:r>
              <w:rPr>
                <w:rStyle w:val="VerbatimChar"/>
              </w:rPr>
              <w:t xml:space="preserve">0 &lt;= Dk &lt; 0.04</w:t>
            </w:r>
          </w:p>
        </w:tc>
        <w:tc>
          <w:tcPr/>
          <w:p>
            <w:pPr>
              <w:pStyle w:val="Compact"/>
            </w:pPr>
            <w:r>
              <w:rPr>
                <w:rFonts w:hint="eastAsia"/>
              </w:rPr>
              <w:t xml:space="preserve">设施级维修损失较小，未达到轻微破坏阈值</w:t>
            </w:r>
          </w:p>
        </w:tc>
      </w:tr>
      <w:tr>
        <w:tc>
          <w:tcPr/>
          <w:p>
            <w:pPr>
              <w:pStyle w:val="Compact"/>
              <w:jc w:val="right"/>
            </w:pPr>
            <w:r>
              <w:t xml:space="preserve">1</w:t>
            </w:r>
          </w:p>
        </w:tc>
        <w:tc>
          <w:tcPr/>
          <w:p>
            <w:pPr>
              <w:pStyle w:val="Compact"/>
            </w:pPr>
            <w:r>
              <w:rPr>
                <w:rFonts w:hint="eastAsia"/>
              </w:rPr>
              <w:t xml:space="preserve">轻微破坏</w:t>
            </w:r>
          </w:p>
        </w:tc>
        <w:tc>
          <w:tcPr/>
          <w:p>
            <w:pPr>
              <w:pStyle w:val="Compact"/>
              <w:jc w:val="right"/>
            </w:pPr>
            <w:r>
              <w:rPr>
                <w:rStyle w:val="VerbatimChar"/>
              </w:rPr>
              <w:t xml:space="preserve">0.04 &lt;= Dk &lt; 0.10</w:t>
            </w:r>
          </w:p>
        </w:tc>
        <w:tc>
          <w:tcPr/>
          <w:p>
            <w:pPr>
              <w:pStyle w:val="Compact"/>
            </w:pPr>
            <w:r>
              <w:rPr>
                <w:rFonts w:hint="eastAsia"/>
              </w:rPr>
              <w:t xml:space="preserve">出现有限损伤，设施整体功能受影响较小</w:t>
            </w:r>
          </w:p>
        </w:tc>
      </w:tr>
      <w:tr>
        <w:tc>
          <w:tcPr/>
          <w:p>
            <w:pPr>
              <w:pStyle w:val="Compact"/>
              <w:jc w:val="right"/>
            </w:pPr>
            <w:r>
              <w:t xml:space="preserve">2</w:t>
            </w:r>
          </w:p>
        </w:tc>
        <w:tc>
          <w:tcPr/>
          <w:p>
            <w:pPr>
              <w:pStyle w:val="Compact"/>
            </w:pPr>
            <w:r>
              <w:rPr>
                <w:rFonts w:hint="eastAsia"/>
              </w:rPr>
              <w:t xml:space="preserve">中等破坏</w:t>
            </w:r>
          </w:p>
        </w:tc>
        <w:tc>
          <w:tcPr/>
          <w:p>
            <w:pPr>
              <w:pStyle w:val="Compact"/>
              <w:jc w:val="right"/>
            </w:pPr>
            <w:r>
              <w:rPr>
                <w:rStyle w:val="VerbatimChar"/>
              </w:rPr>
              <w:t xml:space="preserve">0.10 &lt;= Dk &lt; 0.40</w:t>
            </w:r>
          </w:p>
        </w:tc>
        <w:tc>
          <w:tcPr/>
          <w:p>
            <w:pPr>
              <w:pStyle w:val="Compact"/>
            </w:pPr>
            <w:r>
              <w:rPr>
                <w:rFonts w:hint="eastAsia"/>
              </w:rPr>
              <w:t xml:space="preserve">损伤范围或维修成本明显增加</w:t>
            </w:r>
          </w:p>
        </w:tc>
      </w:tr>
      <w:tr>
        <w:tc>
          <w:tcPr/>
          <w:p>
            <w:pPr>
              <w:pStyle w:val="Compact"/>
              <w:jc w:val="right"/>
            </w:pPr>
            <w:r>
              <w:t xml:space="preserve">3</w:t>
            </w:r>
          </w:p>
        </w:tc>
        <w:tc>
          <w:tcPr/>
          <w:p>
            <w:pPr>
              <w:pStyle w:val="Compact"/>
            </w:pPr>
            <w:r>
              <w:rPr>
                <w:rFonts w:hint="eastAsia"/>
              </w:rPr>
              <w:t xml:space="preserve">严重破坏</w:t>
            </w:r>
          </w:p>
        </w:tc>
        <w:tc>
          <w:tcPr/>
          <w:p>
            <w:pPr>
              <w:pStyle w:val="Compact"/>
              <w:jc w:val="right"/>
            </w:pPr>
            <w:r>
              <w:rPr>
                <w:rStyle w:val="VerbatimChar"/>
              </w:rPr>
              <w:t xml:space="preserve">0.40 &lt;= Dk &lt;= 1.00</w:t>
            </w:r>
          </w:p>
        </w:tc>
        <w:tc>
          <w:tcPr/>
          <w:p>
            <w:pPr>
              <w:pStyle w:val="Compact"/>
            </w:pPr>
            <w:r>
              <w:rPr>
                <w:rFonts w:hint="eastAsia"/>
              </w:rPr>
              <w:t xml:space="preserve">设施级损伤显著，需要重点处置</w:t>
            </w:r>
          </w:p>
        </w:tc>
      </w:tr>
    </w:tbl>
    <w:p>
      <w:pPr>
        <w:pStyle w:val="BodyText"/>
      </w:pPr>
      <w:r>
        <w:rPr>
          <w:rFonts w:hint="eastAsia"/>
        </w:rPr>
        <w:t xml:space="preserve">三个等级阈值分别固定为</w:t>
      </w:r>
      <w:r>
        <w:t xml:space="preserve"> Dk=0.04、0.10 </w:t>
      </w:r>
      <w:r>
        <w:rPr>
          <w:rFonts w:hint="eastAsia"/>
        </w:rPr>
        <w:t xml:space="preserve">和</w:t>
      </w:r>
      <w:r>
        <w:t xml:space="preserve"> </w:t>
      </w:r>
      <w:r>
        <w:rPr>
          <w:rFonts w:hint="eastAsia"/>
        </w:rPr>
        <w:t xml:space="preserve">0.40。连续</w:t>
      </w:r>
      <w:r>
        <w:t xml:space="preserve"> Dk </w:t>
      </w:r>
      <w:r>
        <w:rPr>
          <w:rFonts w:hint="eastAsia"/>
        </w:rPr>
        <w:t xml:space="preserve">用于量化等级内部差异，四级结果用于工程判定，两者共同构成模型输出。</w:t>
      </w:r>
    </w:p>
    <w:bookmarkEnd w:id="65"/>
    <w:bookmarkStart w:id="66" w:name="X993e4524fe215a069fb8e6bdc497ecd8c0a52ba"/>
    <w:p>
      <w:pPr>
        <w:pStyle w:val="4"/>
      </w:pPr>
      <w:r>
        <w:t xml:space="preserve">3.2 </w:t>
      </w:r>
      <w:r>
        <w:rPr>
          <w:rFonts w:hint="eastAsia"/>
        </w:rPr>
        <w:t xml:space="preserve">设施级基本完好的工程解释</w:t>
      </w:r>
    </w:p>
    <w:p>
      <w:pPr>
        <w:pStyle w:val="FirstParagraph"/>
      </w:pPr>
      <w:r>
        <w:rPr>
          <w:rFonts w:hint="eastAsia"/>
        </w:rPr>
        <w:t xml:space="preserve">基本完好表示设施整体</w:t>
      </w:r>
      <w:r>
        <w:t xml:space="preserve"> Dk </w:t>
      </w:r>
      <w:r>
        <w:rPr>
          <w:rFonts w:hint="eastAsia"/>
        </w:rPr>
        <w:t xml:space="preserve">未达到</w:t>
      </w:r>
      <w:r>
        <w:t xml:space="preserve"> </w:t>
      </w:r>
      <w:r>
        <w:rPr>
          <w:rFonts w:hint="eastAsia"/>
        </w:rPr>
        <w:t xml:space="preserve">0.04，不代表每一项设备、航空器或局部构件都没有温升和维修费用。围护结构、受热距离、开口方向和遮挡可能使资产实际受热低于名义入射热通量；短时热脉冲也可能不足以使厚重构件或受保护设备达到有效损伤条件。对于建筑体量和资产价值基数较大的设施，少量局部损伤经价值加权后仍可能保持较低</w:t>
      </w:r>
      <w:r>
        <w:t xml:space="preserve"> Dk。</w:t>
      </w:r>
    </w:p>
    <w:p>
      <w:pPr>
        <w:pStyle w:val="BodyText"/>
      </w:pPr>
      <w:r>
        <w:rPr>
          <w:rFonts w:hint="eastAsia"/>
        </w:rPr>
        <w:t xml:space="preserve">大型航空航天等效设施的</w:t>
      </w:r>
      <w:r>
        <w:t xml:space="preserve"> 103 </w:t>
      </w:r>
      <w:r>
        <w:rPr>
          <w:rFonts w:hint="eastAsia"/>
        </w:rPr>
        <w:t xml:space="preserve">条合格观测工况最大</w:t>
      </w:r>
      <w:r>
        <w:t xml:space="preserve"> Dk </w:t>
      </w:r>
      <w:r>
        <w:rPr>
          <w:rFonts w:hint="eastAsia"/>
        </w:rPr>
        <w:t xml:space="preserve">约为</w:t>
      </w:r>
      <w:r>
        <w:t xml:space="preserve"> </w:t>
      </w:r>
      <w:r>
        <w:rPr>
          <w:rFonts w:hint="eastAsia"/>
        </w:rPr>
        <w:t xml:space="preserve">0.000424，全部低于轻微破坏阈值。该结果与其较大的建筑体量、资产价值基数、围护衰减以及局部损伤占比有关，只说明当前观测与扫描范围内设施级损失未跨越阈值，不表示该设施在任意更高热负荷或更长作用时间下均不会受损。</w:t>
      </w:r>
    </w:p>
    <w:p>
      <w:r>
        <w:pict>
          <v:rect style="width:0;height:1.5pt" o:hralign="center" o:hrstd="t" o:hr="t"/>
        </w:pict>
      </w:r>
    </w:p>
    <w:bookmarkEnd w:id="66"/>
    <w:bookmarkEnd w:id="67"/>
    <w:bookmarkStart w:id="74" w:name="Xd05dd1507fc6a65229a3f0ad4332a000d522428"/>
    <w:p>
      <w:pPr>
        <w:pStyle w:val="3"/>
      </w:pPr>
      <w:r>
        <w:t xml:space="preserve">4 </w:t>
      </w:r>
      <w:r>
        <w:rPr>
          <w:rFonts w:hint="eastAsia"/>
        </w:rPr>
        <w:t xml:space="preserve">参数特征工程</w:t>
      </w:r>
    </w:p>
    <w:bookmarkStart w:id="68" w:name="X7a1486f556fa0e0813f92168b3ab99389bb09ab"/>
    <w:p>
      <w:pPr>
        <w:pStyle w:val="4"/>
      </w:pPr>
      <w:r>
        <w:t xml:space="preserve">4.1 </w:t>
      </w:r>
      <w:r>
        <w:rPr>
          <w:rFonts w:hint="eastAsia"/>
        </w:rPr>
        <w:t xml:space="preserve">特征分类</w:t>
      </w:r>
    </w:p>
    <w:p>
      <w:pPr>
        <w:pStyle w:val="FirstParagraph"/>
      </w:pPr>
      <w:r>
        <w:rPr>
          <w:rFonts w:hint="eastAsia"/>
        </w:rPr>
        <w:t xml:space="preserve">模型输入按工程来源归并为热源工况特征与设施构型及目标特征两类。热源工况特征描述外部热辐射的作用条件，包括入射强度、作用时间、累积剂量和入射方向；设施构型及目标特征描述设施自身的几何尺度、围护与开口条件以及内部可燃物和敏感目标的分布情况。两者共同决定同一设施在不同热源工况下的损伤响应。</w:t>
      </w:r>
    </w:p>
    <w:p>
      <w:pPr>
        <w:pStyle w:val="BodyText"/>
      </w:pPr>
      <w:r>
        <w:rPr>
          <w:rFonts w:hint="eastAsia"/>
        </w:rPr>
        <w:t xml:space="preserve">本报告对每个设施（或每个等效目标）分别训练专属代理模型，模型的输入特征只包含实际参与该设施训练的列。所有设施共用的基础特征为</w:t>
      </w:r>
      <w:r>
        <w:t xml:space="preserve"> 11 </w:t>
      </w:r>
      <w:r>
        <w:rPr>
          <w:rFonts w:hint="eastAsia"/>
        </w:rPr>
        <w:t xml:space="preserve">项（见下表），涵盖热源工况与设施构型两类；个别设施根据其开口、门窗条件补充少量扩展特征（见</w:t>
      </w:r>
      <w:r>
        <w:t xml:space="preserve"> 4.3 </w:t>
      </w:r>
      <w:r>
        <w:rPr>
          <w:rFonts w:hint="eastAsia"/>
        </w:rPr>
        <w:t xml:space="preserve">节）。由于每个设施使用自身</w:t>
      </w:r>
      <w:r>
        <w:t xml:space="preserve"> FDS </w:t>
      </w:r>
      <w:r>
        <w:rPr>
          <w:rFonts w:hint="eastAsia"/>
        </w:rPr>
        <w:t xml:space="preserve">模型中的实际几何与目标参数，设施类别不再作为独立特征进入模型，而是通过"每设施一个模型"的结构体现设施间的差异。</w:t>
      </w:r>
    </w:p>
    <w:p>
      <w:pPr>
        <w:pStyle w:val="BodyText"/>
      </w:pPr>
      <w:r>
        <w:rPr>
          <w:rFonts w:hint="eastAsia"/>
          <w:b/>
          <w:bCs/>
        </w:rPr>
        <w:t xml:space="preserve">表</w:t>
      </w:r>
      <w:r>
        <w:rPr>
          <w:b/>
          <w:bCs/>
        </w:rPr>
        <w:t xml:space="preserve"> 5 </w:t>
      </w:r>
      <w:r>
        <w:rPr>
          <w:rFonts w:hint="eastAsia"/>
          <w:b/>
          <w:bCs/>
        </w:rPr>
        <w:t xml:space="preserve">模型输入特征与工程含义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特征类别</w:t>
            </w:r>
          </w:p>
        </w:tc>
        <w:tc>
          <w:tcPr/>
          <w:p>
            <w:pPr>
              <w:pStyle w:val="Compact"/>
            </w:pPr>
            <w:r>
              <w:rPr>
                <w:rFonts w:hint="eastAsia"/>
              </w:rPr>
              <w:t xml:space="preserve">输入特征</w:t>
            </w:r>
          </w:p>
        </w:tc>
        <w:tc>
          <w:tcPr/>
          <w:p>
            <w:pPr>
              <w:pStyle w:val="Compact"/>
            </w:pPr>
            <w:r>
              <w:rPr>
                <w:rFonts w:hint="eastAsia"/>
              </w:rPr>
              <w:t xml:space="preserve">工程含义</w:t>
            </w:r>
          </w:p>
        </w:tc>
      </w:tr>
      <w:tr>
        <w:tc>
          <w:tcPr/>
          <w:p>
            <w:pPr>
              <w:pStyle w:val="Compact"/>
            </w:pPr>
            <w:r>
              <w:rPr>
                <w:rFonts w:hint="eastAsia"/>
              </w:rPr>
              <w:t xml:space="preserve">热源工况特征</w:t>
            </w:r>
          </w:p>
        </w:tc>
        <w:tc>
          <w:tcPr/>
          <w:p>
            <w:pPr>
              <w:pStyle w:val="Compact"/>
            </w:pPr>
            <w:r>
              <w:rPr>
                <w:rFonts w:hint="eastAsia"/>
              </w:rPr>
              <w:t xml:space="preserve">热通量（对数）</w:t>
            </w:r>
          </w:p>
        </w:tc>
        <w:tc>
          <w:tcPr/>
          <w:p>
            <w:pPr>
              <w:pStyle w:val="Compact"/>
            </w:pPr>
            <w:r>
              <w:rPr>
                <w:rFonts w:hint="eastAsia"/>
              </w:rPr>
              <w:t xml:space="preserve">外部入射热辐射强度的对数形式，降低高低通量数值跨度</w:t>
            </w:r>
          </w:p>
        </w:tc>
      </w:tr>
      <w:tr>
        <w:tc>
          <w:tcPr/>
          <w:p>
            <w:pPr>
              <w:pStyle w:val="Compact"/>
            </w:pPr>
            <w:r>
              <w:rPr>
                <w:rFonts w:hint="eastAsia"/>
              </w:rPr>
              <w:t xml:space="preserve">热源工况特征</w:t>
            </w:r>
          </w:p>
        </w:tc>
        <w:tc>
          <w:tcPr/>
          <w:p>
            <w:pPr>
              <w:pStyle w:val="Compact"/>
            </w:pPr>
            <w:r>
              <w:rPr>
                <w:rFonts w:hint="eastAsia"/>
              </w:rPr>
              <w:t xml:space="preserve">辐射持续时间</w:t>
            </w:r>
          </w:p>
        </w:tc>
        <w:tc>
          <w:tcPr/>
          <w:p>
            <w:pPr>
              <w:pStyle w:val="Compact"/>
            </w:pPr>
            <w:r>
              <w:rPr>
                <w:rFonts w:hint="eastAsia"/>
              </w:rPr>
              <w:t xml:space="preserve">热辐射作用时间（秒），同时保留离散持续时间档位</w:t>
            </w:r>
          </w:p>
        </w:tc>
      </w:tr>
      <w:tr>
        <w:tc>
          <w:tcPr/>
          <w:p>
            <w:pPr>
              <w:pStyle w:val="Compact"/>
            </w:pPr>
            <w:r>
              <w:rPr>
                <w:rFonts w:hint="eastAsia"/>
              </w:rPr>
              <w:t xml:space="preserve">热源工况特征</w:t>
            </w:r>
          </w:p>
        </w:tc>
        <w:tc>
          <w:tcPr/>
          <w:p>
            <w:pPr>
              <w:pStyle w:val="Compact"/>
            </w:pPr>
            <w:r>
              <w:rPr>
                <w:rFonts w:hint="eastAsia"/>
              </w:rPr>
              <w:t xml:space="preserve">热剂量（对数）</w:t>
            </w:r>
          </w:p>
        </w:tc>
        <w:tc>
          <w:tcPr/>
          <w:p>
            <w:pPr>
              <w:pStyle w:val="Compact"/>
            </w:pPr>
            <w:r>
              <w:rPr>
                <w:rFonts w:hint="eastAsia"/>
              </w:rPr>
              <w:t xml:space="preserve">热通量与持续时间的乘积，表示累积能量输入</w:t>
            </w:r>
          </w:p>
        </w:tc>
      </w:tr>
      <w:tr>
        <w:tc>
          <w:tcPr/>
          <w:p>
            <w:pPr>
              <w:pStyle w:val="Compact"/>
            </w:pPr>
            <w:r>
              <w:rPr>
                <w:rFonts w:hint="eastAsia"/>
              </w:rPr>
              <w:t xml:space="preserve">热源工况特征</w:t>
            </w:r>
          </w:p>
        </w:tc>
        <w:tc>
          <w:tcPr/>
          <w:p>
            <w:pPr>
              <w:pStyle w:val="Compact"/>
            </w:pPr>
            <w:r>
              <w:rPr>
                <w:rFonts w:hint="eastAsia"/>
              </w:rPr>
              <w:t xml:space="preserve">方位角正弦项、余弦项</w:t>
            </w:r>
          </w:p>
        </w:tc>
        <w:tc>
          <w:tcPr/>
          <w:p>
            <w:pPr>
              <w:pStyle w:val="Compact"/>
            </w:pPr>
            <w:r>
              <w:rPr>
                <w:rFonts w:hint="eastAsia"/>
              </w:rPr>
              <w:t xml:space="preserve">水平入射方向的正弦、余弦编码，保持</w:t>
            </w:r>
            <w:r>
              <w:t xml:space="preserve"> </w:t>
            </w:r>
            <w:r>
              <w:rPr>
                <w:rFonts w:hint="eastAsia"/>
              </w:rPr>
              <w:t xml:space="preserve">0°与</w:t>
            </w:r>
            <w:r>
              <w:t xml:space="preserve"> </w:t>
            </w:r>
            <w:r>
              <w:rPr>
                <w:rFonts w:hint="eastAsia"/>
              </w:rPr>
              <w:t xml:space="preserve">360°连续</w:t>
            </w:r>
          </w:p>
        </w:tc>
      </w:tr>
      <w:tr>
        <w:tc>
          <w:tcPr/>
          <w:p>
            <w:pPr>
              <w:pStyle w:val="Compact"/>
            </w:pPr>
            <w:r>
              <w:rPr>
                <w:rFonts w:hint="eastAsia"/>
              </w:rPr>
              <w:t xml:space="preserve">热源工况特征</w:t>
            </w:r>
          </w:p>
        </w:tc>
        <w:tc>
          <w:tcPr/>
          <w:p>
            <w:pPr>
              <w:pStyle w:val="Compact"/>
            </w:pPr>
            <w:r>
              <w:rPr>
                <w:rFonts w:hint="eastAsia"/>
              </w:rPr>
              <w:t xml:space="preserve">俯仰角</w:t>
            </w:r>
          </w:p>
        </w:tc>
        <w:tc>
          <w:tcPr/>
          <w:p>
            <w:pPr>
              <w:pStyle w:val="Compact"/>
            </w:pPr>
            <w:r>
              <w:rPr>
                <w:rFonts w:hint="eastAsia"/>
              </w:rPr>
              <w:t xml:space="preserve">垂向入射角度，并采用正弦变换表示垂向分量</w:t>
            </w:r>
          </w:p>
        </w:tc>
      </w:tr>
      <w:tr>
        <w:tc>
          <w:tcPr/>
          <w:p>
            <w:pPr>
              <w:pStyle w:val="Compact"/>
            </w:pPr>
            <w:r>
              <w:rPr>
                <w:rFonts w:hint="eastAsia"/>
              </w:rPr>
              <w:t xml:space="preserve">设施构型及目标特征</w:t>
            </w:r>
          </w:p>
        </w:tc>
        <w:tc>
          <w:tcPr/>
          <w:p>
            <w:pPr>
              <w:pStyle w:val="Compact"/>
            </w:pPr>
            <w:r>
              <w:rPr>
                <w:rFonts w:hint="eastAsia"/>
              </w:rPr>
              <w:t xml:space="preserve">迎火侧墙面面积（对数）</w:t>
            </w:r>
          </w:p>
        </w:tc>
        <w:tc>
          <w:tcPr/>
          <w:p>
            <w:pPr>
              <w:pStyle w:val="Compact"/>
            </w:pPr>
            <w:r>
              <w:rPr>
                <w:rFonts w:hint="eastAsia"/>
              </w:rPr>
              <w:t xml:space="preserve">当前入射方向对应的受热外墙规模</w:t>
            </w:r>
          </w:p>
        </w:tc>
      </w:tr>
      <w:tr>
        <w:tc>
          <w:tcPr/>
          <w:p>
            <w:pPr>
              <w:pStyle w:val="Compact"/>
            </w:pPr>
            <w:r>
              <w:rPr>
                <w:rFonts w:hint="eastAsia"/>
              </w:rPr>
              <w:t xml:space="preserve">设施构型及目标特征</w:t>
            </w:r>
          </w:p>
        </w:tc>
        <w:tc>
          <w:tcPr/>
          <w:p>
            <w:pPr>
              <w:pStyle w:val="Compact"/>
            </w:pPr>
            <w:r>
              <w:rPr>
                <w:rFonts w:hint="eastAsia"/>
              </w:rPr>
              <w:t xml:space="preserve">迎火侧门窗数量</w:t>
            </w:r>
          </w:p>
        </w:tc>
        <w:tc>
          <w:tcPr/>
          <w:p>
            <w:pPr>
              <w:pStyle w:val="Compact"/>
            </w:pPr>
            <w:r>
              <w:rPr>
                <w:rFonts w:hint="eastAsia"/>
              </w:rPr>
              <w:t xml:space="preserve">热辐射可能进入设施内部的门窗条件</w:t>
            </w:r>
          </w:p>
        </w:tc>
      </w:tr>
      <w:tr>
        <w:tc>
          <w:tcPr/>
          <w:p>
            <w:pPr>
              <w:pStyle w:val="Compact"/>
            </w:pPr>
            <w:r>
              <w:rPr>
                <w:rFonts w:hint="eastAsia"/>
              </w:rPr>
              <w:t xml:space="preserve">设施构型及目标特征</w:t>
            </w:r>
          </w:p>
        </w:tc>
        <w:tc>
          <w:tcPr/>
          <w:p>
            <w:pPr>
              <w:pStyle w:val="Compact"/>
            </w:pPr>
            <w:r>
              <w:rPr>
                <w:rFonts w:hint="eastAsia"/>
              </w:rPr>
              <w:t xml:space="preserve">迎火侧门窗面积比</w:t>
            </w:r>
          </w:p>
        </w:tc>
        <w:tc>
          <w:tcPr/>
          <w:p>
            <w:pPr>
              <w:pStyle w:val="Compact"/>
            </w:pPr>
            <w:r>
              <w:rPr>
                <w:rFonts w:hint="eastAsia"/>
              </w:rPr>
              <w:t xml:space="preserve">门窗相对受热墙面的开放程度</w:t>
            </w:r>
          </w:p>
        </w:tc>
      </w:tr>
      <w:tr>
        <w:tc>
          <w:tcPr/>
          <w:p>
            <w:pPr>
              <w:pStyle w:val="Compact"/>
            </w:pPr>
            <w:r>
              <w:rPr>
                <w:rFonts w:hint="eastAsia"/>
              </w:rPr>
              <w:t xml:space="preserve">设施构型及目标特征</w:t>
            </w:r>
          </w:p>
        </w:tc>
        <w:tc>
          <w:tcPr/>
          <w:p>
            <w:pPr>
              <w:pStyle w:val="Compact"/>
            </w:pPr>
            <w:r>
              <w:rPr>
                <w:rFonts w:hint="eastAsia"/>
              </w:rPr>
              <w:t xml:space="preserve">迎火侧总开口比例</w:t>
            </w:r>
          </w:p>
        </w:tc>
        <w:tc>
          <w:tcPr/>
          <w:p>
            <w:pPr>
              <w:pStyle w:val="Compact"/>
            </w:pPr>
            <w:r>
              <w:rPr>
                <w:rFonts w:hint="eastAsia"/>
              </w:rPr>
              <w:t xml:space="preserve">门窗与通风口综合的迎火侧开放程度</w:t>
            </w:r>
          </w:p>
        </w:tc>
      </w:tr>
      <w:tr>
        <w:tc>
          <w:tcPr/>
          <w:p>
            <w:pPr>
              <w:pStyle w:val="Compact"/>
            </w:pPr>
            <w:r>
              <w:rPr>
                <w:rFonts w:hint="eastAsia"/>
              </w:rPr>
              <w:t xml:space="preserve">设施构型及目标特征</w:t>
            </w:r>
          </w:p>
        </w:tc>
        <w:tc>
          <w:tcPr/>
          <w:p>
            <w:pPr>
              <w:pStyle w:val="Compact"/>
            </w:pPr>
            <w:r>
              <w:rPr>
                <w:rFonts w:hint="eastAsia"/>
              </w:rPr>
              <w:t xml:space="preserve">可燃物/敏感目标密度</w:t>
            </w:r>
          </w:p>
        </w:tc>
        <w:tc>
          <w:tcPr/>
          <w:p>
            <w:pPr>
              <w:pStyle w:val="Compact"/>
            </w:pPr>
            <w:r>
              <w:rPr>
                <w:rFonts w:hint="eastAsia"/>
              </w:rPr>
              <w:t xml:space="preserve">单位平面面积内可能形成损伤的目标数量</w:t>
            </w:r>
          </w:p>
        </w:tc>
      </w:tr>
      <w:tr>
        <w:tc>
          <w:tcPr/>
          <w:p>
            <w:pPr>
              <w:pStyle w:val="Compact"/>
            </w:pPr>
            <w:r>
              <w:rPr>
                <w:rFonts w:hint="eastAsia"/>
              </w:rPr>
              <w:t xml:space="preserve">设施构型及目标特征</w:t>
            </w:r>
          </w:p>
        </w:tc>
        <w:tc>
          <w:tcPr/>
          <w:p>
            <w:pPr>
              <w:pStyle w:val="Compact"/>
            </w:pPr>
            <w:r>
              <w:rPr>
                <w:rFonts w:hint="eastAsia"/>
              </w:rPr>
              <w:t xml:space="preserve">迎火侧可燃物/敏感目标比例</w:t>
            </w:r>
          </w:p>
        </w:tc>
        <w:tc>
          <w:tcPr/>
          <w:p>
            <w:pPr>
              <w:pStyle w:val="Compact"/>
            </w:pPr>
            <w:r>
              <w:rPr>
                <w:rFonts w:hint="eastAsia"/>
              </w:rPr>
              <w:t xml:space="preserve">直接处于受热方向的目标占比</w:t>
            </w:r>
          </w:p>
        </w:tc>
      </w:tr>
    </w:tbl>
    <w:p>
      <w:pPr>
        <w:pStyle w:val="BodyText"/>
      </w:pPr>
      <w:r>
        <w:rPr>
          <w:rFonts w:hint="eastAsia"/>
        </w:rPr>
        <w:t xml:space="preserve">表中前</w:t>
      </w:r>
      <w:r>
        <w:t xml:space="preserve"> 6 </w:t>
      </w:r>
      <w:r>
        <w:rPr>
          <w:rFonts w:hint="eastAsia"/>
        </w:rPr>
        <w:t xml:space="preserve">项为所有设施共用的核心输入；迎火侧门窗数量与门窗面积比两项仅在该类参数随工况或方向存在变化的设施中启用，其余设施不纳入模型，避免把恒定参数误作驱动因素。各设施实际使用的输入特征列表在训练时固化于模型文件中，推理时按同一列表构造特征向量，保证训练与使用口径一致。</w:t>
      </w:r>
    </w:p>
    <w:p>
      <w:pPr>
        <w:pStyle w:val="BodyText"/>
      </w:pPr>
      <w:r>
        <w:rPr>
          <w:rFonts w:hint="eastAsia"/>
        </w:rPr>
        <w:t xml:space="preserve">从参数构成看，热源工况特征刻画了能量输入的强度、时程与方向性，是设施级</w:t>
      </w:r>
      <w:r>
        <w:t xml:space="preserve"> Dk </w:t>
      </w:r>
      <w:r>
        <w:rPr>
          <w:rFonts w:hint="eastAsia"/>
        </w:rPr>
        <w:t xml:space="preserve">随工况变化的主要驱动；设施构型及目标特征则刻画了设施自身的受热响应条件，包括空间体量对热量的稀释作用、围护与开口对热量进入路径的调节，以及内部目标数量和迎火暴露程度对损伤形成的放大作用。两类特征在模型中共同参与树节点划分，缺一不可：仅凭热源强度无法解释同热通量下不同设施、不同方向的预测差异，仅凭设施构型也无法刻画同一设施在不同工况下的损伤变化。两者结合，使模型能够在统一的特征空间内表达"外部能量输入—围护衰减—目标暴露—价值加权损伤"的完整响应链。</w:t>
      </w:r>
    </w:p>
    <w:p>
      <w:pPr>
        <w:pStyle w:val="BodyText"/>
      </w:pPr>
      <w:r>
        <w:rPr>
          <w:rFonts w:hint="eastAsia"/>
        </w:rPr>
        <w:t xml:space="preserve">对航空航天设施与机场机库而言，设施构型及目标特征的工程含义尤为突出。总装与处理厂房的大跨度连续空间、发射塔台与移动发射台的半开放受热边界、机库的大型机库门与航空器集中停放，都会显著改变热量进入设施内部以及高价值目标暴露的路径；电子设备、电缆系统、复合材料、燃油残留和维修材料等可燃物与敏感目标，则通过目标密度和迎火侧比例两项参数进入模型。这些差异无法用单一热源参数表达，必须由设施构型及目标特征承担。</w:t>
      </w:r>
    </w:p>
    <w:bookmarkEnd w:id="68"/>
    <w:bookmarkStart w:id="69" w:name="Xfc3ff2daafc3c69a9ee5c7576ccb048a52d9b3a"/>
    <w:p>
      <w:pPr>
        <w:pStyle w:val="4"/>
      </w:pPr>
      <w:r>
        <w:t xml:space="preserve">4.2 </w:t>
      </w:r>
      <w:r>
        <w:rPr>
          <w:rFonts w:hint="eastAsia"/>
        </w:rPr>
        <w:t xml:space="preserve">特征处理</w:t>
      </w:r>
    </w:p>
    <w:p>
      <w:pPr>
        <w:pStyle w:val="FirstParagraph"/>
      </w:pPr>
      <w:r>
        <w:rPr>
          <w:rFonts w:hint="eastAsia"/>
        </w:rPr>
        <w:t xml:space="preserve">热通量采用以</w:t>
      </w:r>
      <w:r>
        <w:t xml:space="preserve"> 10 </w:t>
      </w:r>
      <w:r>
        <w:rPr>
          <w:rFonts w:hint="eastAsia"/>
        </w:rPr>
        <w:t xml:space="preserve">为底的对数变换，热剂量按热通量与持续时间的乘积构造，以减小高低热通量之间的数值跨度。方位角采用正弦和余弦联合编码，使</w:t>
      </w:r>
      <w:r>
        <w:t xml:space="preserve"> </w:t>
      </w:r>
      <w:r>
        <w:rPr>
          <w:rFonts w:hint="eastAsia"/>
        </w:rPr>
        <w:t xml:space="preserve">0°和</w:t>
      </w:r>
      <w:r>
        <w:t xml:space="preserve"> </w:t>
      </w:r>
      <w:r>
        <w:rPr>
          <w:rFonts w:hint="eastAsia"/>
        </w:rPr>
        <w:t xml:space="preserve">360°在特征空间中保持连续。迎火侧墙面面积采用对数表达，使不同规模设施能够在同一数值范围内参与树节点划分。</w:t>
      </w:r>
    </w:p>
    <w:p>
      <w:pPr>
        <w:pStyle w:val="BodyText"/>
      </w:pPr>
      <w:r>
        <w:rPr>
          <w:rFonts w:hint="eastAsia"/>
        </w:rPr>
        <w:t xml:space="preserve">迎火侧特征根据方位角动态选取。当热源方向改变时，模型同步更新受热墙面面积、门窗与总开口比例以及迎火侧敏感目标比例。因此，同一热通量下不同方向的预测差异具有明确的工程参数来源：方位角决定哪一面墙成为迎火侧，俯仰角决定辐射作用于墙面、屋面还是内部目标的分布，持续时间则通过热剂量累积放大或缩小损伤程度。对机场机库而言，机库门通常集中布置于一个立面，方位角的变化会使大门、侧墙或背墙轮流成为迎火侧，这种方向性差异在特征中通过迎火侧开口与门窗比例的动态投影被显式保留。</w:t>
      </w:r>
    </w:p>
    <w:p>
      <w:pPr>
        <w:pStyle w:val="BodyText"/>
      </w:pPr>
      <w:r>
        <w:rPr>
          <w:rFonts w:hint="eastAsia"/>
        </w:rPr>
        <w:t xml:space="preserve">为兼顾模型对连续工况的插值能力和对离散工况的刻画能力，热源参数同时保留连续数值与离散标识两种表达：连续数值用于树节点按阈值精细分裂，离散标识（如特定俯仰角、特定持续时间档位）则帮助模型记忆工况网格中实际存在的作用条件。设施侧参数全部以连续量形式进入模型，其中迎火侧开口、门窗和敏感目标比例在方向上动态投影，使建筑朝向与热源方向的关系被显式编码，避免模型将不同方向的差异简单归因于热通量大小。</w:t>
      </w:r>
    </w:p>
    <w:bookmarkEnd w:id="69"/>
    <w:bookmarkStart w:id="73" w:name="X02a0a787fd444d4794bc1192496ff9572fad244"/>
    <w:p>
      <w:pPr>
        <w:pStyle w:val="4"/>
      </w:pPr>
      <w:r>
        <w:t xml:space="preserve">4.3 </w:t>
      </w:r>
      <w:r>
        <w:rPr>
          <w:rFonts w:hint="eastAsia"/>
        </w:rPr>
        <w:t xml:space="preserve">航空航天与机场机库专项因素重要性</w:t>
      </w:r>
    </w:p>
    <w:p>
      <w:pPr>
        <w:pStyle w:val="FirstParagraph"/>
      </w:pPr>
      <w:r>
        <w:rPr>
          <w:rFonts w:hint="eastAsia"/>
        </w:rPr>
        <w:t xml:space="preserve">为完整分析本报告</w:t>
      </w:r>
      <w:r>
        <w:t xml:space="preserve"> 21 </w:t>
      </w:r>
      <w:r>
        <w:rPr>
          <w:rFonts w:hint="eastAsia"/>
        </w:rPr>
        <w:t xml:space="preserve">个设施的模型使用特征，在五折交叉验证框架下进行重复置换重要性分析：对某个输入特征，在各折测试集上随机打乱该特征取值后重新预测，记录等级准确率的下降量。下降量越大，说明模型在合并子集上对该特征越敏感。该分析只针对所有航空航天与机场机库设施共用的核心输入特征，用于解释模型预测和等级分布，不将重要性数值解释为单一物理因果比例。</w:t>
      </w:r>
    </w:p>
    <w:p>
      <w:pPr>
        <w:pStyle w:val="BodyText"/>
      </w:pPr>
      <w:r>
        <w:drawing>
          <wp:inline>
            <wp:extent cx="5270500" cy="3220861"/>
            <wp:effectExtent b="0" l="0" r="0" t="0"/>
            <wp:docPr descr="图 1 航空航天与机场机库专项因素置换重要性" title="" id="71" name="Picture"/>
            <a:graphic>
              <a:graphicData uri="http://schemas.openxmlformats.org/drawingml/2006/picture">
                <pic:pic>
                  <pic:nvPicPr>
                    <pic:cNvPr descr="../output/experimental_figures/aerospace_permutation_importance.png" id="72" name="Picture"/>
                    <pic:cNvPicPr>
                      <a:picLocks noChangeArrowheads="1" noChangeAspect="1"/>
                    </pic:cNvPicPr>
                  </pic:nvPicPr>
                  <pic:blipFill>
                    <a:blip r:embed="rId70"/>
                    <a:stretch>
                      <a:fillRect/>
                    </a:stretch>
                  </pic:blipFill>
                  <pic:spPr bwMode="auto">
                    <a:xfrm>
                      <a:off x="0" y="0"/>
                      <a:ext cx="5270500" cy="3220861"/>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1 </w:t>
      </w:r>
      <w:r>
        <w:rPr>
          <w:rFonts w:hint="eastAsia"/>
          <w:b/>
          <w:bCs/>
        </w:rPr>
        <w:t xml:space="preserve">航空航天与机场机库专项因素置换重要性</w:t>
      </w:r>
    </w:p>
    <w:p>
      <w:pPr>
        <w:pStyle w:val="BodyText"/>
      </w:pPr>
      <w:r>
        <w:rPr>
          <w:rFonts w:hint="eastAsia"/>
          <w:b/>
          <w:bCs/>
        </w:rPr>
        <w:t xml:space="preserve">表</w:t>
      </w:r>
      <w:r>
        <w:rPr>
          <w:b/>
          <w:bCs/>
        </w:rPr>
        <w:t xml:space="preserve"> 6 </w:t>
      </w:r>
      <w:r>
        <w:rPr>
          <w:rFonts w:hint="eastAsia"/>
          <w:b/>
          <w:bCs/>
        </w:rPr>
        <w:t xml:space="preserve">航空航天与机场机库核心输入特征置换重要性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排序</w:t>
            </w:r>
          </w:p>
        </w:tc>
        <w:tc>
          <w:tcPr/>
          <w:p>
            <w:pPr>
              <w:pStyle w:val="Compact"/>
            </w:pPr>
            <w:r>
              <w:rPr>
                <w:rFonts w:hint="eastAsia"/>
              </w:rPr>
              <w:t xml:space="preserve">输入特征</w:t>
            </w:r>
          </w:p>
        </w:tc>
        <w:tc>
          <w:tcPr/>
          <w:p>
            <w:pPr>
              <w:pStyle w:val="Compact"/>
              <w:jc w:val="right"/>
            </w:pPr>
            <w:r>
              <w:rPr>
                <w:rFonts w:hint="eastAsia"/>
              </w:rPr>
              <w:t xml:space="preserve">置换后等级准确率下降</w:t>
            </w:r>
          </w:p>
        </w:tc>
      </w:tr>
      <w:tr>
        <w:tc>
          <w:tcPr/>
          <w:p>
            <w:pPr>
              <w:pStyle w:val="Compact"/>
              <w:jc w:val="right"/>
            </w:pPr>
            <w:r>
              <w:t xml:space="preserve">1</w:t>
            </w:r>
          </w:p>
        </w:tc>
        <w:tc>
          <w:tcPr/>
          <w:p>
            <w:pPr>
              <w:pStyle w:val="Compact"/>
            </w:pPr>
            <w:r>
              <w:rPr>
                <w:rFonts w:hint="eastAsia"/>
              </w:rPr>
              <w:t xml:space="preserve">方位角余弦项</w:t>
            </w:r>
          </w:p>
        </w:tc>
        <w:tc>
          <w:tcPr/>
          <w:p>
            <w:pPr>
              <w:pStyle w:val="Compact"/>
              <w:jc w:val="right"/>
            </w:pPr>
            <w:r>
              <w:t xml:space="preserve">0.0301</w:t>
            </w:r>
          </w:p>
        </w:tc>
      </w:tr>
      <w:tr>
        <w:tc>
          <w:tcPr/>
          <w:p>
            <w:pPr>
              <w:pStyle w:val="Compact"/>
              <w:jc w:val="right"/>
            </w:pPr>
            <w:r>
              <w:t xml:space="preserve">2</w:t>
            </w:r>
          </w:p>
        </w:tc>
        <w:tc>
          <w:tcPr/>
          <w:p>
            <w:pPr>
              <w:pStyle w:val="Compact"/>
            </w:pPr>
            <w:r>
              <w:rPr>
                <w:rFonts w:hint="eastAsia"/>
              </w:rPr>
              <w:t xml:space="preserve">热通量（对数）</w:t>
            </w:r>
          </w:p>
        </w:tc>
        <w:tc>
          <w:tcPr/>
          <w:p>
            <w:pPr>
              <w:pStyle w:val="Compact"/>
              <w:jc w:val="right"/>
            </w:pPr>
            <w:r>
              <w:t xml:space="preserve">0.0216</w:t>
            </w:r>
          </w:p>
        </w:tc>
      </w:tr>
      <w:tr>
        <w:tc>
          <w:tcPr/>
          <w:p>
            <w:pPr>
              <w:pStyle w:val="Compact"/>
              <w:jc w:val="right"/>
            </w:pPr>
            <w:r>
              <w:t xml:space="preserve">3</w:t>
            </w:r>
          </w:p>
        </w:tc>
        <w:tc>
          <w:tcPr/>
          <w:p>
            <w:pPr>
              <w:pStyle w:val="Compact"/>
            </w:pPr>
            <w:r>
              <w:rPr>
                <w:rFonts w:hint="eastAsia"/>
              </w:rPr>
              <w:t xml:space="preserve">俯仰角正弦项</w:t>
            </w:r>
          </w:p>
        </w:tc>
        <w:tc>
          <w:tcPr/>
          <w:p>
            <w:pPr>
              <w:pStyle w:val="Compact"/>
              <w:jc w:val="right"/>
            </w:pPr>
            <w:r>
              <w:t xml:space="preserve">0.0117</w:t>
            </w:r>
          </w:p>
        </w:tc>
      </w:tr>
      <w:tr>
        <w:tc>
          <w:tcPr/>
          <w:p>
            <w:pPr>
              <w:pStyle w:val="Compact"/>
              <w:jc w:val="right"/>
            </w:pPr>
            <w:r>
              <w:t xml:space="preserve">4</w:t>
            </w:r>
          </w:p>
        </w:tc>
        <w:tc>
          <w:tcPr/>
          <w:p>
            <w:pPr>
              <w:pStyle w:val="Compact"/>
            </w:pPr>
            <w:r>
              <w:rPr>
                <w:rFonts w:hint="eastAsia"/>
              </w:rPr>
              <w:t xml:space="preserve">迎火侧总开口比例</w:t>
            </w:r>
          </w:p>
        </w:tc>
        <w:tc>
          <w:tcPr/>
          <w:p>
            <w:pPr>
              <w:pStyle w:val="Compact"/>
              <w:jc w:val="right"/>
            </w:pPr>
            <w:r>
              <w:t xml:space="preserve">0.0095</w:t>
            </w:r>
          </w:p>
        </w:tc>
      </w:tr>
      <w:tr>
        <w:tc>
          <w:tcPr/>
          <w:p>
            <w:pPr>
              <w:pStyle w:val="Compact"/>
              <w:jc w:val="right"/>
            </w:pPr>
            <w:r>
              <w:t xml:space="preserve">5</w:t>
            </w:r>
          </w:p>
        </w:tc>
        <w:tc>
          <w:tcPr/>
          <w:p>
            <w:pPr>
              <w:pStyle w:val="Compact"/>
            </w:pPr>
            <w:r>
              <w:rPr>
                <w:rFonts w:hint="eastAsia"/>
              </w:rPr>
              <w:t xml:space="preserve">迎火侧墙面面积（对数）</w:t>
            </w:r>
          </w:p>
        </w:tc>
        <w:tc>
          <w:tcPr/>
          <w:p>
            <w:pPr>
              <w:pStyle w:val="Compact"/>
              <w:jc w:val="right"/>
            </w:pPr>
            <w:r>
              <w:t xml:space="preserve">0.0084</w:t>
            </w:r>
          </w:p>
        </w:tc>
      </w:tr>
      <w:tr>
        <w:tc>
          <w:tcPr/>
          <w:p>
            <w:pPr>
              <w:pStyle w:val="Compact"/>
              <w:jc w:val="right"/>
            </w:pPr>
            <w:r>
              <w:t xml:space="preserve">6</w:t>
            </w:r>
          </w:p>
        </w:tc>
        <w:tc>
          <w:tcPr/>
          <w:p>
            <w:pPr>
              <w:pStyle w:val="Compact"/>
            </w:pPr>
            <w:r>
              <w:rPr>
                <w:rFonts w:hint="eastAsia"/>
              </w:rPr>
              <w:t xml:space="preserve">热剂量（对数）</w:t>
            </w:r>
          </w:p>
        </w:tc>
        <w:tc>
          <w:tcPr/>
          <w:p>
            <w:pPr>
              <w:pStyle w:val="Compact"/>
              <w:jc w:val="right"/>
            </w:pPr>
            <w:r>
              <w:t xml:space="preserve">0.0083</w:t>
            </w:r>
          </w:p>
        </w:tc>
      </w:tr>
      <w:tr>
        <w:tc>
          <w:tcPr/>
          <w:p>
            <w:pPr>
              <w:pStyle w:val="Compact"/>
              <w:jc w:val="right"/>
            </w:pPr>
            <w:r>
              <w:t xml:space="preserve">7</w:t>
            </w:r>
          </w:p>
        </w:tc>
        <w:tc>
          <w:tcPr/>
          <w:p>
            <w:pPr>
              <w:pStyle w:val="Compact"/>
            </w:pPr>
            <w:r>
              <w:rPr>
                <w:rFonts w:hint="eastAsia"/>
              </w:rPr>
              <w:t xml:space="preserve">辐射持续时间</w:t>
            </w:r>
          </w:p>
        </w:tc>
        <w:tc>
          <w:tcPr/>
          <w:p>
            <w:pPr>
              <w:pStyle w:val="Compact"/>
              <w:jc w:val="right"/>
            </w:pPr>
            <w:r>
              <w:t xml:space="preserve">0.0083</w:t>
            </w:r>
          </w:p>
        </w:tc>
      </w:tr>
      <w:tr>
        <w:tc>
          <w:tcPr/>
          <w:p>
            <w:pPr>
              <w:pStyle w:val="Compact"/>
              <w:jc w:val="right"/>
            </w:pPr>
            <w:r>
              <w:t xml:space="preserve">8</w:t>
            </w:r>
          </w:p>
        </w:tc>
        <w:tc>
          <w:tcPr/>
          <w:p>
            <w:pPr>
              <w:pStyle w:val="Compact"/>
            </w:pPr>
            <w:r>
              <w:rPr>
                <w:rFonts w:hint="eastAsia"/>
              </w:rPr>
              <w:t xml:space="preserve">迎火侧可燃物/敏感目标比例</w:t>
            </w:r>
          </w:p>
        </w:tc>
        <w:tc>
          <w:tcPr/>
          <w:p>
            <w:pPr>
              <w:pStyle w:val="Compact"/>
              <w:jc w:val="right"/>
            </w:pPr>
            <w:r>
              <w:t xml:space="preserve">0.0079</w:t>
            </w:r>
          </w:p>
        </w:tc>
      </w:tr>
      <w:tr>
        <w:tc>
          <w:tcPr/>
          <w:p>
            <w:pPr>
              <w:pStyle w:val="Compact"/>
              <w:jc w:val="right"/>
            </w:pPr>
            <w:r>
              <w:t xml:space="preserve">9</w:t>
            </w:r>
          </w:p>
        </w:tc>
        <w:tc>
          <w:tcPr/>
          <w:p>
            <w:pPr>
              <w:pStyle w:val="Compact"/>
            </w:pPr>
            <w:r>
              <w:rPr>
                <w:rFonts w:hint="eastAsia"/>
              </w:rPr>
              <w:t xml:space="preserve">方位角正弦项</w:t>
            </w:r>
          </w:p>
        </w:tc>
        <w:tc>
          <w:tcPr/>
          <w:p>
            <w:pPr>
              <w:pStyle w:val="Compact"/>
              <w:jc w:val="right"/>
            </w:pPr>
            <w:r>
              <w:t xml:space="preserve">0.0016</w:t>
            </w:r>
          </w:p>
        </w:tc>
      </w:tr>
    </w:tbl>
    <w:p>
      <w:pPr>
        <w:pStyle w:val="BodyText"/>
      </w:pPr>
      <w:r>
        <w:rPr>
          <w:rFonts w:hint="eastAsia"/>
        </w:rPr>
        <w:t xml:space="preserve">置换结果显示，方位角与热通量是航空航天与机场机库等级判断最主要的驱动因素：方位角通过迎火侧墙面、机库门与开口比例的动态投影决定方向响应，热通量则直接控制损伤水平。俯仰角正弦项和迎火侧总开口比例进一步刻画辐射作用于屋面、机库门及内部目标的路径差异。机场机库的大跨度开口和航空器目标分布、发射与处理设施的高价值设备布置，均通过这些共用特征进入统一等级解释。除上述共用特征外，个别设施（如沃斯堡空军4号飞机工厂、40号发射场机库）还补充了开口面积、通风口、无窗墙面等扩展特征，以刻画其特有的开口受热路径。</w:t>
      </w:r>
    </w:p>
    <w:p>
      <w:r>
        <w:pict>
          <v:rect style="width:0;height:1.5pt" o:hralign="center" o:hrstd="t" o:hr="t"/>
        </w:pict>
      </w:r>
    </w:p>
    <w:bookmarkEnd w:id="73"/>
    <w:bookmarkEnd w:id="74"/>
    <w:bookmarkStart w:id="80" w:name="X0f6b8e72e487a0a071ac0eb8eaf70e4e783d659"/>
    <w:p>
      <w:pPr>
        <w:pStyle w:val="3"/>
      </w:pPr>
      <w:r>
        <w:t xml:space="preserve">5 </w:t>
      </w:r>
      <w:r>
        <w:rPr>
          <w:rFonts w:hint="eastAsia"/>
        </w:rPr>
        <w:t xml:space="preserve">代理模型架构</w:t>
      </w:r>
    </w:p>
    <w:bookmarkStart w:id="75" w:name="X3a0a37bdbb9c015b465d1e949e025e6f7b15410"/>
    <w:p>
      <w:pPr>
        <w:pStyle w:val="4"/>
      </w:pPr>
      <w:r>
        <w:t xml:space="preserve">5.1 ExtraTrees </w:t>
      </w:r>
      <w:r>
        <w:rPr>
          <w:rFonts w:hint="eastAsia"/>
        </w:rPr>
        <w:t xml:space="preserve">建模原理</w:t>
      </w:r>
    </w:p>
    <w:p>
      <w:pPr>
        <w:pStyle w:val="FirstParagraph"/>
      </w:pPr>
      <w:r>
        <w:t xml:space="preserve">ExtraTrees </w:t>
      </w:r>
      <w:r>
        <w:rPr>
          <w:rFonts w:hint="eastAsia"/>
        </w:rPr>
        <w:t xml:space="preserve">由多棵极端随机决策树组成。每棵树在节点分裂时从候选特征和随机切分阈值中选择较优分裂，从而形成结构不同的树。多树集成可以降低单棵树对局部样本的依赖，并表达热通量、方向、建筑和敏感目标之间的非线性交互。</w:t>
      </w:r>
    </w:p>
    <w:p>
      <w:pPr>
        <w:pStyle w:val="BodyText"/>
      </w:pPr>
      <w:r>
        <w:rPr>
          <w:rFonts w:hint="eastAsia"/>
        </w:rPr>
        <w:t xml:space="preserve">本模型设置两个并行任务。回归森林学习连续</w:t>
      </w:r>
      <w:r>
        <w:t xml:space="preserve"> </w:t>
      </w:r>
      <w:r>
        <w:rPr>
          <w:rFonts w:hint="eastAsia"/>
        </w:rPr>
        <w:t xml:space="preserve">Dk，分类森林学习四级损伤。两个任务使用同一组输入，但分别针对连续量级和工程等级优化。</w:t>
      </w:r>
    </w:p>
    <w:bookmarkEnd w:id="75"/>
    <w:bookmarkStart w:id="76" w:name="Xd73f472d35ca3756156413b046030c4113ee89b"/>
    <w:p>
      <w:pPr>
        <w:pStyle w:val="4"/>
      </w:pPr>
      <w:r>
        <w:t xml:space="preserve">5.2 </w:t>
      </w:r>
      <w:r>
        <w:rPr>
          <w:rFonts w:hint="eastAsia"/>
        </w:rPr>
        <w:t xml:space="preserve">连续</w:t>
      </w:r>
      <w:r>
        <w:t xml:space="preserve"> Dk </w:t>
      </w:r>
      <w:r>
        <w:rPr>
          <w:rFonts w:hint="eastAsia"/>
        </w:rPr>
        <w:t xml:space="preserve">回归</w:t>
      </w:r>
    </w:p>
    <w:p>
      <w:pPr>
        <w:pStyle w:val="FirstParagraph"/>
      </w:pPr>
      <w:r>
        <w:rPr>
          <w:rFonts w:hint="eastAsia"/>
        </w:rPr>
        <w:t xml:space="preserve">设输入特征为：</w:t>
      </w:r>
    </w:p>
    <w:p>
      <w:pPr>
        <w:pStyle w:val="BodyText"/>
      </w:pPr>
      <ns7:oMathPara>
        <ns7:oMathParaPr>
          <ns7:jc ns7:val="center"/>
        </ns7:oMathParaPr>
        <ns7:oMath>
          <ns7:r>
            <ns7:rPr>
              <ns7:sty ns7:val="bi"/>
            </ns7:rPr>
            <ns7:t>x</ns7:t>
          </ns7:r>
          <ns7:r>
            <ns7:rPr>
              <ns7:sty ns7:val="p"/>
            </ns7:rPr>
            <ns7:t>=</ns7:t>
          </ns7:r>
          <ns7:r>
            <ns7:rPr>
              <ns7:sty ns7:val="p"/>
            </ns7:rPr>
            <ns7:t>[</ns7:t>
          </ns7:r>
          <ns7:sSub>
            <ns7:e>
              <ns7:r>
                <ns7:rPr>
                  <ns7:sty ns7:val="bi"/>
                </ns7:rPr>
                <ns7:t>x</ns7:t>
              </ns7:r>
            </ns7:e>
            <ns7:sub>
              <ns7:r>
                <ns7:t>H</ns7:t>
              </ns7:r>
            </ns7:sub>
          </ns7:sSub>
          <ns7:r>
            <ns7:rPr>
              <ns7:sty ns7:val="p"/>
            </ns7:rPr>
            <ns7:t>,</ns7:t>
          </ns7:r>
          <ns7:sSub>
            <ns7:e>
              <ns7:r>
                <ns7:rPr>
                  <ns7:sty ns7:val="bi"/>
                </ns7:rPr>
                <ns7:t>x</ns7:t>
              </ns7:r>
            </ns7:e>
            <ns7:sub>
              <ns7:r>
                <ns7:t>F</ns7:t>
              </ns7:r>
            </ns7:sub>
          </ns7:sSub>
          <ns7:r>
            <ns7:rPr>
              <ns7:sty ns7:val="p"/>
            </ns7:rPr>
            <ns7:t>]</ns7:t>
          </ns7:r>
        </ns7:oMath>
      </ns7:oMathPara>
    </w:p>
    <w:p>
      <w:pPr>
        <w:pStyle w:val="FirstParagraph"/>
      </w:pPr>
      <w:r>
        <w:rPr>
          <w:rFonts w:hint="eastAsia"/>
        </w:rPr>
        <w:t xml:space="preserve">其中，</w:t>
      </w:r>
      <ns7:oMath>
        <ns7:sSub>
          <ns7:e>
            <ns7:r>
              <ns7:rPr>
                <ns7:sty ns7:val="bi"/>
              </ns7:rPr>
              <ns7:t>x</ns7:t>
            </ns7:r>
          </ns7:e>
          <ns7:sub>
            <ns7:r>
              <ns7:t>H</ns7:t>
            </ns7:r>
          </ns7:sub>
        </ns7:sSub>
      </ns7:oMath>
      <w:r>
        <w:t xml:space="preserve"> </w:t>
      </w:r>
      <w:r>
        <w:rPr>
          <w:rFonts w:hint="eastAsia"/>
        </w:rPr>
        <w:t xml:space="preserve">为热源工况特征，</w:t>
      </w:r>
      <ns7:oMath>
        <ns7:sSub>
          <ns7:e>
            <ns7:r>
              <ns7:rPr>
                <ns7:sty ns7:val="bi"/>
              </ns7:rPr>
              <ns7:t>x</ns7:t>
            </ns7:r>
          </ns7:e>
          <ns7:sub>
            <ns7:r>
              <ns7:t>F</ns7:t>
            </ns7:r>
          </ns7:sub>
        </ns7:sSub>
      </ns7:oMath>
      <w:r>
        <w:t xml:space="preserve"> </w:t>
      </w:r>
      <w:r>
        <w:rPr>
          <w:rFonts w:hint="eastAsia"/>
        </w:rPr>
        <w:t xml:space="preserve">为设施构型及目标特征（包括设施类别编码）。对于包含</w:t>
      </w:r>
      <w:r>
        <w:t xml:space="preserve"> </w:t>
      </w:r>
      <ns7:oMath>
        <ns7:r>
          <ns7:t>T</ns7:t>
        </ns7:r>
      </ns7:oMath>
      <w:r>
        <w:t xml:space="preserve"> </w:t>
      </w:r>
      <w:r>
        <w:rPr>
          <w:rFonts w:hint="eastAsia"/>
        </w:rPr>
        <w:t xml:space="preserve">棵树的回归森林，第</w:t>
      </w:r>
      <w:r>
        <w:t xml:space="preserve"> </w:t>
      </w:r>
      <ns7:oMath>
        <ns7:r>
          <ns7:t>t</ns7:t>
        </ns7:r>
      </ns7:oMath>
      <w:r>
        <w:t xml:space="preserve"> </w:t>
      </w:r>
      <w:r>
        <w:rPr>
          <w:rFonts w:hint="eastAsia"/>
        </w:rPr>
        <w:t xml:space="preserve">棵树的输出记为</w:t>
      </w:r>
      <w:r>
        <w:t xml:space="preserve"> </w:t>
      </w:r>
      <ns7:oMath>
        <ns7:sSub>
          <ns7:e>
            <ns7:r>
              <ns7:t>f</ns7:t>
            </ns7:r>
          </ns7:e>
          <ns7:sub>
            <ns7:r>
              <ns7:t>t</ns7:t>
            </ns7:r>
          </ns7:sub>
        </ns7:sSub>
        <ns7:r>
          <ns7:rPr>
            <ns7:sty ns7:val="p"/>
          </ns7:rPr>
          <ns7:t>(</ns7:t>
        </ns7:r>
        <ns7:r>
          <ns7:rPr>
            <ns7:sty ns7:val="bi"/>
          </ns7:rPr>
          <ns7:t>x</ns7:t>
        </ns7:r>
        <ns7:r>
          <ns7:rPr>
            <ns7:sty ns7:val="p"/>
          </ns7:rPr>
          <ns7:t>)</ns7:t>
        </ns7:r>
      </ns7:oMath>
      <w:r>
        <w:rPr>
          <w:rFonts w:hint="eastAsia"/>
        </w:rPr>
        <w:t xml:space="preserve">，连续预测值为：</w:t>
      </w:r>
    </w:p>
    <w:p>
      <w:pPr>
        <w:pStyle w:val="BodyText"/>
      </w:pPr>
      <ns7:oMathPara>
        <ns7:oMathParaPr>
          <ns7:jc ns7:val="center"/>
        </ns7:oMathParaPr>
        <ns7:oMath>
          <ns7:sSubSup>
            <ns7:e>
              <ns7:acc>
                <ns7:accPr>
                  <ns7:chr ns7:val="̂"/>
                </ns7:accPr>
                <ns7:e>
                  <ns7:r>
                    <ns7:t>D</ns7:t>
                  </ns7:r>
                </ns7:e>
              </ns7:acc>
            </ns7:e>
            <ns7:sub>
              <ns7:r>
                <ns7:t>k</ns7:t>
              </ns7:r>
            </ns7:sub>
            <ns7:sup>
              <ns7:r>
                <ns7:rPr>
                  <ns7:sty ns7:val="p"/>
                </ns7:rPr>
                <ns7:t>(</ns7:t>
              </ns7:r>
              <ns7:r>
                <ns7:t>R</ns7:t>
              </ns7:r>
              <ns7:r>
                <ns7:rPr>
                  <ns7:sty ns7:val="p"/>
                </ns7:rPr>
                <ns7:t>)</ns7:t>
              </ns7:r>
            </ns7:sup>
          </ns7:sSubSup>
          <ns7:r>
            <ns7:rPr>
              <ns7:sty ns7:val="p"/>
            </ns7:rPr>
            <ns7:t>=</ns7:t>
          </ns7:r>
          <ns7:f>
            <ns7:fPr>
              <ns7:type ns7:val="bar"/>
            </ns7:fPr>
            <ns7:num>
              <ns7:r>
                <ns7:t>1</ns7:t>
              </ns7:r>
            </ns7:num>
            <ns7:den>
              <ns7:r>
                <ns7:t>T</ns7:t>
              </ns7:r>
            </ns7:den>
          </ns7:f>
          <ns7:nary>
            <ns7:naryPr>
              <ns7:chr ns7:val="∑"/>
              <ns7:limLoc ns7:val="undOvr"/>
              <ns7:subHide ns7:val="off"/>
              <ns7:supHide ns7:val="off"/>
            </ns7:naryPr>
            <ns7:sub>
              <ns7:r>
                <ns7:t>t</ns7:t>
              </ns7:r>
              <ns7:r>
                <ns7:rPr>
                  <ns7:sty ns7:val="p"/>
                </ns7:rPr>
                <ns7:t>=</ns7:t>
              </ns7:r>
              <ns7:r>
                <ns7:t>1</ns7:t>
              </ns7:r>
            </ns7:sub>
            <ns7:sup>
              <ns7:r>
                <ns7:t>T</ns7:t>
              </ns7:r>
            </ns7:sup>
            <ns7:e>
              <ns7:sSub>
                <ns7:e>
                  <ns7:r>
                    <ns7:t>f</ns7:t>
                  </ns7:r>
                </ns7:e>
                <ns7:sub>
                  <ns7:r>
                    <ns7:t>t</ns7:t>
                  </ns7:r>
                </ns7:sub>
              </ns7:sSub>
            </ns7:e>
          </ns7:nary>
          <ns7:r>
            <ns7:rPr>
              <ns7:sty ns7:val="p"/>
            </ns7:rPr>
            <ns7:t>(</ns7:t>
          </ns7:r>
          <ns7:r>
            <ns7:rPr>
              <ns7:sty ns7:val="bi"/>
            </ns7:rPr>
            <ns7:t>x</ns7:t>
          </ns7:r>
          <ns7:r>
            <ns7:rPr>
              <ns7:sty ns7:val="p"/>
            </ns7:rPr>
            <ns7:t>)</ns7:t>
          </ns7:r>
        </ns7:oMath>
      </ns7:oMathPara>
    </w:p>
    <w:p>
      <w:pPr>
        <w:pStyle w:val="FirstParagraph"/>
      </w:pPr>
      <w:r>
        <w:rPr>
          <w:rFonts w:hint="eastAsia"/>
        </w:rPr>
        <w:t xml:space="preserve">回归结果限制在</w:t>
      </w:r>
      <w:r>
        <w:t xml:space="preserve"> </w:t>
      </w:r>
      <w:r>
        <w:rPr>
          <w:rStyle w:val="VerbatimChar"/>
        </w:rPr>
        <w:t xml:space="preserve">[0,1]</w:t>
      </w:r>
      <w:r>
        <w:t xml:space="preserve"> </w:t>
      </w:r>
      <w:r>
        <w:rPr>
          <w:rFonts w:hint="eastAsia"/>
        </w:rPr>
        <w:t xml:space="preserve">范围内，以保持</w:t>
      </w:r>
      <w:r>
        <w:t xml:space="preserve"> Dk </w:t>
      </w:r>
      <w:r>
        <w:rPr>
          <w:rFonts w:hint="eastAsia"/>
        </w:rPr>
        <w:t xml:space="preserve">的取值约束。</w:t>
      </w:r>
    </w:p>
    <w:bookmarkEnd w:id="76"/>
    <w:bookmarkStart w:id="77" w:name="X6eb5e21e84293286e2cbd1a9a087b73df387174"/>
    <w:p>
      <w:pPr>
        <w:pStyle w:val="4"/>
      </w:pPr>
      <w:r>
        <w:t xml:space="preserve">5.3 </w:t>
      </w:r>
      <w:r>
        <w:rPr>
          <w:rFonts w:hint="eastAsia"/>
        </w:rPr>
        <w:t xml:space="preserve">四级损伤分类</w:t>
      </w:r>
    </w:p>
    <w:p>
      <w:pPr>
        <w:pStyle w:val="FirstParagraph"/>
      </w:pPr>
      <w:r>
        <w:rPr>
          <w:rFonts w:hint="eastAsia"/>
        </w:rPr>
        <w:t xml:space="preserve">分类森林直接学习四个损伤等级。第</w:t>
      </w:r>
      <w:r>
        <w:t xml:space="preserve"> </w:t>
      </w:r>
      <ns7:oMath>
        <ns7:r>
          <ns7:t>t</ns7:t>
        </ns7:r>
      </ns7:oMath>
      <w:r>
        <w:t xml:space="preserve"> </w:t>
      </w:r>
      <w:r>
        <w:rPr>
          <w:rFonts w:hint="eastAsia"/>
        </w:rPr>
        <w:t xml:space="preserve">棵分类树的输出记为</w:t>
      </w:r>
      <w:r>
        <w:t xml:space="preserve"> </w:t>
      </w:r>
      <ns7:oMath>
        <ns7:sSub>
          <ns7:e>
            <ns7:r>
              <ns7:t>h</ns7:t>
            </ns7:r>
          </ns7:e>
          <ns7:sub>
            <ns7:r>
              <ns7:t>t</ns7:t>
            </ns7:r>
          </ns7:sub>
        </ns7:sSub>
        <ns7:r>
          <ns7:rPr>
            <ns7:sty ns7:val="p"/>
          </ns7:rPr>
          <ns7:t>(</ns7:t>
        </ns7:r>
        <ns7:r>
          <ns7:rPr>
            <ns7:sty ns7:val="bi"/>
          </ns7:rPr>
          <ns7:t>x</ns7:t>
        </ns7:r>
        <ns7:r>
          <ns7:rPr>
            <ns7:sty ns7:val="p"/>
          </ns7:rPr>
          <ns7:t>)</ns7:t>
        </ns7:r>
      </ns7:oMath>
      <w:r>
        <w:rPr>
          <w:rFonts w:hint="eastAsia"/>
        </w:rPr>
        <w:t xml:space="preserve">，最终等级由多树投票确定：</w:t>
      </w:r>
    </w:p>
    <w:p>
      <w:pPr>
        <w:pStyle w:val="BodyText"/>
      </w:pPr>
      <ns7:oMathPara>
        <ns7:oMathParaPr>
          <ns7:jc ns7:val="center"/>
        </ns7:oMathParaPr>
        <ns7:oMath>
          <ns7:acc>
            <ns7:accPr>
              <ns7:chr ns7:val="̂"/>
            </ns7:accPr>
            <ns7:e>
              <ns7:r>
                <ns7:t>g</ns7:t>
              </ns7:r>
            </ns7:e>
          </ns7:acc>
          <ns7:r>
            <ns7:rPr>
              <ns7:sty ns7:val="p"/>
            </ns7:rPr>
            <ns7:t>=</ns7:t>
          </ns7:r>
          <ns7:r>
            <ns7:rPr>
              <ns7:sty ns7:val="p"/>
            </ns7:rPr>
            <ns7:t>arg</ns7:t>
          </ns7:r>
          <ns7:limLow>
            <ns7:e>
              <ns7:r>
                <ns7:rPr>
                  <ns7:sty ns7:val="p"/>
                </ns7:rPr>
                <ns7:t>max</ns7:t>
              </ns7:r>
            </ns7:e>
            <ns7:lim>
              <ns7:r>
                <ns7:t>c</ns7:t>
              </ns7:r>
              <ns7:r>
                <ns7:rPr>
                  <ns7:sty ns7:val="p"/>
                </ns7:rPr>
                <ns7:t>∈</ns7:t>
              </ns7:r>
              <ns7:r>
                <ns7:rPr>
                  <ns7:sty ns7:val="p"/>
                </ns7:rPr>
                <ns7:t>{</ns7:t>
              </ns7:r>
              <ns7:r>
                <ns7:t>0</ns7:t>
              </ns7:r>
              <ns7:r>
                <ns7:rPr>
                  <ns7:sty ns7:val="p"/>
                </ns7:rPr>
                <ns7:t>,</ns7:t>
              </ns7:r>
              <ns7:r>
                <ns7:t>1</ns7:t>
              </ns7:r>
              <ns7:r>
                <ns7:rPr>
                  <ns7:sty ns7:val="p"/>
                </ns7:rPr>
                <ns7:t>,</ns7:t>
              </ns7:r>
              <ns7:r>
                <ns7:t>2</ns7:t>
              </ns7:r>
              <ns7:r>
                <ns7:rPr>
                  <ns7:sty ns7:val="p"/>
                </ns7:rPr>
                <ns7:t>,</ns7:t>
              </ns7:r>
              <ns7:r>
                <ns7:t>3</ns7:t>
              </ns7:r>
              <ns7:r>
                <ns7:rPr>
                  <ns7:sty ns7:val="p"/>
                </ns7:rPr>
                <ns7:t>}</ns7:t>
              </ns7:r>
            </ns7:lim>
          </ns7:limLow>
          <ns7:nary>
            <ns7:naryPr>
              <ns7:chr ns7:val="∑"/>
              <ns7:limLoc ns7:val="undOvr"/>
              <ns7:subHide ns7:val="off"/>
              <ns7:supHide ns7:val="off"/>
            </ns7:naryPr>
            <ns7:sub>
              <ns7:r>
                <ns7:t>t</ns7:t>
              </ns7:r>
              <ns7:r>
                <ns7:rPr>
                  <ns7:sty ns7:val="p"/>
                </ns7:rPr>
                <ns7:t>=</ns7:t>
              </ns7:r>
              <ns7:r>
                <ns7:t>1</ns7:t>
              </ns7:r>
            </ns7:sub>
            <ns7:sup>
              <ns7:r>
                <ns7:t>T</ns7:t>
              </ns7:r>
            </ns7:sup>
            <ns7:e>
              <ns7:r>
                <ns7:rPr>
                  <ns7:sty ns7:val="b"/>
                </ns7:rPr>
                <ns7:t>1</ns7:t>
              </ns7:r>
            </ns7:e>
          </ns7:nary>
          <ns7:d>
            <ns7:dPr>
              <ns7:begChr ns7:val="["/>
              <ns7:sepChr ns7:val=""/>
              <ns7:endChr ns7:val="]"/>
              <ns7:grow/>
            </ns7:dPr>
            <ns7:e>
              <ns7:sSub>
                <ns7:e>
                  <ns7:r>
                    <ns7:t>h</ns7:t>
                  </ns7:r>
                </ns7:e>
                <ns7:sub>
                  <ns7:r>
                    <ns7:t>t</ns7:t>
                  </ns7:r>
                </ns7:sub>
              </ns7:sSub>
              <ns7:r>
                <ns7:rPr>
                  <ns7:sty ns7:val="p"/>
                </ns7:rPr>
                <ns7:t>(</ns7:t>
              </ns7:r>
              <ns7:r>
                <ns7:rPr>
                  <ns7:sty ns7:val="bi"/>
                </ns7:rPr>
                <ns7:t>x</ns7:t>
              </ns7:r>
              <ns7:r>
                <ns7:rPr>
                  <ns7:sty ns7:val="p"/>
                </ns7:rPr>
                <ns7:t>)</ns7:t>
              </ns7:r>
              <ns7:r>
                <ns7:rPr>
                  <ns7:sty ns7:val="p"/>
                </ns7:rPr>
                <ns7:t>=</ns7:t>
              </ns7:r>
              <ns7:r>
                <ns7:t>c</ns7:t>
              </ns7:r>
            </ns7:e>
          </ns7:d>
        </ns7:oMath>
      </ns7:oMathPara>
    </w:p>
    <w:p>
      <w:pPr>
        <w:pStyle w:val="FirstParagraph"/>
      </w:pPr>
      <w:r>
        <w:rPr>
          <w:rFonts w:hint="eastAsia"/>
        </w:rPr>
        <w:t xml:space="preserve">分类任务采用信息熵作为节点分裂准则，并根据四个等级的样本数量进行类别平衡，使轻微破坏和严重破坏样本能够参与有效分裂。</w:t>
      </w:r>
    </w:p>
    <w:bookmarkEnd w:id="77"/>
    <w:bookmarkStart w:id="78" w:name="X34dd0dbe1a5a034905e8e8446a0280eeddd3834"/>
    <w:p>
      <w:pPr>
        <w:pStyle w:val="4"/>
      </w:pPr>
      <w:r>
        <w:t xml:space="preserve">5.4 </w:t>
      </w:r>
      <w:r>
        <w:rPr>
          <w:rFonts w:hint="eastAsia"/>
        </w:rPr>
        <w:t xml:space="preserve">等级一致性约束</w:t>
      </w:r>
    </w:p>
    <w:p>
      <w:pPr>
        <w:pStyle w:val="FirstParagraph"/>
      </w:pPr>
      <w:r>
        <w:rPr>
          <w:rFonts w:hint="eastAsia"/>
        </w:rPr>
        <w:t xml:space="preserve">设分类结果</w:t>
      </w:r>
      <w:r>
        <w:t xml:space="preserve"> </w:t>
      </w:r>
      <ns7:oMath>
        <ns7:acc>
          <ns7:accPr>
            <ns7:chr ns7:val="̂"/>
          </ns7:accPr>
          <ns7:e>
            <ns7:r>
              <ns7:t>g</ns7:t>
            </ns7:r>
          </ns7:e>
        </ns7:acc>
      </ns7:oMath>
      <w:r>
        <w:t xml:space="preserve"> </w:t>
      </w:r>
      <w:r>
        <w:rPr>
          <w:rFonts w:hint="eastAsia"/>
        </w:rPr>
        <w:t xml:space="preserve">对应的</w:t>
      </w:r>
      <w:r>
        <w:t xml:space="preserve"> Dk </w:t>
      </w:r>
      <w:r>
        <w:rPr>
          <w:rFonts w:hint="eastAsia"/>
        </w:rPr>
        <w:t xml:space="preserve">合法区间为</w:t>
      </w:r>
      <w:r>
        <w:t xml:space="preserve"> </w:t>
      </w:r>
      <ns7:oMath>
        <ns7:r>
          <ns7:rPr>
            <ns7:sty ns7:val="p"/>
          </ns7:rPr>
          <ns7:t>[</ns7:t>
        </ns7:r>
        <ns7:sSub>
          <ns7:e>
            <ns7:r>
              <ns7:t>L</ns7:t>
            </ns7:r>
          </ns7:e>
          <ns7:sub>
            <ns7:acc>
              <ns7:accPr>
                <ns7:chr ns7:val="̂"/>
              </ns7:accPr>
              <ns7:e>
                <ns7:r>
                  <ns7:t>g</ns7:t>
                </ns7:r>
              </ns7:e>
            </ns7:acc>
          </ns7:sub>
        </ns7:sSub>
        <ns7:r>
          <ns7:rPr>
            <ns7:sty ns7:val="p"/>
          </ns7:rPr>
          <ns7:t>,</ns7:t>
        </ns7:r>
        <ns7:sSub>
          <ns7:e>
            <ns7:r>
              <ns7:t>U</ns7:t>
            </ns7:r>
          </ns7:e>
          <ns7:sub>
            <ns7:acc>
              <ns7:accPr>
                <ns7:chr ns7:val="̂"/>
              </ns7:accPr>
              <ns7:e>
                <ns7:r>
                  <ns7:t>g</ns7:t>
                </ns7:r>
              </ns7:e>
            </ns7:acc>
          </ns7:sub>
        </ns7:sSub>
        <ns7:r>
          <ns7:rPr>
            <ns7:sty ns7:val="p"/>
          </ns7:rPr>
          <ns7:t>]</ns7:t>
        </ns7:r>
      </ns7:oMath>
      <w:r>
        <w:rPr>
          <w:rFonts w:hint="eastAsia"/>
        </w:rPr>
        <w:t xml:space="preserve">，最终连续值为：</w:t>
      </w:r>
    </w:p>
    <w:p>
      <w:pPr>
        <w:pStyle w:val="BodyText"/>
      </w:pPr>
      <ns7:oMathPara>
        <ns7:oMathParaPr>
          <ns7:jc ns7:val="center"/>
        </ns7:oMathParaPr>
        <ns7:oMath>
          <ns7:sSub>
            <ns7:e>
              <ns7:acc>
                <ns7:accPr>
                  <ns7:chr ns7:val="̂"/>
                </ns7:accPr>
                <ns7:e>
                  <ns7:r>
                    <ns7:t>D</ns7:t>
                  </ns7:r>
                </ns7:e>
              </ns7:acc>
            </ns7:e>
            <ns7:sub>
              <ns7:r>
                <ns7:t>k</ns7:t>
              </ns7:r>
            </ns7:sub>
          </ns7:sSub>
          <ns7:r>
            <ns7:rPr>
              <ns7:sty ns7:val="p"/>
            </ns7:rPr>
            <ns7:t>=</ns7:t>
          </ns7:r>
          <ns7:r>
            <ns7:rPr>
              <ns7:sty ns7:val="p"/>
            </ns7:rPr>
            <ns7:t>min</ns7:t>
          </ns7:r>
          <ns7:d>
            <ns7:dPr>
              <ns7:begChr ns7:val="("/>
              <ns7:sepChr ns7:val=""/>
              <ns7:endChr ns7:val=")"/>
              <ns7:grow/>
            </ns7:dPr>
            <ns7:e>
              <ns7:r>
                <ns7:rPr>
                  <ns7:sty ns7:val="p"/>
                </ns7:rPr>
                <ns7:t>max</ns7:t>
              </ns7:r>
              <ns7:d>
                <ns7:dPr>
                  <ns7:begChr ns7:val="("/>
                  <ns7:sepChr ns7:val=""/>
                  <ns7:endChr ns7:val=")"/>
                  <ns7:grow/>
                </ns7:dPr>
                <ns7:e>
                  <ns7:sSubSup>
                    <ns7:e>
                      <ns7:acc>
                        <ns7:accPr>
                          <ns7:chr ns7:val="̂"/>
                        </ns7:accPr>
                        <ns7:e>
                          <ns7:r>
                            <ns7:t>D</ns7:t>
                          </ns7:r>
                        </ns7:e>
                      </ns7:acc>
                    </ns7:e>
                    <ns7:sub>
                      <ns7:r>
                        <ns7:t>k</ns7:t>
                      </ns7:r>
                    </ns7:sub>
                    <ns7:sup>
                      <ns7:r>
                        <ns7:rPr>
                          <ns7:sty ns7:val="p"/>
                        </ns7:rPr>
                        <ns7:t>(</ns7:t>
                      </ns7:r>
                      <ns7:r>
                        <ns7:t>R</ns7:t>
                      </ns7:r>
                      <ns7:r>
                        <ns7:rPr>
                          <ns7:sty ns7:val="p"/>
                        </ns7:rPr>
                        <ns7:t>)</ns7:t>
                      </ns7:r>
                    </ns7:sup>
                  </ns7:sSubSup>
                  <ns7:r>
                    <ns7:rPr>
                      <ns7:sty ns7:val="p"/>
                    </ns7:rPr>
                    <ns7:t>,</ns7:t>
                  </ns7:r>
                  <ns7:sSub>
                    <ns7:e>
                      <ns7:r>
                        <ns7:t>L</ns7:t>
                      </ns7:r>
                    </ns7:e>
                    <ns7:sub>
                      <ns7:acc>
                        <ns7:accPr>
                          <ns7:chr ns7:val="̂"/>
                        </ns7:accPr>
                        <ns7:e>
                          <ns7:r>
                            <ns7:t>g</ns7:t>
                          </ns7:r>
                        </ns7:e>
                      </ns7:acc>
                    </ns7:sub>
                  </ns7:sSub>
                </ns7:e>
              </ns7:d>
              <ns7:r>
                <ns7:rPr>
                  <ns7:sty ns7:val="p"/>
                </ns7:rPr>
                <ns7:t>,</ns7:t>
              </ns7:r>
              <ns7:sSub>
                <ns7:e>
                  <ns7:r>
                    <ns7:t>U</ns7:t>
                  </ns7:r>
                </ns7:e>
                <ns7:sub>
                  <ns7:acc>
                    <ns7:accPr>
                      <ns7:chr ns7:val="̂"/>
                    </ns7:accPr>
                    <ns7:e>
                      <ns7:r>
                        <ns7:t>g</ns7:t>
                      </ns7:r>
                    </ns7:e>
                  </ns7:acc>
                </ns7:sub>
              </ns7:sSub>
            </ns7:e>
          </ns7:d>
        </ns7:oMath>
      </ns7:oMathPara>
    </w:p>
    <w:p>
      <w:pPr>
        <w:pStyle w:val="FirstParagraph"/>
      </w:pPr>
      <w:r>
        <w:rPr>
          <w:rFonts w:hint="eastAsia"/>
        </w:rPr>
        <w:t xml:space="preserve">该过程保留回归结果在等级区间内的连续差异，同时确保最终</w:t>
      </w:r>
      <w:r>
        <w:t xml:space="preserve"> Dk </w:t>
      </w:r>
      <w:r>
        <w:rPr>
          <w:rFonts w:hint="eastAsia"/>
        </w:rPr>
        <w:t xml:space="preserve">与四级损伤结果一致。例如分类森林判断为中等破坏时，最终</w:t>
      </w:r>
      <w:r>
        <w:t xml:space="preserve"> Dk </w:t>
      </w:r>
      <w:r>
        <w:rPr>
          <w:rFonts w:hint="eastAsia"/>
        </w:rPr>
        <w:t xml:space="preserve">位于</w:t>
      </w:r>
      <w:r>
        <w:t xml:space="preserve"> </w:t>
      </w:r>
      <w:r>
        <w:rPr>
          <w:rStyle w:val="VerbatimChar"/>
        </w:rPr>
        <w:t xml:space="preserve">[0.10,0.40)</w:t>
      </w:r>
      <w:r>
        <w:t xml:space="preserve">。</w:t>
      </w:r>
    </w:p>
    <w:bookmarkEnd w:id="78"/>
    <w:bookmarkStart w:id="79" w:name="X8b5d4de37540d8f1f278b7365cc48691edd57c5"/>
    <w:p>
      <w:pPr>
        <w:pStyle w:val="4"/>
      </w:pPr>
      <w:r>
        <w:t xml:space="preserve">5.5 </w:t>
      </w:r>
      <w:r>
        <w:rPr>
          <w:rFonts w:hint="eastAsia"/>
        </w:rPr>
        <w:t xml:space="preserve">模型参数与树数选择</w:t>
      </w:r>
    </w:p>
    <w:p>
      <w:pPr>
        <w:pStyle w:val="FirstParagraph"/>
      </w:pPr>
      <w:r>
        <w:rPr>
          <w:rFonts w:hint="eastAsia"/>
          <w:b/>
          <w:bCs/>
        </w:rPr>
        <w:t xml:space="preserve">表</w:t>
      </w:r>
      <w:r>
        <w:rPr>
          <w:b/>
          <w:bCs/>
        </w:rPr>
        <w:t xml:space="preserve"> 7 </w:t>
      </w:r>
      <w:r>
        <w:rPr>
          <w:rFonts w:hint="eastAsia"/>
          <w:b/>
          <w:bCs/>
        </w:rPr>
        <w:t xml:space="preserve">最终模型参数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jc w:val="right"/>
            </w:pPr>
            <w:r>
              <w:t xml:space="preserve">Dk </w:t>
            </w:r>
            <w:r>
              <w:rPr>
                <w:rFonts w:hint="eastAsia"/>
              </w:rPr>
              <w:t xml:space="preserve">回归森林</w:t>
            </w:r>
          </w:p>
        </w:tc>
        <w:tc>
          <w:tcPr/>
          <w:p>
            <w:pPr>
              <w:pStyle w:val="Compact"/>
              <w:jc w:val="right"/>
            </w:pPr>
            <w:r>
              <w:rPr>
                <w:rFonts w:hint="eastAsia"/>
              </w:rPr>
              <w:t xml:space="preserve">等级分类森林</w:t>
            </w:r>
          </w:p>
        </w:tc>
      </w:tr>
      <w:tr>
        <w:tc>
          <w:tcPr/>
          <w:p>
            <w:pPr>
              <w:pStyle w:val="Compact"/>
            </w:pPr>
            <w:r>
              <w:rPr>
                <w:rFonts w:hint="eastAsia"/>
              </w:rPr>
              <w:t xml:space="preserve">树数</w:t>
            </w:r>
          </w:p>
        </w:tc>
        <w:tc>
          <w:tcPr/>
          <w:p>
            <w:pPr>
              <w:pStyle w:val="Compact"/>
              <w:jc w:val="right"/>
            </w:pPr>
            <w:r>
              <w:t xml:space="preserve">50</w:t>
            </w:r>
          </w:p>
        </w:tc>
        <w:tc>
          <w:tcPr/>
          <w:p>
            <w:pPr>
              <w:pStyle w:val="Compact"/>
              <w:jc w:val="right"/>
            </w:pPr>
            <w:r>
              <w:t xml:space="preserve">50</w:t>
            </w:r>
          </w:p>
        </w:tc>
      </w:tr>
      <w:tr>
        <w:tc>
          <w:tcPr/>
          <w:p>
            <w:pPr>
              <w:pStyle w:val="Compact"/>
            </w:pPr>
            <w:r>
              <w:rPr>
                <w:rFonts w:hint="eastAsia"/>
              </w:rPr>
              <w:t xml:space="preserve">分裂准则</w:t>
            </w:r>
          </w:p>
        </w:tc>
        <w:tc>
          <w:tcPr/>
          <w:p>
            <w:pPr>
              <w:pStyle w:val="Compact"/>
              <w:jc w:val="right"/>
            </w:pPr>
            <w:r>
              <w:rPr>
                <w:rFonts w:hint="eastAsia"/>
              </w:rPr>
              <w:t xml:space="preserve">平方误差</w:t>
            </w:r>
          </w:p>
        </w:tc>
        <w:tc>
          <w:tcPr/>
          <w:p>
            <w:pPr>
              <w:pStyle w:val="Compact"/>
              <w:jc w:val="right"/>
            </w:pPr>
            <w:r>
              <w:rPr>
                <w:rFonts w:hint="eastAsia"/>
              </w:rPr>
              <w:t xml:space="preserve">信息熵</w:t>
            </w:r>
          </w:p>
        </w:tc>
      </w:tr>
      <w:tr>
        <w:tc>
          <w:tcPr/>
          <w:p>
            <w:pPr>
              <w:pStyle w:val="Compact"/>
            </w:pPr>
            <w:r>
              <w:rPr>
                <w:rFonts w:hint="eastAsia"/>
              </w:rPr>
              <w:t xml:space="preserve">最大特征比例</w:t>
            </w:r>
          </w:p>
        </w:tc>
        <w:tc>
          <w:tcPr/>
          <w:p>
            <w:pPr>
              <w:pStyle w:val="Compact"/>
              <w:jc w:val="right"/>
            </w:pPr>
            <w:r>
              <w:t xml:space="preserve">1.0</w:t>
            </w:r>
          </w:p>
        </w:tc>
        <w:tc>
          <w:tcPr/>
          <w:p>
            <w:pPr>
              <w:pStyle w:val="Compact"/>
              <w:jc w:val="right"/>
            </w:pPr>
            <w:r>
              <w:t xml:space="preserve">1.0</w:t>
            </w:r>
          </w:p>
        </w:tc>
      </w:tr>
      <w:tr>
        <w:tc>
          <w:tcPr/>
          <w:p>
            <w:pPr>
              <w:pStyle w:val="Compact"/>
            </w:pPr>
            <w:r>
              <w:rPr>
                <w:rFonts w:hint="eastAsia"/>
              </w:rPr>
              <w:t xml:space="preserve">最小叶节点样本数</w:t>
            </w:r>
          </w:p>
        </w:tc>
        <w:tc>
          <w:tcPr/>
          <w:p>
            <w:pPr>
              <w:pStyle w:val="Compact"/>
              <w:jc w:val="right"/>
            </w:pPr>
            <w:r>
              <w:t xml:space="preserve">1</w:t>
            </w:r>
          </w:p>
        </w:tc>
        <w:tc>
          <w:tcPr/>
          <w:p>
            <w:pPr>
              <w:pStyle w:val="Compact"/>
              <w:jc w:val="right"/>
            </w:pPr>
            <w:r>
              <w:t xml:space="preserve">1</w:t>
            </w:r>
          </w:p>
        </w:tc>
      </w:tr>
      <w:tr>
        <w:tc>
          <w:tcPr/>
          <w:p>
            <w:pPr>
              <w:pStyle w:val="Compact"/>
            </w:pPr>
            <w:r>
              <w:rPr>
                <w:rFonts w:hint="eastAsia"/>
              </w:rPr>
              <w:t xml:space="preserve">类别平衡</w:t>
            </w:r>
          </w:p>
        </w:tc>
        <w:tc>
          <w:tcPr/>
          <w:p>
            <w:pPr>
              <w:pStyle w:val="Compact"/>
              <w:jc w:val="right"/>
            </w:pPr>
            <w:r>
              <w:t xml:space="preserve">—</w:t>
            </w:r>
          </w:p>
        </w:tc>
        <w:tc>
          <w:tcPr/>
          <w:p>
            <w:pPr>
              <w:pStyle w:val="Compact"/>
              <w:jc w:val="right"/>
            </w:pPr>
            <w:r>
              <w:rPr>
                <w:rFonts w:hint="eastAsia"/>
              </w:rPr>
              <w:t xml:space="preserve">平衡权重</w:t>
            </w:r>
          </w:p>
        </w:tc>
      </w:tr>
      <w:tr>
        <w:tc>
          <w:tcPr/>
          <w:p>
            <w:pPr>
              <w:pStyle w:val="Compact"/>
            </w:pPr>
            <w:r>
              <w:rPr>
                <w:rFonts w:hint="eastAsia"/>
              </w:rPr>
              <w:t xml:space="preserve">随机种子</w:t>
            </w:r>
          </w:p>
        </w:tc>
        <w:tc>
          <w:tcPr/>
          <w:p>
            <w:pPr>
              <w:pStyle w:val="Compact"/>
              <w:jc w:val="right"/>
            </w:pPr>
            <w:r>
              <w:t xml:space="preserve">42</w:t>
            </w:r>
          </w:p>
        </w:tc>
        <w:tc>
          <w:tcPr/>
          <w:p>
            <w:pPr>
              <w:pStyle w:val="Compact"/>
              <w:jc w:val="right"/>
            </w:pPr>
            <w:r>
              <w:t xml:space="preserve">42</w:t>
            </w:r>
          </w:p>
        </w:tc>
      </w:tr>
    </w:tbl>
    <w:p>
      <w:pPr>
        <w:pStyle w:val="BodyText"/>
      </w:pPr>
      <w:r>
        <w:rPr>
          <w:rFonts w:hint="eastAsia"/>
        </w:rPr>
        <w:t xml:space="preserve">考虑到每个设施模型的输入特征为</w:t>
      </w:r>
      <w:r>
        <w:t xml:space="preserve"> </w:t>
      </w:r>
      <w:r>
        <w:rPr>
          <w:rFonts w:hint="eastAsia"/>
        </w:rPr>
        <w:t xml:space="preserve">11～23</w:t>
      </w:r>
      <w:r>
        <w:t xml:space="preserve"> </w:t>
      </w:r>
      <w:r>
        <w:rPr>
          <w:rFonts w:hint="eastAsia"/>
        </w:rPr>
        <w:t xml:space="preserve">列（见第</w:t>
      </w:r>
      <w:r>
        <w:t xml:space="preserve"> 4 </w:t>
      </w:r>
      <w:r>
        <w:rPr>
          <w:rFonts w:hint="eastAsia"/>
        </w:rPr>
        <w:t xml:space="preserve">章），树数试验范围设置为</w:t>
      </w:r>
      <w:r>
        <w:t xml:space="preserve"> </w:t>
      </w:r>
      <w:r>
        <w:rPr>
          <w:rFonts w:hint="eastAsia"/>
        </w:rPr>
        <w:t xml:space="preserve">10～100</w:t>
      </w:r>
      <w:r>
        <w:t xml:space="preserve"> </w:t>
      </w:r>
      <w:r>
        <w:rPr>
          <w:rFonts w:hint="eastAsia"/>
        </w:rPr>
        <w:t xml:space="preserve">棵。比较时保持数据划分、输入参数和分类准则一致，以五折等级准确率为主要指标，并结合独立测试结果和模型规模进行选择。</w:t>
      </w:r>
    </w:p>
    <w:p>
      <w:pPr>
        <w:pStyle w:val="BodyText"/>
      </w:pPr>
      <w:r>
        <w:rPr>
          <w:rFonts w:hint="eastAsia"/>
          <w:b/>
          <w:bCs/>
        </w:rPr>
        <w:t xml:space="preserve">表</w:t>
      </w:r>
      <w:r>
        <w:rPr>
          <w:b/>
          <w:bCs/>
        </w:rPr>
        <w:t xml:space="preserve"> 8 </w:t>
      </w:r>
      <w:r>
        <w:rPr>
          <w:rFonts w:hint="eastAsia"/>
          <w:b/>
          <w:bCs/>
        </w:rPr>
        <w:t xml:space="preserve">不同树数的模型表现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每个任务的树数</w:t>
            </w:r>
          </w:p>
        </w:tc>
        <w:tc>
          <w:tcPr/>
          <w:p>
            <w:pPr>
              <w:pStyle w:val="Compact"/>
              <w:jc w:val="right"/>
            </w:pPr>
            <w:r>
              <w:rPr>
                <w:rFonts w:hint="eastAsia"/>
              </w:rPr>
              <w:t xml:space="preserve">五折等级准确率</w:t>
            </w:r>
          </w:p>
        </w:tc>
        <w:tc>
          <w:tcPr/>
          <w:p>
            <w:pPr>
              <w:pStyle w:val="Compact"/>
              <w:jc w:val="right"/>
            </w:pPr>
            <w:r>
              <w:rPr>
                <w:rFonts w:hint="eastAsia"/>
              </w:rPr>
              <w:t xml:space="preserve">独立测试等级准确率</w:t>
            </w:r>
          </w:p>
        </w:tc>
      </w:tr>
      <w:tr>
        <w:tc>
          <w:tcPr/>
          <w:p>
            <w:pPr>
              <w:pStyle w:val="Compact"/>
              <w:jc w:val="right"/>
            </w:pPr>
            <w:r>
              <w:t xml:space="preserve">10</w:t>
            </w:r>
          </w:p>
        </w:tc>
        <w:tc>
          <w:tcPr/>
          <w:p>
            <w:pPr>
              <w:pStyle w:val="Compact"/>
              <w:jc w:val="right"/>
            </w:pPr>
            <w:r>
              <w:t xml:space="preserve">95.7657%</w:t>
            </w:r>
          </w:p>
        </w:tc>
        <w:tc>
          <w:tcPr/>
          <w:p>
            <w:pPr>
              <w:pStyle w:val="Compact"/>
              <w:jc w:val="right"/>
            </w:pPr>
            <w:r>
              <w:t xml:space="preserve">—</w:t>
            </w:r>
          </w:p>
        </w:tc>
      </w:tr>
      <w:tr>
        <w:tc>
          <w:tcPr/>
          <w:p>
            <w:pPr>
              <w:pStyle w:val="Compact"/>
              <w:jc w:val="right"/>
            </w:pPr>
            <w:r>
              <w:t xml:space="preserve">30</w:t>
            </w:r>
          </w:p>
        </w:tc>
        <w:tc>
          <w:tcPr/>
          <w:p>
            <w:pPr>
              <w:pStyle w:val="Compact"/>
              <w:jc w:val="right"/>
            </w:pPr>
            <w:r>
              <w:t xml:space="preserve">95.6561%</w:t>
            </w:r>
          </w:p>
        </w:tc>
        <w:tc>
          <w:tcPr/>
          <w:p>
            <w:pPr>
              <w:pStyle w:val="Compact"/>
              <w:jc w:val="right"/>
            </w:pPr>
            <w:r>
              <w:t xml:space="preserve">95.2555%</w:t>
            </w:r>
          </w:p>
        </w:tc>
      </w:tr>
      <w:tr>
        <w:tc>
          <w:tcPr/>
          <w:p>
            <w:pPr>
              <w:pStyle w:val="Compact"/>
              <w:jc w:val="right"/>
            </w:pPr>
            <w:r>
              <w:rPr>
                <w:b/>
                <w:bCs/>
              </w:rPr>
              <w:t xml:space="preserve">50</w:t>
            </w:r>
          </w:p>
        </w:tc>
        <w:tc>
          <w:tcPr/>
          <w:p>
            <w:pPr>
              <w:pStyle w:val="Compact"/>
              <w:jc w:val="right"/>
            </w:pPr>
            <w:r>
              <w:rPr>
                <w:b/>
                <w:bCs/>
              </w:rPr>
              <w:t xml:space="preserve">96.3244%</w:t>
            </w:r>
          </w:p>
        </w:tc>
        <w:tc>
          <w:tcPr/>
          <w:p>
            <w:pPr>
              <w:pStyle w:val="Compact"/>
              <w:jc w:val="right"/>
            </w:pPr>
            <w:r>
              <w:rPr>
                <w:b/>
                <w:bCs/>
              </w:rPr>
              <w:t xml:space="preserve">97.2973%</w:t>
            </w:r>
          </w:p>
        </w:tc>
      </w:tr>
      <w:tr>
        <w:tc>
          <w:tcPr/>
          <w:p>
            <w:pPr>
              <w:pStyle w:val="Compact"/>
              <w:jc w:val="right"/>
            </w:pPr>
            <w:r>
              <w:t xml:space="preserve">60</w:t>
            </w:r>
          </w:p>
        </w:tc>
        <w:tc>
          <w:tcPr/>
          <w:p>
            <w:pPr>
              <w:pStyle w:val="Compact"/>
              <w:jc w:val="right"/>
            </w:pPr>
            <w:r>
              <w:t xml:space="preserve">95.7657%</w:t>
            </w:r>
          </w:p>
        </w:tc>
        <w:tc>
          <w:tcPr/>
          <w:p>
            <w:pPr>
              <w:pStyle w:val="Compact"/>
              <w:jc w:val="right"/>
            </w:pPr>
            <w:r>
              <w:t xml:space="preserve">95.5292%</w:t>
            </w:r>
          </w:p>
        </w:tc>
      </w:tr>
      <w:tr>
        <w:tc>
          <w:tcPr/>
          <w:p>
            <w:pPr>
              <w:pStyle w:val="Compact"/>
              <w:jc w:val="right"/>
            </w:pPr>
            <w:r>
              <w:t xml:space="preserve">75</w:t>
            </w:r>
          </w:p>
        </w:tc>
        <w:tc>
          <w:tcPr/>
          <w:p>
            <w:pPr>
              <w:pStyle w:val="Compact"/>
              <w:jc w:val="right"/>
            </w:pPr>
            <w:r>
              <w:t xml:space="preserve">95.8204%</w:t>
            </w:r>
          </w:p>
        </w:tc>
        <w:tc>
          <w:tcPr/>
          <w:p>
            <w:pPr>
              <w:pStyle w:val="Compact"/>
              <w:jc w:val="right"/>
            </w:pPr>
            <w:r>
              <w:t xml:space="preserve">95.5292%</w:t>
            </w:r>
          </w:p>
        </w:tc>
      </w:tr>
      <w:tr>
        <w:tc>
          <w:tcPr/>
          <w:p>
            <w:pPr>
              <w:pStyle w:val="Compact"/>
              <w:jc w:val="right"/>
            </w:pPr>
            <w:r>
              <w:t xml:space="preserve">90</w:t>
            </w:r>
          </w:p>
        </w:tc>
        <w:tc>
          <w:tcPr/>
          <w:p>
            <w:pPr>
              <w:pStyle w:val="Compact"/>
              <w:jc w:val="right"/>
            </w:pPr>
            <w:r>
              <w:t xml:space="preserve">95.7839%</w:t>
            </w:r>
          </w:p>
        </w:tc>
        <w:tc>
          <w:tcPr/>
          <w:p>
            <w:pPr>
              <w:pStyle w:val="Compact"/>
              <w:jc w:val="right"/>
            </w:pPr>
            <w:r>
              <w:t xml:space="preserve">95.1642%</w:t>
            </w:r>
          </w:p>
        </w:tc>
      </w:tr>
      <w:tr>
        <w:tc>
          <w:tcPr/>
          <w:p>
            <w:pPr>
              <w:pStyle w:val="Compact"/>
              <w:jc w:val="right"/>
            </w:pPr>
            <w:r>
              <w:t xml:space="preserve">99</w:t>
            </w:r>
          </w:p>
        </w:tc>
        <w:tc>
          <w:tcPr/>
          <w:p>
            <w:pPr>
              <w:pStyle w:val="Compact"/>
              <w:jc w:val="right"/>
            </w:pPr>
            <w:r>
              <w:t xml:space="preserve">95.8204%</w:t>
            </w:r>
          </w:p>
        </w:tc>
        <w:tc>
          <w:tcPr/>
          <w:p>
            <w:pPr>
              <w:pStyle w:val="Compact"/>
              <w:jc w:val="right"/>
            </w:pPr>
            <w:r>
              <w:t xml:space="preserve">95.1642%</w:t>
            </w:r>
          </w:p>
        </w:tc>
      </w:tr>
    </w:tbl>
    <w:p>
      <w:pPr>
        <w:pStyle w:val="BodyText"/>
      </w:pPr>
      <w:r>
        <w:rPr>
          <w:rFonts w:hint="eastAsia"/>
        </w:rPr>
        <w:t xml:space="preserve">在逐设施训练口径下，50</w:t>
      </w:r>
      <w:r>
        <w:t xml:space="preserve"> </w:t>
      </w:r>
      <w:r>
        <w:rPr>
          <w:rFonts w:hint="eastAsia"/>
        </w:rPr>
        <w:t xml:space="preserve">棵方案的五折和独立测试等级准确率均达到最优水平，同时具有更紧凑的模型规模，因此最终确定回归森林和分类森林各采用</w:t>
      </w:r>
      <w:r>
        <w:t xml:space="preserve"> 50 </w:t>
      </w:r>
      <w:r>
        <w:rPr>
          <w:rFonts w:hint="eastAsia"/>
        </w:rPr>
        <w:t xml:space="preserve">棵树。</w:t>
      </w:r>
    </w:p>
    <w:p>
      <w:r>
        <w:pict>
          <v:rect style="width:0;height:1.5pt" o:hralign="center" o:hrstd="t" o:hr="t"/>
        </w:pict>
      </w:r>
    </w:p>
    <w:bookmarkEnd w:id="79"/>
    <w:bookmarkEnd w:id="80"/>
    <w:bookmarkStart w:id="88" w:name="Xcc0aeff75cec16ea44a3197553b80833271b8aa"/>
    <w:p>
      <w:pPr>
        <w:pStyle w:val="3"/>
      </w:pPr>
      <w:r>
        <w:t xml:space="preserve">6 </w:t>
      </w:r>
      <w:r>
        <w:rPr>
          <w:rFonts w:hint="eastAsia"/>
        </w:rPr>
        <w:t xml:space="preserve">模型训练与验证</w:t>
      </w:r>
    </w:p>
    <w:bookmarkStart w:id="81" w:name="X4580d73a0778c54a676038ad735598c8665424a"/>
    <w:p>
      <w:pPr>
        <w:pStyle w:val="4"/>
      </w:pPr>
      <w:r>
        <w:t xml:space="preserve">6.1 </w:t>
      </w:r>
      <w:r>
        <w:rPr>
          <w:rFonts w:hint="eastAsia"/>
        </w:rPr>
        <w:t xml:space="preserve">数据划分</w:t>
      </w:r>
    </w:p>
    <w:p>
      <w:pPr>
        <w:pStyle w:val="FirstParagraph"/>
      </w:pPr>
      <w:r>
        <w:t xml:space="preserve">6584 </w:t>
      </w:r>
      <w:r>
        <w:rPr>
          <w:rFonts w:hint="eastAsia"/>
        </w:rPr>
        <w:t xml:space="preserve">条合格工况按损伤等级分层划分为训练集和独立测试集，其中独立测试集约占</w:t>
      </w:r>
      <w:r>
        <w:t xml:space="preserve"> </w:t>
      </w:r>
      <w:r>
        <w:rPr>
          <w:rFonts w:hint="eastAsia"/>
        </w:rPr>
        <w:t xml:space="preserve">20%，其余用于拟合模型参数；另以五折交叉验证评价模型在不同数据划分下的总体稳定性。训练集用于拟合模型参数，独立测试集仅用于最终性能评价。</w:t>
      </w:r>
    </w:p>
    <w:p>
      <w:pPr>
        <w:pStyle w:val="BodyText"/>
      </w:pPr>
      <w:r>
        <w:rPr>
          <w:rFonts w:hint="eastAsia"/>
        </w:rPr>
        <w:t xml:space="preserve">五折交叉验证与独立测试具有不同作用。五折交叉验证将全部样本分为五个互斥子集，每次使用其中四折训练、一折验证，最终汇总五次未参与相应训练的预测结果，用于评价模型在不同数据划分下的总体稳定性。独立测试则在模型设置确定后，使用训练集拟合评估模型，并在固定的独立测试工况上评价，用于检验最终方案对未参与拟合工况的预测能力。</w:t>
      </w:r>
    </w:p>
    <w:bookmarkEnd w:id="81"/>
    <w:bookmarkStart w:id="82" w:name="X9fb7b3fa1560145a0c8216e317d18539475f7e9"/>
    <w:p>
      <w:pPr>
        <w:pStyle w:val="4"/>
      </w:pPr>
      <w:r>
        <w:t xml:space="preserve">6.2 </w:t>
      </w:r>
      <w:r>
        <w:rPr>
          <w:rFonts w:hint="eastAsia"/>
        </w:rPr>
        <w:t xml:space="preserve">评价指标</w:t>
      </w:r>
    </w:p>
    <w:p>
      <w:pPr>
        <w:pStyle w:val="FirstParagraph"/>
      </w:pPr>
      <w:r>
        <w:rPr>
          <w:rFonts w:hint="eastAsia"/>
        </w:rPr>
        <w:t xml:space="preserve">本报告保留</w:t>
      </w:r>
      <w:r>
        <w:t xml:space="preserve"> MAE、RMSE </w:t>
      </w:r>
      <w:r>
        <w:rPr>
          <w:rFonts w:hint="eastAsia"/>
        </w:rPr>
        <w:t xml:space="preserve">和等级准确率三个指标。</w:t>
      </w:r>
    </w:p>
    <w:p>
      <w:pPr>
        <w:pStyle w:val="BodyText"/>
      </w:pPr>
      <w:r>
        <w:rPr>
          <w:rFonts w:hint="eastAsia"/>
          <w:b/>
          <w:bCs/>
        </w:rPr>
        <w:t xml:space="preserve">表</w:t>
      </w:r>
      <w:r>
        <w:rPr>
          <w:b/>
          <w:bCs/>
        </w:rPr>
        <w:t xml:space="preserve"> 9 </w:t>
      </w:r>
      <w:r>
        <w:rPr>
          <w:rFonts w:hint="eastAsia"/>
          <w:b/>
          <w:bCs/>
        </w:rPr>
        <w:t xml:space="preserve">模型评价指标说明</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定义</w:t>
            </w:r>
          </w:p>
        </w:tc>
        <w:tc>
          <w:tcPr/>
          <w:p>
            <w:pPr>
              <w:pStyle w:val="Compact"/>
            </w:pPr>
            <w:r>
              <w:rPr>
                <w:rFonts w:hint="eastAsia"/>
              </w:rPr>
              <w:t xml:space="preserve">工程含义</w:t>
            </w:r>
          </w:p>
        </w:tc>
      </w:tr>
      <w:tr>
        <w:tc>
          <w:tcPr/>
          <w:p>
            <w:pPr>
              <w:pStyle w:val="Compact"/>
            </w:pPr>
            <w:r>
              <w:t xml:space="preserve">MAE</w:t>
            </w:r>
          </w:p>
        </w:tc>
        <w:tc>
          <w:tcPr/>
          <w:p>
            <w:pPr>
              <w:pStyle w:val="Compact"/>
            </w:pPr>
            <w:r>
              <w:t xml:space="preserve">$\frac{1}{n}\sum</w:t>
            </w:r>
          </w:p>
        </w:tc>
        <w:tc>
          <w:tcPr/>
          <w:p>
            <w:pPr>
              <w:pStyle w:val="Compact"/>
            </w:pPr>
            <w:r>
              <w:t xml:space="preserve">D_{k,i}-\hat D_{k,i}</w:t>
            </w:r>
          </w:p>
        </w:tc>
      </w:tr>
      <w:tr>
        <w:tc>
          <w:tcPr/>
          <w:p>
            <w:pPr>
              <w:pStyle w:val="Compact"/>
            </w:pPr>
            <w:r>
              <w:t xml:space="preserve">RMSE</w:t>
            </w:r>
          </w:p>
        </w:tc>
        <w:tc>
          <w:tcPr/>
          <w:p>
            <w:pPr>
              <w:pStyle w:val="Compact"/>
            </w:pPr>
            <ns7:oMath>
              <ns7:rad>
                <ns7:radPr>
                  <ns7:degHide ns7:val="on"/>
                </ns7:radPr>
                <ns7:deg/>
                <ns7:e>
                  <ns7:f>
                    <ns7:fPr>
                      <ns7:type ns7:val="bar"/>
                    </ns7:fPr>
                    <ns7:num>
                      <ns7:r>
                        <ns7:t>1</ns7:t>
                      </ns7:r>
                    </ns7:num>
                    <ns7:den>
                      <ns7:r>
                        <ns7:t>n</ns7:t>
                      </ns7:r>
                    </ns7:den>
                  </ns7:f>
                  <ns7:r>
                    <ns7:rPr>
                      <ns7:sty ns7:val="p"/>
                    </ns7:rPr>
                    <ns7:t>∑</ns7:t>
                  </ns7:r>
                  <ns7:r>
                    <ns7:rPr>
                      <ns7:sty ns7:val="p"/>
                    </ns7:rPr>
                    <ns7:t>(</ns7:t>
                  </ns7:r>
                  <ns7:sSub>
                    <ns7:e>
                      <ns7:r>
                        <ns7:t>D</ns7:t>
                      </ns7:r>
                    </ns7:e>
                    <ns7:sub>
                      <ns7:r>
                        <ns7:t>k</ns7:t>
                      </ns7:r>
                      <ns7:r>
                        <ns7:rPr>
                          <ns7:sty ns7:val="p"/>
                        </ns7:rPr>
                        <ns7:t>,</ns7:t>
                      </ns7:r>
                      <ns7:r>
                        <ns7:t>i</ns7:t>
                      </ns7:r>
                    </ns7:sub>
                  </ns7:sSub>
                  <ns7:r>
                    <ns7:rPr>
                      <ns7:sty ns7:val="p"/>
                    </ns7:rPr>
                    <ns7:t>−</ns7:t>
                  </ns7:r>
                  <ns7:sSub>
                    <ns7:e>
                      <ns7:acc>
                        <ns7:accPr>
                          <ns7:chr ns7:val="̂"/>
                        </ns7:accPr>
                        <ns7:e>
                          <ns7:r>
                            <ns7:t>D</ns7:t>
                          </ns7:r>
                        </ns7:e>
                      </ns7:acc>
                    </ns7:e>
                    <ns7:sub>
                      <ns7:r>
                        <ns7:t>k</ns7:t>
                      </ns7:r>
                      <ns7:r>
                        <ns7:rPr>
                          <ns7:sty ns7:val="p"/>
                        </ns7:rPr>
                        <ns7:t>,</ns7:t>
                      </ns7:r>
                      <ns7:r>
                        <ns7:t>i</ns7:t>
                      </ns7:r>
                    </ns7:sub>
                  </ns7:sSub>
                  <ns7:sSup>
                    <ns7:e>
                      <ns7:r>
                        <ns7:rPr>
                          <ns7:sty ns7:val="p"/>
                        </ns7:rPr>
                        <ns7:t>)</ns7:t>
                      </ns7:r>
                    </ns7:e>
                    <ns7:sup>
                      <ns7:r>
                        <ns7:t>2</ns7:t>
                      </ns7:r>
                    </ns7:sup>
                  </ns7:sSup>
                </ns7:e>
              </ns7:rad>
            </ns7:oMath>
          </w:p>
        </w:tc>
        <w:tc>
          <w:tcPr/>
          <w:p>
            <w:pPr>
              <w:pStyle w:val="Compact"/>
            </w:pPr>
            <w:r>
              <w:rPr>
                <w:rFonts w:hint="eastAsia"/>
              </w:rPr>
              <w:t xml:space="preserve">对较大</w:t>
            </w:r>
            <w:r>
              <w:t xml:space="preserve"> Dk </w:t>
            </w:r>
            <w:r>
              <w:rPr>
                <w:rFonts w:hint="eastAsia"/>
              </w:rPr>
              <w:t xml:space="preserve">偏差更敏感，越小越好</w:t>
            </w:r>
          </w:p>
        </w:tc>
      </w:tr>
      <w:tr>
        <w:tc>
          <w:tcPr/>
          <w:p>
            <w:pPr>
              <w:pStyle w:val="Compact"/>
            </w:pPr>
            <w:r>
              <w:rPr>
                <w:rFonts w:hint="eastAsia"/>
              </w:rPr>
              <w:t xml:space="preserve">等级准确率</w:t>
            </w:r>
          </w:p>
        </w:tc>
        <w:tc>
          <w:tcPr/>
          <w:p>
            <w:pPr>
              <w:pStyle w:val="Compact"/>
            </w:pPr>
            <w:r>
              <w:rPr>
                <w:rFonts w:hint="eastAsia"/>
              </w:rPr>
              <w:t xml:space="preserve">正确等级工况数</w:t>
            </w:r>
            <w:r>
              <w:t xml:space="preserve"> / </w:t>
            </w:r>
            <w:r>
              <w:rPr>
                <w:rFonts w:hint="eastAsia"/>
              </w:rPr>
              <w:t xml:space="preserve">总工况数</w:t>
            </w:r>
          </w:p>
        </w:tc>
        <w:tc>
          <w:tcPr/>
          <w:p>
            <w:pPr>
              <w:pStyle w:val="Compact"/>
            </w:pPr>
            <w:r>
              <w:rPr>
                <w:rFonts w:hint="eastAsia"/>
              </w:rPr>
              <w:t xml:space="preserve">四级损伤判定正确的比例，越高越好</w:t>
            </w:r>
          </w:p>
        </w:tc>
      </w:tr>
    </w:tbl>
    <w:bookmarkEnd w:id="82"/>
    <w:bookmarkStart w:id="86" w:name="X8e2916fc18594321f8f44db5838cbbd3328d1d9"/>
    <w:p>
      <w:pPr>
        <w:pStyle w:val="4"/>
      </w:pPr>
      <w:r>
        <w:t xml:space="preserve">6.3 </w:t>
      </w:r>
      <w:r>
        <w:rPr>
          <w:rFonts w:hint="eastAsia"/>
        </w:rPr>
        <w:t xml:space="preserve">综合模型评价结果</w:t>
      </w:r>
    </w:p>
    <w:p>
      <w:pPr>
        <w:pStyle w:val="FirstParagraph"/>
      </w:pPr>
      <w:r>
        <w:rPr>
          <w:rFonts w:hint="eastAsia"/>
        </w:rPr>
        <w:t xml:space="preserve">四类设施专项复核采用相同模型和评价流程。为保持三类工程报告的性能口径统一，报告采用全部</w:t>
      </w:r>
      <w:r>
        <w:t xml:space="preserve"> 38 </w:t>
      </w:r>
      <w:r>
        <w:rPr>
          <w:rFonts w:hint="eastAsia"/>
        </w:rPr>
        <w:t xml:space="preserve">个设施的综合评价结果作为模型精度指标。</w:t>
      </w:r>
    </w:p>
    <w:p>
      <w:pPr>
        <w:pStyle w:val="BodyText"/>
      </w:pPr>
      <w:r>
        <w:rPr>
          <w:rFonts w:hint="eastAsia"/>
          <w:b/>
          <w:bCs/>
        </w:rPr>
        <w:t xml:space="preserve">表</w:t>
      </w:r>
      <w:r>
        <w:rPr>
          <w:b/>
          <w:bCs/>
        </w:rPr>
        <w:t xml:space="preserve"> 10 </w:t>
      </w:r>
      <w:r>
        <w:rPr>
          <w:rFonts w:hint="eastAsia"/>
          <w:b/>
          <w:bCs/>
        </w:rPr>
        <w:t xml:space="preserve">综合模型评价结果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评价方式</w:t>
            </w:r>
          </w:p>
        </w:tc>
        <w:tc>
          <w:tcPr/>
          <w:p>
            <w:pPr>
              <w:pStyle w:val="Compact"/>
              <w:jc w:val="right"/>
            </w:pPr>
            <w:r>
              <w:rPr>
                <w:rFonts w:hint="eastAsia"/>
              </w:rPr>
              <w:t xml:space="preserve">工况数</w:t>
            </w:r>
          </w:p>
        </w:tc>
        <w:tc>
          <w:tcPr/>
          <w:p>
            <w:pPr>
              <w:pStyle w:val="Compact"/>
              <w:jc w:val="right"/>
            </w:pPr>
            <w:r>
              <w:t xml:space="preserve">MAE</w:t>
            </w:r>
          </w:p>
        </w:tc>
        <w:tc>
          <w:tcPr/>
          <w:p>
            <w:pPr>
              <w:pStyle w:val="Compact"/>
              <w:jc w:val="right"/>
            </w:pPr>
            <w:r>
              <w:t xml:space="preserve">RMSE</w:t>
            </w:r>
          </w:p>
        </w:tc>
        <w:tc>
          <w:tcPr/>
          <w:p>
            <w:pPr>
              <w:pStyle w:val="Compact"/>
              <w:jc w:val="right"/>
            </w:pPr>
            <w:r>
              <w:rPr>
                <w:rFonts w:hint="eastAsia"/>
              </w:rPr>
              <w:t xml:space="preserve">等级准确率</w:t>
            </w:r>
          </w:p>
        </w:tc>
      </w:tr>
      <w:tr>
        <w:tc>
          <w:tcPr/>
          <w:p>
            <w:pPr>
              <w:pStyle w:val="Compact"/>
            </w:pPr>
            <w:r>
              <w:rPr>
                <w:rFonts w:hint="eastAsia"/>
              </w:rPr>
              <w:t xml:space="preserve">五折交叉验证</w:t>
            </w:r>
          </w:p>
        </w:tc>
        <w:tc>
          <w:tcPr/>
          <w:p>
            <w:pPr>
              <w:pStyle w:val="Compact"/>
              <w:jc w:val="right"/>
            </w:pPr>
            <w:r>
              <w:t xml:space="preserve">6584</w:t>
            </w:r>
          </w:p>
        </w:tc>
        <w:tc>
          <w:tcPr/>
          <w:p>
            <w:pPr>
              <w:pStyle w:val="Compact"/>
              <w:jc w:val="right"/>
            </w:pPr>
            <w:r>
              <w:t xml:space="preserve">0.0115</w:t>
            </w:r>
          </w:p>
        </w:tc>
        <w:tc>
          <w:tcPr/>
          <w:p>
            <w:pPr>
              <w:pStyle w:val="Compact"/>
              <w:jc w:val="right"/>
            </w:pPr>
            <w:r>
              <w:t xml:space="preserve">0.0521</w:t>
            </w:r>
          </w:p>
        </w:tc>
        <w:tc>
          <w:tcPr/>
          <w:p>
            <w:pPr>
              <w:pStyle w:val="Compact"/>
              <w:jc w:val="right"/>
            </w:pPr>
            <w:r>
              <w:t xml:space="preserve">96.3244%</w:t>
            </w:r>
          </w:p>
        </w:tc>
      </w:tr>
      <w:tr>
        <w:tc>
          <w:tcPr/>
          <w:p>
            <w:pPr>
              <w:pStyle w:val="Compact"/>
            </w:pPr>
            <w:r>
              <w:rPr>
                <w:rFonts w:hint="eastAsia"/>
              </w:rPr>
              <w:t xml:space="preserve">独立测试</w:t>
            </w:r>
          </w:p>
        </w:tc>
        <w:tc>
          <w:tcPr/>
          <w:p>
            <w:pPr>
              <w:pStyle w:val="Compact"/>
              <w:jc w:val="right"/>
            </w:pPr>
            <w:r>
              <w:t xml:space="preserve">1332</w:t>
            </w:r>
          </w:p>
        </w:tc>
        <w:tc>
          <w:tcPr/>
          <w:p>
            <w:pPr>
              <w:pStyle w:val="Compact"/>
              <w:jc w:val="right"/>
            </w:pPr>
            <w:r>
              <w:t xml:space="preserve">0.0091</w:t>
            </w:r>
          </w:p>
        </w:tc>
        <w:tc>
          <w:tcPr/>
          <w:p>
            <w:pPr>
              <w:pStyle w:val="Compact"/>
              <w:jc w:val="right"/>
            </w:pPr>
            <w:r>
              <w:t xml:space="preserve">0.0414</w:t>
            </w:r>
          </w:p>
        </w:tc>
        <w:tc>
          <w:tcPr/>
          <w:p>
            <w:pPr>
              <w:pStyle w:val="Compact"/>
              <w:jc w:val="right"/>
            </w:pPr>
            <w:r>
              <w:t xml:space="preserve">97.2973%</w:t>
            </w:r>
          </w:p>
        </w:tc>
      </w:tr>
    </w:tbl>
    <w:p>
      <w:pPr>
        <w:pStyle w:val="BodyText"/>
      </w:pPr>
      <w:r>
        <w:rPr>
          <w:rFonts w:hint="eastAsia"/>
        </w:rPr>
        <w:t xml:space="preserve">五折和独立测试的等级准确率均超过</w:t>
      </w:r>
      <w:r>
        <w:t xml:space="preserve"> </w:t>
      </w:r>
      <w:r>
        <w:rPr>
          <w:rFonts w:hint="eastAsia"/>
        </w:rPr>
        <w:t xml:space="preserve">95%，且两者差异较小，表明模型在不同划分方式下保持了较稳定的四级损伤判定能力。独立测试</w:t>
      </w:r>
      <w:r>
        <w:t xml:space="preserve"> MAE </w:t>
      </w:r>
      <w:r>
        <w:rPr>
          <w:rFonts w:hint="eastAsia"/>
        </w:rPr>
        <w:t xml:space="preserve">为</w:t>
      </w:r>
      <w:r>
        <w:t xml:space="preserve"> </w:t>
      </w:r>
      <w:r>
        <w:rPr>
          <w:rFonts w:hint="eastAsia"/>
        </w:rPr>
        <w:t xml:space="preserve">0.0091，说明连续</w:t>
      </w:r>
      <w:r>
        <w:t xml:space="preserve"> Dk </w:t>
      </w:r>
      <w:r>
        <w:rPr>
          <w:rFonts w:hint="eastAsia"/>
        </w:rPr>
        <w:t xml:space="preserve">的平均绝对偏差约为</w:t>
      </w:r>
      <w:r>
        <w:t xml:space="preserve"> </w:t>
      </w:r>
      <w:r>
        <w:rPr>
          <w:rFonts w:hint="eastAsia"/>
        </w:rPr>
        <w:t xml:space="preserve">0.009；RMSE</w:t>
      </w:r>
      <w:r>
        <w:t xml:space="preserve"> </w:t>
      </w:r>
      <w:r>
        <w:rPr>
          <w:rFonts w:hint="eastAsia"/>
        </w:rPr>
        <w:t xml:space="preserve">高于</w:t>
      </w:r>
      <w:r>
        <w:t xml:space="preserve"> </w:t>
      </w:r>
      <w:r>
        <w:rPr>
          <w:rFonts w:hint="eastAsia"/>
        </w:rPr>
        <w:t xml:space="preserve">MAE，反映少量工况存在相对较大的连续值偏差。</w:t>
      </w:r>
    </w:p>
    <w:p>
      <w:pPr>
        <w:pStyle w:val="BodyText"/>
      </w:pPr>
      <w:r>
        <w:drawing>
          <wp:inline>
            <wp:extent cx="5270500" cy="4216400"/>
            <wp:effectExtent b="0" l="0" r="0" t="0"/>
            <wp:docPr descr="图 2 航空航天与机场机库五折交叉验证等级混淆矩阵" title="" id="84" name="Picture"/>
            <a:graphic>
              <a:graphicData uri="http://schemas.openxmlformats.org/drawingml/2006/picture">
                <pic:pic>
                  <pic:nvPicPr>
                    <pic:cNvPr descr="../output/experimental_figures/aerospace_confusion_matrix.png" id="85" name="Picture"/>
                    <pic:cNvPicPr>
                      <a:picLocks noChangeArrowheads="1" noChangeAspect="1"/>
                    </pic:cNvPicPr>
                  </pic:nvPicPr>
                  <pic:blipFill>
                    <a:blip r:embed="rId83"/>
                    <a:stretch>
                      <a:fillRect/>
                    </a:stretch>
                  </pic:blipFill>
                  <pic:spPr bwMode="auto">
                    <a:xfrm>
                      <a:off x="0" y="0"/>
                      <a:ext cx="5270500" cy="42164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 </w:t>
      </w:r>
      <w:r>
        <w:rPr>
          <w:rFonts w:hint="eastAsia"/>
          <w:b/>
          <w:bCs/>
        </w:rPr>
        <w:t xml:space="preserve">航空航天与机场机库五折交叉验证等级混淆矩阵</w:t>
      </w:r>
    </w:p>
    <w:bookmarkEnd w:id="86"/>
    <w:bookmarkStart w:id="87" w:name="X8e56f8e23b716ee798ce4af09c1271a13d82138"/>
    <w:p>
      <w:pPr>
        <w:pStyle w:val="4"/>
      </w:pPr>
      <w:r>
        <w:t xml:space="preserve">6.4 </w:t>
      </w:r>
      <w:r>
        <w:rPr>
          <w:rFonts w:hint="eastAsia"/>
        </w:rPr>
        <w:t xml:space="preserve">航空航天与机场机库专项验证</w:t>
      </w:r>
    </w:p>
    <w:p>
      <w:pPr>
        <w:pStyle w:val="FirstParagraph"/>
      </w:pPr>
      <w:r>
        <w:rPr>
          <w:rFonts w:hint="eastAsia"/>
        </w:rPr>
        <w:t xml:space="preserve">航空航天与机场机库的功能、建筑开口和高价值目标组合更复杂，专项应用采用逐设施模型与</w:t>
      </w:r>
      <w:r>
        <w:t xml:space="preserve"> FDS </w:t>
      </w:r>
      <w:r>
        <w:rPr>
          <w:rFonts w:hint="eastAsia"/>
        </w:rPr>
        <w:t xml:space="preserve">复核相结合的工程流程。模型直接输出连续</w:t>
      </w:r>
      <w:r>
        <w:t xml:space="preserve"> Dk </w:t>
      </w:r>
      <w:r>
        <w:rPr>
          <w:rFonts w:hint="eastAsia"/>
        </w:rPr>
        <w:t xml:space="preserve">和四级损伤结果；对于等级边界附近或方向响应不稳定的工况，程序提示转入</w:t>
      </w:r>
      <w:r>
        <w:t xml:space="preserve"> FDS </w:t>
      </w:r>
      <w:r>
        <w:rPr>
          <w:rFonts w:hint="eastAsia"/>
        </w:rPr>
        <w:t xml:space="preserve">精细计算，避免低置信度边界工况被直接输出为确定等级。</w:t>
      </w:r>
    </w:p>
    <w:p>
      <w:pPr>
        <w:pStyle w:val="BodyText"/>
      </w:pPr>
      <w:r>
        <w:rPr>
          <w:rFonts w:hint="eastAsia"/>
          <w:b/>
          <w:bCs/>
        </w:rPr>
        <w:t xml:space="preserve">表</w:t>
      </w:r>
      <w:r>
        <w:rPr>
          <w:b/>
          <w:bCs/>
        </w:rPr>
        <w:t xml:space="preserve"> 11 </w:t>
      </w:r>
      <w:r>
        <w:rPr>
          <w:rFonts w:hint="eastAsia"/>
          <w:b/>
          <w:bCs/>
        </w:rPr>
        <w:t xml:space="preserve">航空航天与机场机库独立测试结果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评价对象</w:t>
            </w:r>
          </w:p>
        </w:tc>
        <w:tc>
          <w:tcPr/>
          <w:p>
            <w:pPr>
              <w:pStyle w:val="Compact"/>
              <w:jc w:val="right"/>
            </w:pPr>
            <w:r>
              <w:rPr>
                <w:rFonts w:hint="eastAsia"/>
              </w:rPr>
              <w:t xml:space="preserve">独立测试工况数</w:t>
            </w:r>
          </w:p>
        </w:tc>
        <w:tc>
          <w:tcPr/>
          <w:p>
            <w:pPr>
              <w:pStyle w:val="Compact"/>
              <w:jc w:val="right"/>
            </w:pPr>
            <w:r>
              <w:rPr>
                <w:rFonts w:hint="eastAsia"/>
              </w:rPr>
              <w:t xml:space="preserve">等级准确率</w:t>
            </w:r>
          </w:p>
        </w:tc>
        <w:tc>
          <w:tcPr/>
          <w:p>
            <w:pPr>
              <w:pStyle w:val="Compact"/>
              <w:jc w:val="right"/>
            </w:pPr>
            <w:r>
              <w:t xml:space="preserve">MAE</w:t>
            </w:r>
          </w:p>
        </w:tc>
      </w:tr>
      <w:tr>
        <w:tc>
          <w:tcPr/>
          <w:p>
            <w:pPr>
              <w:pStyle w:val="Compact"/>
            </w:pPr>
            <w:r>
              <w:rPr>
                <w:rFonts w:hint="eastAsia"/>
              </w:rPr>
              <w:t xml:space="preserve">航空航天设施</w:t>
            </w:r>
          </w:p>
        </w:tc>
        <w:tc>
          <w:tcPr/>
          <w:p>
            <w:pPr>
              <w:pStyle w:val="Compact"/>
              <w:jc w:val="right"/>
            </w:pPr>
            <w:r>
              <w:t xml:space="preserve">566</w:t>
            </w:r>
          </w:p>
        </w:tc>
        <w:tc>
          <w:tcPr/>
          <w:p>
            <w:pPr>
              <w:pStyle w:val="Compact"/>
              <w:jc w:val="right"/>
            </w:pPr>
            <w:r>
              <w:t xml:space="preserve">96.6431%</w:t>
            </w:r>
          </w:p>
        </w:tc>
        <w:tc>
          <w:tcPr/>
          <w:p>
            <w:pPr>
              <w:pStyle w:val="Compact"/>
              <w:jc w:val="right"/>
            </w:pPr>
            <w:r>
              <w:t xml:space="preserve">0.0053</w:t>
            </w:r>
          </w:p>
        </w:tc>
      </w:tr>
      <w:tr>
        <w:tc>
          <w:tcPr/>
          <w:p>
            <w:pPr>
              <w:pStyle w:val="Compact"/>
            </w:pPr>
            <w:r>
              <w:rPr>
                <w:rFonts w:hint="eastAsia"/>
              </w:rPr>
              <w:t xml:space="preserve">机场机库设施</w:t>
            </w:r>
          </w:p>
        </w:tc>
        <w:tc>
          <w:tcPr/>
          <w:p>
            <w:pPr>
              <w:pStyle w:val="Compact"/>
              <w:jc w:val="right"/>
            </w:pPr>
            <w:r>
              <w:t xml:space="preserve">306</w:t>
            </w:r>
          </w:p>
        </w:tc>
        <w:tc>
          <w:tcPr/>
          <w:p>
            <w:pPr>
              <w:pStyle w:val="Compact"/>
              <w:jc w:val="right"/>
            </w:pPr>
            <w:r>
              <w:t xml:space="preserve">95.7516%</w:t>
            </w:r>
          </w:p>
        </w:tc>
        <w:tc>
          <w:tcPr/>
          <w:p>
            <w:pPr>
              <w:pStyle w:val="Compact"/>
              <w:jc w:val="right"/>
            </w:pPr>
            <w:r>
              <w:t xml:space="preserve">0.0240</w:t>
            </w:r>
          </w:p>
        </w:tc>
      </w:tr>
      <w:tr>
        <w:tc>
          <w:tcPr/>
          <w:p>
            <w:pPr>
              <w:pStyle w:val="Compact"/>
            </w:pPr>
            <w:r>
              <w:rPr>
                <w:rFonts w:hint="eastAsia"/>
                <w:b/>
                <w:bCs/>
              </w:rPr>
              <w:t xml:space="preserve">航空航天与机场机库合计</w:t>
            </w:r>
          </w:p>
        </w:tc>
        <w:tc>
          <w:tcPr/>
          <w:p>
            <w:pPr>
              <w:pStyle w:val="Compact"/>
              <w:jc w:val="right"/>
            </w:pPr>
            <w:r>
              <w:rPr>
                <w:b/>
                <w:bCs/>
              </w:rPr>
              <w:t xml:space="preserve">872</w:t>
            </w:r>
          </w:p>
        </w:tc>
        <w:tc>
          <w:tcPr/>
          <w:p>
            <w:pPr>
              <w:pStyle w:val="Compact"/>
              <w:jc w:val="right"/>
            </w:pPr>
            <w:r>
              <w:rPr>
                <w:b/>
                <w:bCs/>
              </w:rPr>
              <w:t xml:space="preserve">96.3302%</w:t>
            </w:r>
          </w:p>
        </w:tc>
        <w:tc>
          <w:tcPr/>
          <w:p>
            <w:pPr>
              <w:pStyle w:val="Compact"/>
              <w:jc w:val="right"/>
            </w:pPr>
            <w:r>
              <w:rPr>
                <w:b/>
                <w:bCs/>
              </w:rPr>
              <w:t xml:space="preserve">0.0119</w:t>
            </w:r>
          </w:p>
        </w:tc>
      </w:tr>
    </w:tbl>
    <w:p>
      <w:pPr>
        <w:pStyle w:val="BodyText"/>
      </w:pPr>
      <w:r>
        <w:rPr>
          <w:rFonts w:hint="eastAsia"/>
        </w:rPr>
        <w:t xml:space="preserve">在同一评价口径下，独立测试合计准确率为</w:t>
      </w:r>
      <w:r>
        <w:t xml:space="preserve"> </w:t>
      </w:r>
      <w:r>
        <w:rPr>
          <w:rFonts w:hint="eastAsia"/>
        </w:rPr>
        <w:t xml:space="preserve">96.3302%，高于</w:t>
      </w:r>
      <w:r>
        <w:t xml:space="preserve"> 95% </w:t>
      </w:r>
      <w:r>
        <w:rPr>
          <w:rFonts w:hint="eastAsia"/>
        </w:rPr>
        <w:t xml:space="preserve">目标。两个子类的独立测试准确率分别为</w:t>
      </w:r>
      <w:r>
        <w:t xml:space="preserve"> </w:t>
      </w:r>
      <w:r>
        <w:rPr>
          <w:rFonts w:hint="eastAsia"/>
        </w:rPr>
        <w:t xml:space="preserve">96.6431%和</w:t>
      </w:r>
      <w:r>
        <w:t xml:space="preserve"> </w:t>
      </w:r>
      <w:r>
        <w:rPr>
          <w:rFonts w:hint="eastAsia"/>
        </w:rPr>
        <w:t xml:space="preserve">95.7516%，说明逐设施模型同时适用于航空航天设施和机场机库设施。对于等级边界复杂或方向响应不稳定的工况，程序提示转入</w:t>
      </w:r>
      <w:r>
        <w:t xml:space="preserve"> FDS </w:t>
      </w:r>
      <w:r>
        <w:rPr>
          <w:rFonts w:hint="eastAsia"/>
        </w:rPr>
        <w:t xml:space="preserve">复核，避免作出过度简化的快速结论。</w:t>
      </w:r>
    </w:p>
    <w:p>
      <w:pPr>
        <w:pStyle w:val="BodyText"/>
      </w:pPr>
      <w:r>
        <w:rPr>
          <w:rFonts w:hint="eastAsia"/>
        </w:rPr>
        <w:t xml:space="preserve">逐设施统计仍可用于诊断对象差异，但工程应用以专项准确率和复核触发情况为主要指标。对于发射控制中心、加工厂房、空间系统处理设施以及部分机场机库，若工况位于等级边界附近或分类投票不集中，程序优先提示复核；对于高置信度工况，则直接给出</w:t>
      </w:r>
      <w:r>
        <w:t xml:space="preserve"> Dk </w:t>
      </w:r>
      <w:r>
        <w:rPr>
          <w:rFonts w:hint="eastAsia"/>
        </w:rPr>
        <w:t xml:space="preserve">和损伤等级。该策略在不改变逐设施模型结构的前提下，提高了航空航天专项快速输出的可靠性。</w:t>
      </w:r>
    </w:p>
    <w:p>
      <w:r>
        <w:pict>
          <v:rect style="width:0;height:1.5pt" o:hralign="center" o:hrstd="t" o:hr="t"/>
        </w:pict>
      </w:r>
    </w:p>
    <w:bookmarkEnd w:id="87"/>
    <w:bookmarkEnd w:id="88"/>
    <w:bookmarkStart w:id="92" w:name="Xe4ea58ec8ab2bce52594482509f64830211c5cb"/>
    <w:p>
      <w:pPr>
        <w:pStyle w:val="3"/>
      </w:pPr>
      <w:r>
        <w:t xml:space="preserve">8 </w:t>
      </w:r>
      <w:r>
        <w:rPr>
          <w:rFonts w:hint="eastAsia"/>
        </w:rPr>
        <w:t xml:space="preserve">仿真程序集成与结果展示</w:t>
      </w:r>
    </w:p>
    <w:bookmarkStart w:id="89" w:name="Xc6b03924a7f8c9865aba9ac4c1df243211b6e1b"/>
    <w:p>
      <w:pPr>
        <w:pStyle w:val="4"/>
      </w:pPr>
      <w:r>
        <w:t xml:space="preserve">8.1 </w:t>
      </w:r>
      <w:r>
        <w:rPr>
          <w:rFonts w:hint="eastAsia"/>
        </w:rPr>
        <w:t xml:space="preserve">集成流程</w:t>
      </w:r>
    </w:p>
    <w:p>
      <w:pPr>
        <w:pStyle w:val="FirstParagraph"/>
      </w:pPr>
      <w:r>
        <w:rPr>
          <w:rFonts w:hint="eastAsia"/>
        </w:rPr>
        <w:t xml:space="preserve">代理模型已经集成到仿真程序的工程快速预测功能中。用户完成设施选择并设置热辐射方位角、俯仰角、热通量和持续时间后，程序自动读取当前设施的建筑、开口、可燃物与敏感目标信息，形成模型输入，并完成连续</w:t>
      </w:r>
      <w:r>
        <w:t xml:space="preserve"> Dk </w:t>
      </w:r>
      <w:r>
        <w:rPr>
          <w:rFonts w:hint="eastAsia"/>
        </w:rPr>
        <w:t xml:space="preserve">与四级损伤结果计算。</w:t>
      </w:r>
    </w:p>
    <w:p>
      <w:pPr>
        <w:pStyle w:val="BodyText"/>
      </w:pPr>
      <w:r>
        <w:rPr>
          <w:rFonts w:hint="eastAsia"/>
        </w:rPr>
        <w:t xml:space="preserve">预测结果界面以设施名称和本次热源工况为基础信息，突出显示设施整体损伤等级，同时给出连续</w:t>
      </w:r>
      <w:r>
        <w:t xml:space="preserve"> </w:t>
      </w:r>
      <w:r>
        <w:rPr>
          <w:rFonts w:hint="eastAsia"/>
        </w:rPr>
        <w:t xml:space="preserve">Dk、模型综合验证准确率和计算耗时。热源参数区分别显示方位角、俯仰角、目标热通量和持续时间，使预测结果能够与具体工况对应。对于分类投票置信度低于专项门控阈值的工况，程序提示转入</w:t>
      </w:r>
      <w:r>
        <w:t xml:space="preserve"> FDS </w:t>
      </w:r>
      <w:r>
        <w:rPr>
          <w:rFonts w:hint="eastAsia"/>
        </w:rPr>
        <w:t xml:space="preserve">复核，而不是直接给出未经复核的等级结论；对高置信度工况则保留快速输出流程。</w:t>
      </w:r>
    </w:p>
    <w:bookmarkEnd w:id="89"/>
    <w:bookmarkStart w:id="90" w:name="Xfa9ec6e3b9c43893018d1a9af702b66ab033e80"/>
    <w:p>
      <w:pPr>
        <w:pStyle w:val="4"/>
      </w:pPr>
      <w:r>
        <w:t xml:space="preserve">8.2 </w:t>
      </w:r>
      <w:r>
        <w:rPr>
          <w:rFonts w:hint="eastAsia"/>
        </w:rPr>
        <w:t xml:space="preserve">程序操作流程</w:t>
      </w:r>
    </w:p>
    <w:p>
      <w:pPr>
        <w:pStyle w:val="FirstParagraph"/>
      </w:pPr>
      <w:r>
        <w:rPr>
          <w:rFonts w:hint="eastAsia"/>
          <w:b/>
          <w:bCs/>
        </w:rPr>
        <w:t xml:space="preserve">表</w:t>
      </w:r>
      <w:r>
        <w:rPr>
          <w:b/>
          <w:bCs/>
        </w:rPr>
        <w:t xml:space="preserve"> 12 </w:t>
      </w:r>
      <w:r>
        <w:rPr>
          <w:rFonts w:hint="eastAsia"/>
          <w:b/>
          <w:bCs/>
        </w:rPr>
        <w:t xml:space="preserve">工程快速预测操作流程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rPr>
                <w:rFonts w:hint="eastAsia"/>
              </w:rPr>
              <w:t xml:space="preserve">阶段</w:t>
            </w:r>
          </w:p>
        </w:tc>
        <w:tc>
          <w:tcPr/>
          <w:p>
            <w:pPr>
              <w:pStyle w:val="Compact"/>
            </w:pPr>
            <w:r>
              <w:rPr>
                <w:rFonts w:hint="eastAsia"/>
              </w:rPr>
              <w:t xml:space="preserve">程序操作</w:t>
            </w:r>
          </w:p>
        </w:tc>
        <w:tc>
          <w:tcPr/>
          <w:p>
            <w:pPr>
              <w:pStyle w:val="Compact"/>
            </w:pPr>
            <w:r>
              <w:rPr>
                <w:rFonts w:hint="eastAsia"/>
              </w:rPr>
              <w:t xml:space="preserve">输出内容</w:t>
            </w:r>
          </w:p>
        </w:tc>
      </w:tr>
      <w:tr>
        <w:tc>
          <w:tcPr/>
          <w:p>
            <w:pPr>
              <w:pStyle w:val="Compact"/>
              <w:jc w:val="right"/>
            </w:pPr>
            <w:r>
              <w:t xml:space="preserve">1</w:t>
            </w:r>
          </w:p>
        </w:tc>
        <w:tc>
          <w:tcPr/>
          <w:p>
            <w:pPr>
              <w:pStyle w:val="Compact"/>
            </w:pPr>
            <w:r>
              <w:rPr>
                <w:rFonts w:hint="eastAsia"/>
              </w:rPr>
              <w:t xml:space="preserve">选择航空航天设施或机场机库及规模</w:t>
            </w:r>
          </w:p>
        </w:tc>
        <w:tc>
          <w:tcPr/>
          <w:p>
            <w:pPr>
              <w:pStyle w:val="Compact"/>
            </w:pPr>
            <w:r>
              <w:rPr>
                <w:rFonts w:hint="eastAsia"/>
              </w:rPr>
              <w:t xml:space="preserve">确定设施类别、建筑和目标参数</w:t>
            </w:r>
          </w:p>
        </w:tc>
      </w:tr>
      <w:tr>
        <w:tc>
          <w:tcPr/>
          <w:p>
            <w:pPr>
              <w:pStyle w:val="Compact"/>
              <w:jc w:val="right"/>
            </w:pPr>
            <w:r>
              <w:t xml:space="preserve">2</w:t>
            </w:r>
          </w:p>
        </w:tc>
        <w:tc>
          <w:tcPr/>
          <w:p>
            <w:pPr>
              <w:pStyle w:val="Compact"/>
            </w:pPr>
            <w:r>
              <w:rPr>
                <w:rFonts w:hint="eastAsia"/>
              </w:rPr>
              <w:t xml:space="preserve">输入热辐射参数</w:t>
            </w:r>
          </w:p>
        </w:tc>
        <w:tc>
          <w:tcPr/>
          <w:p>
            <w:pPr>
              <w:pStyle w:val="Compact"/>
            </w:pPr>
            <w:r>
              <w:rPr>
                <w:rFonts w:hint="eastAsia"/>
              </w:rPr>
              <w:t xml:space="preserve">方位角、俯仰角、热通量、持续时间</w:t>
            </w:r>
          </w:p>
        </w:tc>
      </w:tr>
      <w:tr>
        <w:tc>
          <w:tcPr/>
          <w:p>
            <w:pPr>
              <w:pStyle w:val="Compact"/>
              <w:jc w:val="right"/>
            </w:pPr>
            <w:r>
              <w:t xml:space="preserve">3</w:t>
            </w:r>
          </w:p>
        </w:tc>
        <w:tc>
          <w:tcPr/>
          <w:p>
            <w:pPr>
              <w:pStyle w:val="Compact"/>
            </w:pPr>
            <w:r>
              <w:rPr>
                <w:rFonts w:hint="eastAsia"/>
              </w:rPr>
              <w:t xml:space="preserve">自动生成模型参数</w:t>
            </w:r>
          </w:p>
        </w:tc>
        <w:tc>
          <w:tcPr/>
          <w:p>
            <w:pPr>
              <w:pStyle w:val="Compact"/>
            </w:pPr>
            <w:r>
              <w:rPr>
                <w:rFonts w:hint="eastAsia"/>
              </w:rPr>
              <w:t xml:space="preserve">热源工况特征与设施构型及目标特征</w:t>
            </w:r>
          </w:p>
        </w:tc>
      </w:tr>
      <w:tr>
        <w:tc>
          <w:tcPr/>
          <w:p>
            <w:pPr>
              <w:pStyle w:val="Compact"/>
              <w:jc w:val="right"/>
            </w:pPr>
            <w:r>
              <w:t xml:space="preserve">4</w:t>
            </w:r>
          </w:p>
        </w:tc>
        <w:tc>
          <w:tcPr/>
          <w:p>
            <w:pPr>
              <w:pStyle w:val="Compact"/>
            </w:pPr>
            <w:r>
              <w:rPr>
                <w:rFonts w:hint="eastAsia"/>
              </w:rPr>
              <w:t xml:space="preserve">执行代理模型与置信度判断</w:t>
            </w:r>
          </w:p>
        </w:tc>
        <w:tc>
          <w:tcPr/>
          <w:p>
            <w:pPr>
              <w:pStyle w:val="Compact"/>
            </w:pPr>
            <w:r>
              <w:rPr>
                <w:rFonts w:hint="eastAsia"/>
              </w:rPr>
              <w:t xml:space="preserve">高置信度工况输出</w:t>
            </w:r>
            <w:r>
              <w:t xml:space="preserve"> Dk </w:t>
            </w:r>
            <w:r>
              <w:rPr>
                <w:rFonts w:hint="eastAsia"/>
              </w:rPr>
              <w:t xml:space="preserve">和等级，低置信度工况转入</w:t>
            </w:r>
            <w:r>
              <w:t xml:space="preserve"> FDS </w:t>
            </w:r>
            <w:r>
              <w:rPr>
                <w:rFonts w:hint="eastAsia"/>
              </w:rPr>
              <w:t xml:space="preserve">复核</w:t>
            </w:r>
          </w:p>
        </w:tc>
      </w:tr>
      <w:tr>
        <w:tc>
          <w:tcPr/>
          <w:p>
            <w:pPr>
              <w:pStyle w:val="Compact"/>
              <w:jc w:val="right"/>
            </w:pPr>
            <w:r>
              <w:t xml:space="preserve">5</w:t>
            </w:r>
          </w:p>
        </w:tc>
        <w:tc>
          <w:tcPr/>
          <w:p>
            <w:pPr>
              <w:pStyle w:val="Compact"/>
            </w:pPr>
            <w:r>
              <w:rPr>
                <w:rFonts w:hint="eastAsia"/>
              </w:rPr>
              <w:t xml:space="preserve">展示并保存结果</w:t>
            </w:r>
          </w:p>
        </w:tc>
        <w:tc>
          <w:tcPr/>
          <w:p>
            <w:pPr>
              <w:pStyle w:val="Compact"/>
            </w:pPr>
            <w:r>
              <w:rPr>
                <w:rFonts w:hint="eastAsia"/>
              </w:rPr>
              <w:t xml:space="preserve">损伤等级、Dk、复核状态、工况参数和计算信息</w:t>
            </w:r>
          </w:p>
        </w:tc>
      </w:tr>
    </w:tbl>
    <w:bookmarkEnd w:id="90"/>
    <w:bookmarkStart w:id="91" w:name="Xab43caf1816ee97c20d9a8b07bf808be5027af9"/>
    <w:p>
      <w:pPr>
        <w:pStyle w:val="4"/>
      </w:pPr>
      <w:r>
        <w:t xml:space="preserve">8.3 </w:t>
      </w:r>
      <w:r>
        <w:rPr>
          <w:rFonts w:hint="eastAsia"/>
        </w:rPr>
        <w:t xml:space="preserve">工程预测界面</w:t>
      </w:r>
    </w:p>
    <w:tbl>
      <w:tblPr>
        <w:tblStyle w:val="Table"/>
        <w:tblW w:type="auto" w:w="0"/>
        <w:tblLook w:firstRow="1" w:lastRow="0" w:firstColumn="0" w:lastColumn="0" w:noHBand="0" w:noVBand="0" w:val="0020"/>
      </w:tblPr>
      <w:tblGrid>
        <w:gridCol w:w="7920"/>
      </w:tblGrid>
      <w:tr>
        <w:trPr>
          <w:tblHeader w:val="on"/>
        </w:trPr>
        <w:tc>
          <w:tcPr/>
          <w:p>
            <w:pPr>
              <w:pStyle w:val="Compact"/>
            </w:pPr>
          </w:p>
        </w:tc>
      </w:tr>
      <w:tr>
        <w:tc>
          <w:tcPr/>
          <w:p>
            <w:pPr>
              <w:pStyle w:val="Compact"/>
              <w:jc w:val="center"/>
            </w:pPr>
            <w:r>
              <w:rPr>
                <w:rFonts w:hint="eastAsia"/>
                <w:b/>
                <w:bCs/>
              </w:rPr>
              <w:t xml:space="preserve">图</w:t>
            </w:r>
            <w:r>
              <w:rPr>
                <w:b/>
                <w:bCs/>
              </w:rPr>
              <w:t xml:space="preserve"> 3 </w:t>
            </w:r>
            <w:r>
              <w:rPr>
                <w:rFonts w:hint="eastAsia"/>
                <w:b/>
                <w:bCs/>
              </w:rPr>
              <w:t xml:space="preserve">预留位置：航空航天设施或机场机库工程预测结果界面截图</w:t>
            </w:r>
          </w:p>
        </w:tc>
      </w:tr>
      <w:tr>
        <w:tc>
          <w:tcPr/>
          <w:p>
            <w:pPr>
              <w:pStyle w:val="Compact"/>
              <w:jc w:val="center"/>
            </w:pPr>
            <w:r>
              <w:rPr>
                <w:rFonts w:hint="eastAsia"/>
                <w:i/>
                <w:iCs/>
              </w:rPr>
              <w:t xml:space="preserve">建议截图内容包括设施名称、整体损伤等级、连续</w:t>
            </w:r>
            <w:r>
              <w:rPr>
                <w:i/>
                <w:iCs/>
              </w:rPr>
              <w:t xml:space="preserve"> </w:t>
            </w:r>
            <w:r>
              <w:rPr>
                <w:rFonts w:hint="eastAsia"/>
                <w:i/>
                <w:iCs/>
              </w:rPr>
              <w:t xml:space="preserve">Dk、专项置信度或复核状态、综合验证准确率、热源参数和计算耗时。</w:t>
            </w:r>
          </w:p>
        </w:tc>
      </w:tr>
    </w:tbl>
    <w:p>
      <w:pPr>
        <w:pStyle w:val="BodyText"/>
      </w:pPr>
      <w:r>
        <w:rPr>
          <w:rFonts w:hint="eastAsia"/>
        </w:rPr>
        <w:t xml:space="preserve">程序集成使单个热辐射工况能够快速完成设施级损伤判断，并保持与离线模型评价相同的参数定义。该功能适合用于批量工况初筛、重点方向识别和精细仿真方案准备。</w:t>
      </w:r>
    </w:p>
    <w:p>
      <w:r>
        <w:pict>
          <v:rect style="width:0;height:1.5pt" o:hralign="center" o:hrstd="t" o:hr="t"/>
        </w:pict>
      </w:r>
    </w:p>
    <w:bookmarkEnd w:id="91"/>
    <w:bookmarkEnd w:id="92"/>
    <w:bookmarkStart w:id="93" w:name="X3e8fbe284957526007c26bec7e8de2cb2bfba54"/>
    <w:p>
      <w:pPr>
        <w:pStyle w:val="3"/>
      </w:pPr>
      <w:r>
        <w:t xml:space="preserve">9 </w:t>
      </w:r>
      <w:r>
        <w:rPr>
          <w:rFonts w:hint="eastAsia"/>
        </w:rPr>
        <w:t xml:space="preserve">总结</w:t>
      </w:r>
    </w:p>
    <w:p>
      <w:pPr>
        <w:pStyle w:val="FirstParagraph"/>
      </w:pPr>
      <w:r>
        <w:rPr>
          <w:rFonts w:hint="eastAsia"/>
        </w:rPr>
        <w:t xml:space="preserve">本研究建立了覆盖航空航天设施与机场机库设施的</w:t>
      </w:r>
      <w:r>
        <w:t xml:space="preserve"> FDS </w:t>
      </w:r>
      <w:r>
        <w:rPr>
          <w:rFonts w:hint="eastAsia"/>
        </w:rPr>
        <w:t xml:space="preserve">数据驱动工程预测方法。合格数据覆盖</w:t>
      </w:r>
      <w:r>
        <w:t xml:space="preserve"> 21 </w:t>
      </w:r>
      <w:r>
        <w:rPr>
          <w:rFonts w:hint="eastAsia"/>
        </w:rPr>
        <w:t xml:space="preserve">个设施、4324</w:t>
      </w:r>
      <w:r>
        <w:t xml:space="preserve"> </w:t>
      </w:r>
      <w:r>
        <w:rPr>
          <w:rFonts w:hint="eastAsia"/>
        </w:rPr>
        <w:t xml:space="preserve">条热辐射工况，其中航空航天设施</w:t>
      </w:r>
      <w:r>
        <w:t xml:space="preserve"> 15 </w:t>
      </w:r>
      <w:r>
        <w:rPr>
          <w:rFonts w:hint="eastAsia"/>
        </w:rPr>
        <w:t xml:space="preserve">个、2800</w:t>
      </w:r>
      <w:r>
        <w:t xml:space="preserve"> </w:t>
      </w:r>
      <w:r>
        <w:rPr>
          <w:rFonts w:hint="eastAsia"/>
        </w:rPr>
        <w:t xml:space="preserve">条，机场机库设施</w:t>
      </w:r>
      <w:r>
        <w:t xml:space="preserve"> 6 </w:t>
      </w:r>
      <w:r>
        <w:rPr>
          <w:rFonts w:hint="eastAsia"/>
        </w:rPr>
        <w:t xml:space="preserve">个、1524</w:t>
      </w:r>
      <w:r>
        <w:t xml:space="preserve"> </w:t>
      </w:r>
      <w:r>
        <w:rPr>
          <w:rFonts w:hint="eastAsia"/>
        </w:rPr>
        <w:t xml:space="preserve">条，并与其他设施数据共同构成</w:t>
      </w:r>
      <w:r>
        <w:t xml:space="preserve"> 6584 </w:t>
      </w:r>
      <w:r>
        <w:rPr>
          <w:rFonts w:hint="eastAsia"/>
        </w:rPr>
        <w:t xml:space="preserve">条合格训练样本。模型以热源工况特征与设施构型及目标特征为输入，能够综合表达热通量、持续时间、受热方向、建筑尺度、开口条件和高价值目标分布对设施级</w:t>
      </w:r>
      <w:r>
        <w:t xml:space="preserve"> Dk </w:t>
      </w:r>
      <w:r>
        <w:rPr>
          <w:rFonts w:hint="eastAsia"/>
        </w:rPr>
        <w:t xml:space="preserve">的影响。</w:t>
      </w:r>
    </w:p>
    <w:p>
      <w:pPr>
        <w:pStyle w:val="BodyText"/>
      </w:pPr>
      <w:r>
        <w:rPr>
          <w:rFonts w:hint="eastAsia"/>
        </w:rPr>
        <w:t xml:space="preserve">等级约束</w:t>
      </w:r>
      <w:r>
        <w:t xml:space="preserve"> ExtraTrees </w:t>
      </w:r>
      <w:r>
        <w:rPr>
          <w:rFonts w:hint="eastAsia"/>
        </w:rPr>
        <w:t xml:space="preserve">模型采用</w:t>
      </w:r>
      <w:r>
        <w:t xml:space="preserve"> 50 </w:t>
      </w:r>
      <w:r>
        <w:rPr>
          <w:rFonts w:hint="eastAsia"/>
        </w:rPr>
        <w:t xml:space="preserve">棵回归树和</w:t>
      </w:r>
      <w:r>
        <w:t xml:space="preserve"> 50 </w:t>
      </w:r>
      <w:r>
        <w:rPr>
          <w:rFonts w:hint="eastAsia"/>
        </w:rPr>
        <w:t xml:space="preserve">棵分类树，同时输出连续</w:t>
      </w:r>
      <w:r>
        <w:t xml:space="preserve"> Dk </w:t>
      </w:r>
      <w:r>
        <w:rPr>
          <w:rFonts w:hint="eastAsia"/>
        </w:rPr>
        <w:t xml:space="preserve">和四级损伤结果。综合五折等级准确率为</w:t>
      </w:r>
      <w:r>
        <w:t xml:space="preserve"> </w:t>
      </w:r>
      <w:r>
        <w:rPr>
          <w:rFonts w:hint="eastAsia"/>
        </w:rPr>
        <w:t xml:space="preserve">96.3244%，独立测试等级准确率为</w:t>
      </w:r>
      <w:r>
        <w:t xml:space="preserve"> </w:t>
      </w:r>
      <w:r>
        <w:rPr>
          <w:rFonts w:hint="eastAsia"/>
        </w:rPr>
        <w:t xml:space="preserve">97.2973%。航空航天与机场机库子集独立测试准确率为</w:t>
      </w:r>
      <w:r>
        <w:t xml:space="preserve"> </w:t>
      </w:r>
      <w:r>
        <w:rPr>
          <w:rFonts w:hint="eastAsia"/>
        </w:rPr>
        <w:t xml:space="preserve">96.3302%；航空航天子类和机场机库子类独立测试准确率分别为</w:t>
      </w:r>
      <w:r>
        <w:t xml:space="preserve"> </w:t>
      </w:r>
      <w:r>
        <w:rPr>
          <w:rFonts w:hint="eastAsia"/>
        </w:rPr>
        <w:t xml:space="preserve">96.6431%和</w:t>
      </w:r>
      <w:r>
        <w:t xml:space="preserve"> </w:t>
      </w:r>
      <w:r>
        <w:rPr>
          <w:rFonts w:hint="eastAsia"/>
        </w:rPr>
        <w:t xml:space="preserve">95.7516%，均高于</w:t>
      </w:r>
      <w:r>
        <w:t xml:space="preserve"> 95% </w:t>
      </w:r>
      <w:r>
        <w:rPr>
          <w:rFonts w:hint="eastAsia"/>
        </w:rPr>
        <w:t xml:space="preserve">目标。</w:t>
      </w:r>
    </w:p>
    <w:p>
      <w:pPr>
        <w:pStyle w:val="BodyText"/>
      </w:pPr>
      <w:r>
        <w:rPr>
          <w:rFonts w:hint="eastAsia"/>
        </w:rPr>
        <w:t xml:space="preserve">专项因素分析表明，方位角与热通量、俯仰角、热剂量和迎火侧开口条件共同决定等级响应的总体位置与方向差异。机场机库大跨度空间、机库门和航空器目标集中布置形成了区别于发射、控制、处理和总装设施的方向响应。不同设施在不同方向和工况下的损伤差异，能够支持重点方向识别和代表性</w:t>
      </w:r>
      <w:r>
        <w:t xml:space="preserve"> FDS </w:t>
      </w:r>
      <w:r>
        <w:rPr>
          <w:rFonts w:hint="eastAsia"/>
        </w:rPr>
        <w:t xml:space="preserve">工况选择。</w:t>
      </w:r>
    </w:p>
    <w:p>
      <w:pPr>
        <w:pStyle w:val="BodyText"/>
      </w:pPr>
      <w:r>
        <w:rPr>
          <w:rFonts w:hint="eastAsia"/>
        </w:rPr>
        <w:t xml:space="preserve">当前模型已经完成仿真程序集成，可用于航空航天设施及机场机库的快速工况筛查和阈值分析。对于等级边界附近或方向响应不稳定的工况，程序提示转入</w:t>
      </w:r>
      <w:r>
        <w:t xml:space="preserve"> FDS </w:t>
      </w:r>
      <w:r>
        <w:rPr>
          <w:rFonts w:hint="eastAsia"/>
        </w:rPr>
        <w:t xml:space="preserve">复核。后续工作可结合新增模拟工况持续丰富等级边界附近和高热负荷区域的数据，使不同子类和不同尺度设施的阈值分布描述更加细致，并进一步提升工程应用中的结果解释能力。</w:t>
      </w:r>
    </w:p>
    <w:p>
      <w:r>
        <w:pict>
          <v:rect style="width:0;height:1.5pt" o:hralign="center" o:hrstd="t" o:hr="t"/>
        </w:pict>
      </w:r>
    </w:p>
    <w:bookmarkEnd w:id="93"/>
    <w:bookmarkStart w:id="94" w:name="参考文献"/>
    <w:p>
      <w:pPr>
        <w:pStyle w:val="3"/>
      </w:pPr>
      <w:r>
        <w:rPr>
          <w:rFonts w:hint="eastAsia"/>
        </w:rPr>
        <w:t xml:space="preserve">参考文献</w:t>
      </w:r>
    </w:p>
    <w:p>
      <w:pPr>
        <w:pStyle w:val="Compact"/>
        <w:numPr>
          <w:ilvl w:val="0"/>
          <w:numId w:val="1001"/>
        </w:numPr>
      </w:pPr>
      <w:r>
        <w:t xml:space="preserve">HURLEY M J, GOTTUK D T, HALL J R Jr, et al.</w:t>
      </w:r>
      <w:r>
        <w:t xml:space="preserve"> </w:t>
      </w:r>
      <w:r>
        <w:rPr>
          <w:i/>
          <w:iCs/>
        </w:rPr>
        <w:t xml:space="preserve">SFPE Handbook of Fire Protection Engineering</w:t>
      </w:r>
      <w:r>
        <w:t xml:space="preserve"> </w:t>
      </w:r>
      <w:r>
        <w:t xml:space="preserve">[M]. 5th ed. New York: Springer, 2016.</w:t>
      </w:r>
    </w:p>
    <w:p>
      <w:pPr>
        <w:pStyle w:val="Compact"/>
        <w:numPr>
          <w:ilvl w:val="0"/>
          <w:numId w:val="1001"/>
        </w:numPr>
      </w:pPr>
      <w:r>
        <w:t xml:space="preserve">DRYSDALE D.</w:t>
      </w:r>
      <w:r>
        <w:t xml:space="preserve"> </w:t>
      </w:r>
      <w:r>
        <w:rPr>
          <w:i/>
          <w:iCs/>
        </w:rPr>
        <w:t xml:space="preserve">An Introduction to Fire Dynamics</w:t>
      </w:r>
      <w:r>
        <w:t xml:space="preserve"> </w:t>
      </w:r>
      <w:r>
        <w:t xml:space="preserve">[M]. 3rd ed. Chichester: Wiley, 2011.</w:t>
      </w:r>
    </w:p>
    <w:p>
      <w:pPr>
        <w:pStyle w:val="Compact"/>
        <w:numPr>
          <w:ilvl w:val="0"/>
          <w:numId w:val="1001"/>
        </w:numPr>
      </w:pPr>
      <w:r>
        <w:t xml:space="preserve">MCGRATTAN K, HOSTIKKA S, MCDERMOTT R, et al.</w:t>
      </w:r>
      <w:r>
        <w:t xml:space="preserve"> </w:t>
      </w:r>
      <w:r>
        <w:rPr>
          <w:i/>
          <w:iCs/>
        </w:rPr>
        <w:t xml:space="preserve">Fire Dynamics Simulator Technical Reference Guide</w:t>
      </w:r>
      <w:r>
        <w:t xml:space="preserve"> </w:t>
      </w:r>
      <w:r>
        <w:t xml:space="preserve">[R]. National Institute of Standards and Technology.</w:t>
      </w:r>
    </w:p>
    <w:p>
      <w:pPr>
        <w:pStyle w:val="Compact"/>
        <w:numPr>
          <w:ilvl w:val="0"/>
          <w:numId w:val="1001"/>
        </w:numPr>
      </w:pPr>
      <w:r>
        <w:t xml:space="preserve">MCGRATTAN K, HOSTIKKA S, MCDERMOTT R, et al.</w:t>
      </w:r>
      <w:r>
        <w:t xml:space="preserve"> </w:t>
      </w:r>
      <w:r>
        <w:rPr>
          <w:i/>
          <w:iCs/>
        </w:rPr>
        <w:t xml:space="preserve">Fire Dynamics Simulator User's Guide</w:t>
      </w:r>
      <w:r>
        <w:t xml:space="preserve"> </w:t>
      </w:r>
      <w:r>
        <w:t xml:space="preserve">[R]. National Institute of Standards and Technology.</w:t>
      </w:r>
    </w:p>
    <w:p>
      <w:pPr>
        <w:pStyle w:val="Compact"/>
        <w:numPr>
          <w:ilvl w:val="0"/>
          <w:numId w:val="1001"/>
        </w:numPr>
      </w:pPr>
      <w:r>
        <w:t xml:space="preserve">GEURTS P, ERNST D, WEHENKEL L. Extremely randomized trees [J].</w:t>
      </w:r>
      <w:r>
        <w:t xml:space="preserve"> </w:t>
      </w:r>
      <w:r>
        <w:rPr>
          <w:i/>
          <w:iCs/>
        </w:rPr>
        <w:t xml:space="preserve">Machine Learning</w:t>
      </w:r>
      <w:r>
        <w:t xml:space="preserve">, 2006, 63: 3–42.</w:t>
      </w:r>
    </w:p>
    <w:p>
      <w:pPr>
        <w:pStyle w:val="Compact"/>
        <w:numPr>
          <w:ilvl w:val="0"/>
          <w:numId w:val="1001"/>
        </w:numPr>
      </w:pPr>
      <w:r>
        <w:t xml:space="preserve">PEDREGOSA F, VAROQUAUX G, GRAMFORT A, et al. Scikit-learn: Machine learning in Python [J].</w:t>
      </w:r>
      <w:r>
        <w:t xml:space="preserve"> </w:t>
      </w:r>
      <w:r>
        <w:rPr>
          <w:i/>
          <w:iCs/>
        </w:rPr>
        <w:t xml:space="preserve">Journal of Machine Learning Research</w:t>
      </w:r>
      <w:r>
        <w:t xml:space="preserve">, 2011, 12: 2825–2830.</w:t>
      </w:r>
    </w:p>
    <w:p>
      <w:pPr>
        <w:pStyle w:val="Compact"/>
        <w:numPr>
          <w:ilvl w:val="0"/>
          <w:numId w:val="1001"/>
        </w:numPr>
      </w:pPr>
      <w:r>
        <w:t xml:space="preserve">NASA.</w:t>
      </w:r>
      <w:r>
        <w:t xml:space="preserve"> </w:t>
      </w:r>
      <w:r>
        <w:rPr>
          <w:i/>
          <w:iCs/>
        </w:rPr>
        <w:t xml:space="preserve">KSC Ground Systems Fire Protection Design Manual</w:t>
      </w:r>
      <w:r>
        <w:t xml:space="preserve"> </w:t>
      </w:r>
      <w:r>
        <w:t xml:space="preserve">[S]. Kennedy Space Center, 2020.</w:t>
      </w:r>
    </w:p>
    <w:p>
      <w:pPr>
        <w:pStyle w:val="Compact"/>
        <w:numPr>
          <w:ilvl w:val="0"/>
          <w:numId w:val="1001"/>
        </w:numPr>
      </w:pPr>
      <w:r>
        <w:t xml:space="preserve">NFPA.</w:t>
      </w:r>
      <w:r>
        <w:t xml:space="preserve"> </w:t>
      </w:r>
      <w:r>
        <w:rPr>
          <w:i/>
          <w:iCs/>
        </w:rPr>
        <w:t xml:space="preserve">NFPA 410: Standard on Aircraft Maintenance</w:t>
      </w:r>
      <w:r>
        <w:t xml:space="preserve"> </w:t>
      </w:r>
      <w:r>
        <w:t xml:space="preserve">[S]. National Fire Protection Association, 2021.</w:t>
      </w:r>
    </w:p>
    <w:p>
      <w:pPr>
        <w:pStyle w:val="Compact"/>
        <w:numPr>
          <w:ilvl w:val="0"/>
          <w:numId w:val="1001"/>
        </w:numPr>
      </w:pPr>
      <w:r>
        <w:t xml:space="preserve">NFPA.</w:t>
      </w:r>
      <w:r>
        <w:t xml:space="preserve"> </w:t>
      </w:r>
      <w:r>
        <w:rPr>
          <w:i/>
          <w:iCs/>
        </w:rPr>
        <w:t xml:space="preserve">NFPA 30: Flammable and Combustible Liquids Code</w:t>
      </w:r>
      <w:r>
        <w:t xml:space="preserve"> </w:t>
      </w:r>
      <w:r>
        <w:t xml:space="preserve">[S]. National Fire Protection Association, 2021.</w:t>
      </w:r>
    </w:p>
    <w:p>
      <w:pPr>
        <w:pStyle w:val="Compact"/>
        <w:numPr>
          <w:ilvl w:val="0"/>
          <w:numId w:val="1001"/>
        </w:numPr>
      </w:pPr>
      <w:r>
        <w:t xml:space="preserve">MOURITZ A P, GIBSON A G.</w:t>
      </w:r>
      <w:r>
        <w:t xml:space="preserve"> </w:t>
      </w:r>
      <w:r>
        <w:rPr>
          <w:i/>
          <w:iCs/>
        </w:rPr>
        <w:t xml:space="preserve">Fire Properties of Polymer Composite Materials</w:t>
      </w:r>
      <w:r>
        <w:t xml:space="preserve"> </w:t>
      </w:r>
      <w:r>
        <w:t xml:space="preserve">[M]. Dordrecht: Springer, 2006.</w:t>
      </w:r>
    </w:p>
    <w:bookmarkEnd w:id="94"/>
    <w:bookmarkEnd w:id="95"/>
    <w:sectPr>
      <w:pgSz w:h="16838" w:w="11906"/>
      <w:pgMar w:bottom="1440" w:footer="992" w:gutter="0" w:header="851" w:left="1800" w:right="1800" w:top="1440"/>
      <w:pgNumType w:fmt="decimal"/>
      <w:cols w:num="1" w:space="720"/>
      <w:docGrid w:charSpace="0"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7A"/>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0F3C52" w:usb2="00000016" w:usb3="00000000" w:csb0="0004001F" w:csb1="00000000"/>
  </w:font>
  <w:font w:name="Arial">
    <w:panose1 w:val="020B0604020202020204"/>
    <w:charset w:val="01"/>
    <w:family w:val="swiss"/>
    <w:pitch w:val="default"/>
    <w:sig w:usb0="00007A87" w:usb1="80000000" w:usb2="00000008" w:usb3="00000000" w:csb0="400001FF" w:csb1="FFFF0000"/>
  </w:font>
  <w:font w:name="Courier New">
    <w:panose1 w:val="02070309020205020404"/>
    <w:charset w:val="01"/>
    <w:family w:val="modern"/>
    <w:pitch w:val="default"/>
    <w:sig w:usb0="E0002AFF" w:usb1="C0007843" w:usb2="00000009" w:usb3="00000000" w:csb0="400001FF" w:csb1="FFFF0000"/>
  </w:font>
  <w:font w:name="等线 Light">
    <w:altName w:val="SimSun"/>
    <w:panose1 w:val="02010600030101010101"/>
    <w:charset w:val="86"/>
    <w:family w:val="auto"/>
    <w:pitch w:val="default"/>
    <w:sig w:usb0="00000000" w:usb1="00000000" w:usb2="00000016" w:usb3="00000000" w:csb0="0004000F" w:csb1="00000000"/>
  </w:font>
  <w:font w:name="SimSun">
    <w:panose1 w:val="02010600030101010101"/>
    <w:charset w:val="86"/>
    <w:family w:val="auto"/>
    <w:pitch w:val="default"/>
    <w:sig w:usb0="00000003" w:usb1="080E0000" w:usb2="0000000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
    <w:altName w:val="宋体"/>
    <w:panose1 w:val="02010609060101010101"/>
    <w:charset w:val="86"/>
    <w:family w:val="modern"/>
    <w:pitch w:val="default"/>
    <w:sig w:usb0="00000000" w:usb1="00000000" w:usb2="00000016" w:usb3="00000000" w:csb0="00040001" w:csb1="00000000"/>
  </w:font>
  <w:font w:name="仿宋_GB2312">
    <w:altName w:val="宋体"/>
    <w:panose1 w:val="02010609030101010101"/>
    <w:charset w:val="86"/>
    <w:family w:val="modern"/>
    <w:pitch w:val="default"/>
    <w:sig w:usb0="00000000" w:usb1="00000000" w:usb2="00000000" w:usb3="00000000" w:csb0="00040000" w:csb1="0000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等线">
    <w:altName w:val="Noto Sans CJK SC"/>
    <w:panose1 w:val="02010600030101010101"/>
    <w:charset w:val="86"/>
    <w:family w:val="auto"/>
    <w:pitch w:val="default"/>
    <w:sig w:usb0="00000000" w:usb1="00000000" w:usb2="00000016" w:usb3="00000000" w:csb0="0004000F" w:csb1="00000000"/>
  </w:font>
  <w:font w:name="Noto Sans CJK SC">
    <w:panose1 w:val="020B0500000000000000"/>
    <w:charset w:val="86"/>
    <w:family w:val="auto"/>
    <w:pitch w:val="default"/>
    <w:sig w:usb0="30000083" w:usb1="2BDF3C10" w:usb2="00000016" w:usb3="00000000" w:csb0="602E0107" w:csb1="00000000"/>
  </w:font>
  <w:font w:name="Microsoft YaHei">
    <w:panose1 w:val="020B0503020204020204"/>
    <w:charset w:val="86"/>
    <w:family w:val="auto"/>
    <w:pitch w:val="default"/>
    <w:sig w:usb0="80000287" w:usb1="2A0F3C52" w:usb2="00000016" w:usb3="00000000" w:csb0="0004001F" w:csb1="00000000"/>
  </w:font>
  <w:font w:name="Tahoma">
    <w:altName w:val="noto sans thai"/>
    <w:panose1 w:val="00000000000000000000"/>
    <w:charset w:val="00"/>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FC2BA">
    <w:pPr>
      <w:pStyle w:val="21"/>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AB5B">
    <w:pPr>
      <w:pStyle w:val="21"/>
      <w:framePr w:wrap="around" w:vAnchor="text" w:hAnchor="margin" w:xAlign="outside" w:y="1"/>
      <w:rPr>
        <w:rStyle w:val="25"/>
      </w:rPr>
    </w:pPr>
    <w:r>
      <w:fldChar w:fldCharType="begin"/>
    </w:r>
    <w:r>
      <w:rPr>
        <w:rStyle w:val="25"/>
      </w:rPr>
      <w:instrText xml:space="preserve">PAGE  </w:instrText>
    </w:r>
    <w:r>
      <w:fldChar w:fldCharType="end"/>
    </w:r>
  </w:p>
  <w:p w14:paraId="43305302">
    <w:pPr>
      <w:pStyle w:val="21"/>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E1AED">
    <w:pPr>
      <w:pStyle w:val="21"/>
      <w:jc w:val="center"/>
    </w:pPr>
    <w:r>
      <w:fldChar w:fldCharType="begin"/>
    </w:r>
    <w:r>
      <w:instrText xml:space="preserve"> PAGE   \* MERGEFORMAT </w:instrText>
    </w:r>
    <w:r>
      <w:fldChar w:fldCharType="separate"/>
    </w:r>
    <w:r>
      <w:rPr>
        <w:lang w:val="zh-CN" w:eastAsia="zh-CN"/>
      </w:rPr>
      <w:t>I</w:t>
    </w:r>
    <w:r>
      <w:fldChar w:fldCharType="end"/>
    </w:r>
  </w:p>
  <w:p w14:paraId="5EDA7356">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75B21">
    <w:pPr>
      <w:pStyle w:val="21"/>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68977">
    <w:pPr>
      <w:pStyle w:val="21"/>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DEF28">
    <w:pPr>
      <w:pStyle w:val="22"/>
      <w:ind w:firstLine="360"/>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31C24E67"/>
    <w:multiLevelType w:val="multilevel"/>
    <w:tmpl w:val="31C24E67"/>
    <w:lvl w:ilvl="0" w:tentative="0">
      <w:start w:val="1"/>
      <w:numFmt w:val="decimal"/>
      <w:pStyle w:val="56"/>
      <w:lvlText w:val="[%1]"/>
      <w:lvlJc w:val="left"/>
      <w:pPr>
        <w:ind w:hanging="420" w:left="420"/>
      </w:pPr>
      <w:rPr>
        <w:rFonts w:hint="eastAsia"/>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1">
    <w:nsid w:val="63A9678D"/>
    <w:multiLevelType w:val="multilevel"/>
    <w:tmpl w:val="63A9678D"/>
    <w:lvl w:ilvl="0" w:tentative="0">
      <w:start w:val="1"/>
      <w:numFmt w:val="decimal"/>
      <w:pStyle w:val="2"/>
      <w:lvlText w:val="%1."/>
      <w:lvlJc w:val="left"/>
      <w:pPr>
        <w:ind w:hanging="432" w:left="432"/>
      </w:pPr>
      <w:rPr>
        <w:rFonts w:hint="default"/>
      </w:rPr>
    </w:lvl>
    <w:lvl w:ilvl="1" w:tentative="0">
      <w:start w:val="1"/>
      <w:numFmt w:val="decimal"/>
      <w:pStyle w:val="3"/>
      <w:lvlText w:val="%1.%2."/>
      <w:lvlJc w:val="left"/>
      <w:pPr>
        <w:ind w:hanging="575" w:left="575"/>
      </w:pPr>
      <w:rPr>
        <w:rFonts w:hint="default"/>
      </w:rPr>
    </w:lvl>
    <w:lvl w:ilvl="2" w:tentative="0">
      <w:start w:val="1"/>
      <w:numFmt w:val="decimal"/>
      <w:pStyle w:val="4"/>
      <w:lvlText w:val="%1.%2.%3."/>
      <w:lvlJc w:val="left"/>
      <w:pPr>
        <w:ind w:hanging="720" w:left="720"/>
      </w:pPr>
      <w:rPr>
        <w:rFonts w:hint="default"/>
      </w:rPr>
    </w:lvl>
    <w:lvl w:ilvl="3" w:tentative="0">
      <w:start w:val="1"/>
      <w:numFmt w:val="decimal"/>
      <w:pStyle w:val="5"/>
      <w:lvlText w:val="%1.%2.%3.%4."/>
      <w:lvlJc w:val="left"/>
      <w:pPr>
        <w:ind w:hanging="864" w:left="864"/>
      </w:pPr>
      <w:rPr>
        <w:rFonts w:hint="default"/>
      </w:rPr>
    </w:lvl>
    <w:lvl w:ilvl="4" w:tentative="0">
      <w:start w:val="1"/>
      <w:numFmt w:val="decimal"/>
      <w:pStyle w:val="6"/>
      <w:lvlText w:val="%1.%2.%3.%4.%5."/>
      <w:lvlJc w:val="left"/>
      <w:pPr>
        <w:ind w:hanging="1008" w:left="1008"/>
      </w:pPr>
      <w:rPr>
        <w:rFonts w:hint="default"/>
      </w:rPr>
    </w:lvl>
    <w:lvl w:ilvl="5" w:tentative="0">
      <w:start w:val="1"/>
      <w:numFmt w:val="decimal"/>
      <w:pStyle w:val="7"/>
      <w:lvlText w:val="%1.%2.%3.%4.%5.%6."/>
      <w:lvlJc w:val="left"/>
      <w:pPr>
        <w:ind w:hanging="1151" w:left="1151"/>
      </w:pPr>
      <w:rPr>
        <w:rFonts w:hint="default"/>
      </w:rPr>
    </w:lvl>
    <w:lvl w:ilvl="6" w:tentative="0">
      <w:start w:val="1"/>
      <w:numFmt w:val="decimal"/>
      <w:pStyle w:val="8"/>
      <w:lvlText w:val="%1.%2.%3.%4.%5.%6.%7."/>
      <w:lvlJc w:val="left"/>
      <w:pPr>
        <w:ind w:hanging="1296" w:left="1296"/>
      </w:pPr>
      <w:rPr>
        <w:rFonts w:hint="default"/>
      </w:rPr>
    </w:lvl>
    <w:lvl w:ilvl="7" w:tentative="0">
      <w:start w:val="1"/>
      <w:numFmt w:val="decimal"/>
      <w:pStyle w:val="9"/>
      <w:lvlText w:val="%1.%2.%3.%4.%5.%6.%7.%8."/>
      <w:lvlJc w:val="left"/>
      <w:pPr>
        <w:ind w:hanging="1440" w:left="1440"/>
      </w:pPr>
      <w:rPr>
        <w:rFonts w:hint="default"/>
      </w:rPr>
    </w:lvl>
    <w:lvl w:ilvl="8" w:tentative="0">
      <w:start w:val="1"/>
      <w:numFmt w:val="decimal"/>
      <w:pStyle w:val="10"/>
      <w:lvlText w:val="%1.%2.%3.%4.%5.%6.%7.%8.%9."/>
      <w:lvlJc w:val="left"/>
      <w:pPr>
        <w:ind w:hanging="1583" w:left="1583"/>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420"/>
  <w:drawingGridHorizontalSpacing w:val="360"/>
  <w:drawingGridVerticalSpacing w:val="156"/>
  <w:displayHorizontalDrawingGridEvery w:val="0"/>
  <w:displayVerticalDrawingGridEvery w:val="0"/>
  <w:noPunctuationKerning w:val="1"/>
  <w:characterSpacingControl w:val="compressPunctuation"/>
  <w:savePreviewPicture/>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lZDZiNDNiNWM1NWFiMTM2ZTY0ODJhNzA5MDBmYmYifQ=="/>
  </w:docVars>
  <w:rsids>
    <w:rsidRoot w:val="00172A27"/>
    <w:rsid w:val="000037B7"/>
    <w:rsid w:val="000046DB"/>
    <w:rsid w:val="0003369C"/>
    <w:rsid w:val="00050683"/>
    <w:rsid w:val="00073CA5"/>
    <w:rsid w:val="000A17B4"/>
    <w:rsid w:val="000A63CD"/>
    <w:rsid w:val="000A7EFE"/>
    <w:rsid w:val="00112CE7"/>
    <w:rsid w:val="00117D12"/>
    <w:rsid w:val="00131460"/>
    <w:rsid w:val="00157FA7"/>
    <w:rsid w:val="0016476A"/>
    <w:rsid w:val="001F7C08"/>
    <w:rsid w:val="002147EA"/>
    <w:rsid w:val="0022650D"/>
    <w:rsid w:val="0026379B"/>
    <w:rsid w:val="002725A0"/>
    <w:rsid w:val="00283693"/>
    <w:rsid w:val="002A3D33"/>
    <w:rsid w:val="002C352B"/>
    <w:rsid w:val="002D0193"/>
    <w:rsid w:val="002F7AEA"/>
    <w:rsid w:val="00313F1A"/>
    <w:rsid w:val="00324B9E"/>
    <w:rsid w:val="00345197"/>
    <w:rsid w:val="0037261A"/>
    <w:rsid w:val="003866E0"/>
    <w:rsid w:val="003A322B"/>
    <w:rsid w:val="003D1E4B"/>
    <w:rsid w:val="003E2F07"/>
    <w:rsid w:val="003E5EF5"/>
    <w:rsid w:val="003F1D39"/>
    <w:rsid w:val="00403904"/>
    <w:rsid w:val="004136B4"/>
    <w:rsid w:val="004235C7"/>
    <w:rsid w:val="00425F86"/>
    <w:rsid w:val="00445B98"/>
    <w:rsid w:val="00471694"/>
    <w:rsid w:val="00494233"/>
    <w:rsid w:val="004D5A68"/>
    <w:rsid w:val="004E677A"/>
    <w:rsid w:val="00530FA8"/>
    <w:rsid w:val="00533B1E"/>
    <w:rsid w:val="00561FC4"/>
    <w:rsid w:val="005861AC"/>
    <w:rsid w:val="005D49BC"/>
    <w:rsid w:val="005D76DC"/>
    <w:rsid w:val="006874FC"/>
    <w:rsid w:val="006A7110"/>
    <w:rsid w:val="006D0DFC"/>
    <w:rsid w:val="006D66E9"/>
    <w:rsid w:val="006E7E2A"/>
    <w:rsid w:val="00717B5D"/>
    <w:rsid w:val="00796109"/>
    <w:rsid w:val="007A2452"/>
    <w:rsid w:val="007B06D6"/>
    <w:rsid w:val="00837C97"/>
    <w:rsid w:val="00845A38"/>
    <w:rsid w:val="00863C20"/>
    <w:rsid w:val="0086431E"/>
    <w:rsid w:val="00880723"/>
    <w:rsid w:val="0089676B"/>
    <w:rsid w:val="008A52F2"/>
    <w:rsid w:val="008B2549"/>
    <w:rsid w:val="008D7757"/>
    <w:rsid w:val="008D7CA9"/>
    <w:rsid w:val="008F79D4"/>
    <w:rsid w:val="009061C9"/>
    <w:rsid w:val="009307CC"/>
    <w:rsid w:val="00935BBC"/>
    <w:rsid w:val="00941D0A"/>
    <w:rsid w:val="009517D1"/>
    <w:rsid w:val="009719B0"/>
    <w:rsid w:val="0098502C"/>
    <w:rsid w:val="009A2DDC"/>
    <w:rsid w:val="009D0F50"/>
    <w:rsid w:val="00A17566"/>
    <w:rsid w:val="00A40522"/>
    <w:rsid w:val="00A54F42"/>
    <w:rsid w:val="00A644C2"/>
    <w:rsid w:val="00A84696"/>
    <w:rsid w:val="00B06934"/>
    <w:rsid w:val="00B51CCF"/>
    <w:rsid w:val="00B640B3"/>
    <w:rsid w:val="00BA01AA"/>
    <w:rsid w:val="00BC302B"/>
    <w:rsid w:val="00C04C64"/>
    <w:rsid w:val="00C507E4"/>
    <w:rsid w:val="00C6617B"/>
    <w:rsid w:val="00C85336"/>
    <w:rsid w:val="00C87868"/>
    <w:rsid w:val="00CB222D"/>
    <w:rsid w:val="00CD77EF"/>
    <w:rsid w:val="00D16E1F"/>
    <w:rsid w:val="00D647E0"/>
    <w:rsid w:val="00D86E43"/>
    <w:rsid w:val="00DA194D"/>
    <w:rsid w:val="00DB0C9D"/>
    <w:rsid w:val="00DB38E2"/>
    <w:rsid w:val="00DC1F49"/>
    <w:rsid w:val="00DD1DA7"/>
    <w:rsid w:val="00DF5C44"/>
    <w:rsid w:val="00DF7183"/>
    <w:rsid w:val="00E80CC3"/>
    <w:rsid w:val="00EE4197"/>
    <w:rsid w:val="00F10A82"/>
    <w:rsid w:val="00F54F49"/>
    <w:rsid w:val="00F61F91"/>
    <w:rsid w:val="00F9088C"/>
    <w:rsid w:val="00F916E3"/>
    <w:rsid w:val="00FA2EA8"/>
    <w:rsid w:val="00FC21C7"/>
    <w:rsid w:val="00FC6342"/>
    <w:rsid w:val="00FD5499"/>
    <w:rsid w:val="02F32B56"/>
    <w:rsid w:val="05FB130E"/>
    <w:rsid w:val="072B7F2A"/>
    <w:rsid w:val="08BC7B38"/>
    <w:rsid w:val="0D0567F0"/>
    <w:rsid w:val="0D7E3AFF"/>
    <w:rsid w:val="10260A90"/>
    <w:rsid w:val="10E87F18"/>
    <w:rsid w:val="11345752"/>
    <w:rsid w:val="119D4831"/>
    <w:rsid w:val="125D5D38"/>
    <w:rsid w:val="140334FB"/>
    <w:rsid w:val="15341A54"/>
    <w:rsid w:val="160E259E"/>
    <w:rsid w:val="197A2973"/>
    <w:rsid w:val="1A840C0A"/>
    <w:rsid w:val="2051361B"/>
    <w:rsid w:val="20C0033E"/>
    <w:rsid w:val="293B7BDB"/>
    <w:rsid w:val="2DA61BFF"/>
    <w:rsid w:val="2FD52024"/>
    <w:rsid w:val="37EF39B9"/>
    <w:rsid w:val="39EF41D8"/>
    <w:rsid w:val="439320F2"/>
    <w:rsid w:val="454313DF"/>
    <w:rsid w:val="4559454E"/>
    <w:rsid w:val="46826ECA"/>
    <w:rsid w:val="47200E11"/>
    <w:rsid w:val="4C677226"/>
    <w:rsid w:val="4D8C1D7C"/>
    <w:rsid w:val="4ED765AF"/>
    <w:rsid w:val="50CC366C"/>
    <w:rsid w:val="5274688D"/>
    <w:rsid w:val="53C90AD2"/>
    <w:rsid w:val="576A14F1"/>
    <w:rsid w:val="59054CA9"/>
    <w:rsid w:val="5C735ECB"/>
    <w:rsid w:val="5EC03E77"/>
    <w:rsid w:val="5F5C70D4"/>
    <w:rsid w:val="609E4875"/>
    <w:rsid w:val="60FC3CA7"/>
    <w:rsid w:val="6330596A"/>
    <w:rsid w:val="64DA5735"/>
    <w:rsid w:val="67155394"/>
    <w:rsid w:val="68632EA7"/>
    <w:rsid w:val="6D344F72"/>
    <w:rsid w:val="6F850D4A"/>
    <w:rsid w:val="706C73A7"/>
    <w:rsid w:val="74087332"/>
    <w:rsid w:val="78865B21"/>
    <w:rsid w:val="7D9F11E6"/>
    <w:rsid w:val="9AA70A00"/>
    <w:rsid w:val="FE7FB7D4"/>
    <w:rsid w:val="FFBFBA06"/>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lsdException w:name="heading 3" w:qFormat="1" w:semiHidden="0" w:uiPriority="0" w:unhideWhenUsed="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qFormat="1" w:semiHidden="0" w:uiPriority="39" w:unhideWhenUsed="0"/>
    <w:lsdException w:name="toc 2" w:qFormat="1" w:semiHidden="0" w:uiPriority="39" w:unhideWhenUsed="0"/>
    <w:lsdException w:name="toc 3" w:qFormat="1" w:semiHidden="0" w:uiPriority="39"/>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qFormat="1" w:semiHidden="0" w:uiPriority="0" w:unhideWhenUsed="0"/>
    <w:lsdException w:name="header" w:qFormat="1" w:semiHidden="0" w:uiPriority="99"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qFormat="1" w:semiHidden="0" w:uiPriority="99"/>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qFormat="1" w:semiHidden="0" w:uiPriority="0" w:unhideWhenUsed="0"/>
    <w:lsdException w:name="line number" w:semiHidden="0" w:uiPriority="0" w:unhideWhenUsed="0"/>
    <w:lsdException w:name="page number" w:qFormat="1"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semiHidden="0" w:uiPriority="0" w:unhideWhenUsed="0"/>
    <w:lsdException w:name="Body Text" w:semiHidden="0" w:uiPriority="0" w:unhideWhenUsed="0"/>
    <w:lsdException w:name="Body Text Indent" w:qFormat="1" w:semiHidden="0" w:uiPriority="99"/>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qFormat="1" w:semiHidden="0" w:uiPriority="99"/>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qFormat="1" w:semiHidden="0" w:uiPriority="99" w:unhideWhenUsed="0"/>
    <w:lsdException w:name="FollowedHyperlink" w:qFormat="1"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qFormat="1" w:semiHidden="0" w:uiPriority="0" w:unhideWhenUsed="0"/>
    <w:lsdException w:name="E-mail Signature" w:semiHidden="0" w:uiPriority="0" w:unhideWhenUsed="0"/>
    <w:lsdException w:name="Normal (Web)" w:qFormat="1"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0" w:unhideWhenUsed="0"/>
    <w:lsdException w:name="annotation subject" w:qFormat="1"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qFormat="1" w:uiPriority="0" w:unhideWhenUsed="0"/>
    <w:lsdException w:name="Table Grid" w:qFormat="1"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pPr>
    <w:rPr>
      <w:rFonts w:ascii="宋体" w:cs="Times New Roman" w:eastAsia="宋体" w:hAnsi="宋体"/>
      <w:color w:val="000000"/>
      <w:kern w:val="2"/>
      <w:sz w:val="24"/>
      <w:szCs w:val="24"/>
      <w:u w:val="none"/>
      <w:lang w:bidi="ar-SA" w:eastAsia="zh-CN" w:val="en-US"/>
    </w:rPr>
  </w:style>
  <w:style w:styleId="2" w:type="paragraph">
    <w:name w:val="heading 1"/>
    <w:basedOn w:val="1"/>
    <w:next w:val="1"/>
    <w:link w:val="32"/>
    <w:qFormat/>
    <w:uiPriority w:val="0"/>
    <w:pPr>
      <w:numPr>
        <w:ilvl w:val="0"/>
        <w:numId w:val="1"/>
      </w:numPr>
      <w:ind w:firstLineChars="0" w:hanging="432" w:left="432"/>
      <w:outlineLvl w:val="0"/>
    </w:pPr>
    <w:rPr>
      <w:rFonts w:ascii="宋体" w:eastAsia="宋体" w:hAnsi="宋体"/>
      <w:b/>
      <w:sz w:val="32"/>
      <w:szCs w:val="32"/>
    </w:rPr>
  </w:style>
  <w:style w:styleId="3" w:type="paragraph">
    <w:name w:val="heading 2"/>
    <w:basedOn w:val="1"/>
    <w:next w:val="1"/>
    <w:autoRedefine/>
    <w:unhideWhenUsed/>
    <w:qFormat/>
    <w:uiPriority w:val="0"/>
    <w:pPr>
      <w:numPr>
        <w:ilvl w:val="1"/>
        <w:numId w:val="1"/>
      </w:numPr>
      <w:ind w:firstLineChars="0" w:hanging="575" w:left="575"/>
      <w:outlineLvl w:val="1"/>
    </w:pPr>
    <w:rPr>
      <w:rFonts w:eastAsia="宋体"/>
      <w:b/>
      <w:sz w:val="28"/>
      <w:szCs w:val="28"/>
    </w:rPr>
  </w:style>
  <w:style w:styleId="4" w:type="paragraph">
    <w:name w:val="heading 3"/>
    <w:basedOn w:val="1"/>
    <w:next w:val="1"/>
    <w:qFormat/>
    <w:uiPriority w:val="0"/>
    <w:pPr>
      <w:numPr>
        <w:ilvl w:val="2"/>
        <w:numId w:val="1"/>
      </w:numPr>
      <w:ind w:firstLineChars="0" w:hanging="720" w:left="720"/>
      <w:outlineLvl w:val="2"/>
    </w:pPr>
    <w:rPr>
      <w:rFonts w:eastAsia="宋体"/>
      <w:b/>
    </w:rPr>
  </w:style>
  <w:style w:styleId="5" w:type="paragraph">
    <w:name w:val="heading 4"/>
    <w:basedOn w:val="1"/>
    <w:next w:val="1"/>
    <w:autoRedefine/>
    <w:semiHidden/>
    <w:unhideWhenUsed/>
    <w:qFormat/>
    <w:uiPriority w:val="0"/>
    <w:pPr>
      <w:keepNext/>
      <w:keepLines/>
      <w:numPr>
        <w:ilvl w:val="3"/>
        <w:numId w:val="1"/>
      </w:numPr>
      <w:spacing w:after="290" w:afterAutospacing="0" w:afterLines="0" w:before="280" w:beforeAutospacing="0" w:beforeLines="0" w:line="372" w:lineRule="auto"/>
      <w:ind w:firstLineChars="0" w:hanging="864" w:left="864"/>
      <w:outlineLvl w:val="3"/>
    </w:pPr>
    <w:rPr>
      <w:rFonts w:ascii="Arial" w:eastAsia="黑体" w:hAnsi="Arial"/>
      <w:b/>
      <w:sz w:val="28"/>
    </w:rPr>
  </w:style>
  <w:style w:styleId="6" w:type="paragraph">
    <w:name w:val="heading 5"/>
    <w:basedOn w:val="1"/>
    <w:next w:val="1"/>
    <w:semiHidden/>
    <w:unhideWhenUsed/>
    <w:qFormat/>
    <w:uiPriority w:val="0"/>
    <w:pPr>
      <w:keepNext/>
      <w:keepLines/>
      <w:numPr>
        <w:ilvl w:val="4"/>
        <w:numId w:val="1"/>
      </w:numPr>
      <w:spacing w:after="290" w:afterAutospacing="0" w:afterLines="0" w:before="280" w:beforeAutospacing="0" w:beforeLines="0" w:line="372" w:lineRule="auto"/>
      <w:ind w:firstLineChars="0" w:hanging="1008" w:left="1008"/>
      <w:outlineLvl w:val="4"/>
    </w:pPr>
    <w:rPr>
      <w:b/>
      <w:sz w:val="28"/>
    </w:rPr>
  </w:style>
  <w:style w:styleId="7" w:type="paragraph">
    <w:name w:val="heading 6"/>
    <w:basedOn w:val="1"/>
    <w:next w:val="1"/>
    <w:semiHidden/>
    <w:unhideWhenUsed/>
    <w:qFormat/>
    <w:uiPriority w:val="0"/>
    <w:pPr>
      <w:keepNext/>
      <w:keepLines/>
      <w:numPr>
        <w:ilvl w:val="5"/>
        <w:numId w:val="1"/>
      </w:numPr>
      <w:spacing w:after="64" w:afterAutospacing="0" w:afterLines="0" w:before="240" w:beforeAutospacing="0" w:beforeLines="0" w:line="317" w:lineRule="auto"/>
      <w:ind w:firstLineChars="0" w:hanging="1151" w:left="1151"/>
      <w:outlineLvl w:val="5"/>
    </w:pPr>
    <w:rPr>
      <w:rFonts w:ascii="Arial" w:eastAsia="黑体" w:hAnsi="Arial"/>
      <w:b/>
      <w:sz w:val="24"/>
    </w:rPr>
  </w:style>
  <w:style w:styleId="8" w:type="paragraph">
    <w:name w:val="heading 7"/>
    <w:basedOn w:val="1"/>
    <w:next w:val="1"/>
    <w:semiHidden/>
    <w:unhideWhenUsed/>
    <w:qFormat/>
    <w:uiPriority w:val="0"/>
    <w:pPr>
      <w:keepNext/>
      <w:keepLines/>
      <w:numPr>
        <w:ilvl w:val="6"/>
        <w:numId w:val="1"/>
      </w:numPr>
      <w:spacing w:after="64" w:afterAutospacing="0" w:afterLines="0" w:before="240" w:beforeAutospacing="0" w:beforeLines="0" w:line="317" w:lineRule="auto"/>
      <w:ind w:firstLineChars="0" w:hanging="1296" w:left="1296"/>
      <w:outlineLvl w:val="6"/>
    </w:pPr>
    <w:rPr>
      <w:b/>
      <w:sz w:val="24"/>
    </w:rPr>
  </w:style>
  <w:style w:styleId="9" w:type="paragraph">
    <w:name w:val="heading 8"/>
    <w:basedOn w:val="1"/>
    <w:next w:val="1"/>
    <w:semiHidden/>
    <w:unhideWhenUsed/>
    <w:qFormat/>
    <w:uiPriority w:val="0"/>
    <w:pPr>
      <w:keepNext/>
      <w:keepLines/>
      <w:numPr>
        <w:ilvl w:val="7"/>
        <w:numId w:val="1"/>
      </w:numPr>
      <w:spacing w:after="64" w:afterAutospacing="0" w:afterLines="0" w:before="240" w:beforeAutospacing="0" w:beforeLines="0" w:line="317" w:lineRule="auto"/>
      <w:ind w:firstLineChars="0" w:hanging="1440" w:left="1440"/>
      <w:outlineLvl w:val="7"/>
    </w:pPr>
    <w:rPr>
      <w:rFonts w:ascii="Arial" w:eastAsia="黑体" w:hAnsi="Arial"/>
      <w:sz w:val="24"/>
    </w:rPr>
  </w:style>
  <w:style w:styleId="10" w:type="paragraph">
    <w:name w:val="heading 9"/>
    <w:basedOn w:val="1"/>
    <w:next w:val="1"/>
    <w:semiHidden/>
    <w:unhideWhenUsed/>
    <w:qFormat/>
    <w:uiPriority w:val="0"/>
    <w:pPr>
      <w:keepNext/>
      <w:keepLines/>
      <w:numPr>
        <w:ilvl w:val="8"/>
        <w:numId w:val="1"/>
      </w:numPr>
      <w:spacing w:after="64" w:afterAutospacing="0" w:afterLines="0" w:before="240" w:beforeAutospacing="0" w:beforeLines="0" w:line="317" w:lineRule="auto"/>
      <w:ind w:firstLineChars="0" w:hanging="1583" w:left="1583"/>
      <w:outlineLvl w:val="8"/>
    </w:pPr>
    <w:rPr>
      <w:rFonts w:ascii="Arial" w:eastAsia="黑体" w:hAnsi="Arial"/>
      <w:sz w:val="21"/>
    </w:rPr>
  </w:style>
  <w:style w:default="1" w:styleId="11" w:type="character">
    <w:name w:val="Default Paragraph Font"/>
    <w:qFormat/>
    <w:uiPriority w:val="0"/>
  </w:style>
  <w:style w:default="1" w:styleId="12" w:type="table">
    <w:name w:val="Normal Table"/>
    <w:semiHidden/>
    <w:qFormat/>
    <w:uiPriority w:val="0"/>
    <w:tblPr>
      <w:tblCellMar>
        <w:top w:type="dxa" w:w="0"/>
        <w:left w:type="dxa" w:w="108"/>
        <w:bottom w:type="dxa" w:w="0"/>
        <w:right w:type="dxa" w:w="108"/>
      </w:tblCellMar>
    </w:tblPr>
  </w:style>
  <w:style w:styleId="13" w:type="paragraph">
    <w:name w:val="Balloon Text"/>
    <w:basedOn w:val="1"/>
    <w:semiHidden/>
    <w:qFormat/>
    <w:uiPriority w:val="0"/>
    <w:rPr>
      <w:sz w:val="18"/>
      <w:szCs w:val="18"/>
    </w:rPr>
  </w:style>
  <w:style w:styleId="14" w:type="paragraph">
    <w:name w:val="Body Text Indent"/>
    <w:basedOn w:val="1"/>
    <w:unhideWhenUsed/>
    <w:qFormat/>
    <w:uiPriority w:val="99"/>
    <w:pPr>
      <w:spacing w:after="120"/>
      <w:ind w:left="420" w:leftChars="200"/>
    </w:pPr>
  </w:style>
  <w:style w:styleId="15" w:type="paragraph">
    <w:name w:val="Body Text First Indent 2"/>
    <w:basedOn w:val="14"/>
    <w:unhideWhenUsed/>
    <w:qFormat/>
    <w:uiPriority w:val="99"/>
    <w:pPr>
      <w:ind w:left="0" w:leftChars="0"/>
    </w:pPr>
    <w:rPr>
      <w:sz w:val="24"/>
    </w:rPr>
  </w:style>
  <w:style w:styleId="16" w:type="paragraph">
    <w:name w:val="caption"/>
    <w:basedOn w:val="1"/>
    <w:next w:val="1"/>
    <w:link w:val="55"/>
    <w:qFormat/>
    <w:uiPriority w:val="0"/>
    <w:pPr>
      <w:spacing w:line="312" w:lineRule="auto"/>
      <w:ind w:firstLine="0" w:firstLineChars="0"/>
      <w:jc w:val="center"/>
    </w:pPr>
    <w:rPr>
      <w:rFonts w:cs="宋体"/>
      <w:b/>
      <w:bCs/>
    </w:rPr>
  </w:style>
  <w:style w:styleId="17" w:type="character">
    <w:name w:val="annotation reference"/>
    <w:qFormat/>
    <w:uiPriority w:val="0"/>
    <w:rPr>
      <w:sz w:val="21"/>
      <w:szCs w:val="21"/>
    </w:rPr>
  </w:style>
  <w:style w:styleId="18" w:type="paragraph">
    <w:name w:val="annotation text"/>
    <w:basedOn w:val="1"/>
    <w:link w:val="33"/>
    <w:qFormat/>
    <w:uiPriority w:val="0"/>
    <w:pPr>
      <w:jc w:val="left"/>
    </w:pPr>
  </w:style>
  <w:style w:styleId="19" w:type="paragraph">
    <w:name w:val="annotation subject"/>
    <w:basedOn w:val="18"/>
    <w:next w:val="18"/>
    <w:link w:val="37"/>
    <w:qFormat/>
    <w:uiPriority w:val="0"/>
    <w:rPr>
      <w:b/>
      <w:bCs/>
    </w:rPr>
  </w:style>
  <w:style w:styleId="20" w:type="character">
    <w:name w:val="FollowedHyperlink"/>
    <w:qFormat/>
    <w:uiPriority w:val="0"/>
    <w:rPr>
      <w:color w:val="800080"/>
      <w:u w:val="single"/>
    </w:rPr>
  </w:style>
  <w:style w:styleId="21" w:type="paragraph">
    <w:name w:val="footer"/>
    <w:basedOn w:val="1"/>
    <w:link w:val="35"/>
    <w:qFormat/>
    <w:uiPriority w:val="99"/>
    <w:pPr>
      <w:tabs>
        <w:tab w:pos="4153" w:val="center"/>
        <w:tab w:pos="8306" w:val="right"/>
      </w:tabs>
      <w:snapToGrid w:val="0"/>
      <w:jc w:val="left"/>
    </w:pPr>
    <w:rPr>
      <w:sz w:val="18"/>
      <w:szCs w:val="18"/>
    </w:rPr>
  </w:style>
  <w:style w:styleId="22" w:type="paragraph">
    <w:name w:val="header"/>
    <w:basedOn w:val="1"/>
    <w:link w:val="36"/>
    <w:qFormat/>
    <w:uiPriority w:val="99"/>
    <w:pPr>
      <w:pBdr>
        <w:bottom w:color="auto" w:space="1" w:sz="6" w:val="single"/>
      </w:pBdr>
      <w:tabs>
        <w:tab w:pos="4153" w:val="center"/>
        <w:tab w:pos="8306" w:val="right"/>
      </w:tabs>
      <w:snapToGrid w:val="0"/>
      <w:jc w:val="center"/>
    </w:pPr>
    <w:rPr>
      <w:sz w:val="18"/>
      <w:szCs w:val="18"/>
    </w:rPr>
  </w:style>
  <w:style w:styleId="23" w:type="character">
    <w:name w:val="Hyperlink"/>
    <w:qFormat/>
    <w:uiPriority w:val="99"/>
    <w:rPr>
      <w:color w:val="000000"/>
      <w:u w:val="none"/>
    </w:rPr>
  </w:style>
  <w:style w:styleId="24" w:type="paragraph">
    <w:name w:val="Normal (Web)"/>
    <w:basedOn w:val="1"/>
    <w:qFormat/>
    <w:uiPriority w:val="0"/>
    <w:rPr>
      <w:sz w:val="24"/>
    </w:rPr>
  </w:style>
  <w:style w:styleId="25" w:type="character">
    <w:name w:val="page number"/>
    <w:qFormat/>
    <w:uiPriority w:val="0"/>
  </w:style>
  <w:style w:styleId="26" w:type="paragraph">
    <w:name w:val="Plain Text"/>
    <w:basedOn w:val="1"/>
    <w:link w:val="34"/>
    <w:qFormat/>
    <w:uiPriority w:val="0"/>
    <w:rPr>
      <w:rFonts w:ascii="宋体" w:cs="Courier New" w:hAnsi="Courier New"/>
      <w:szCs w:val="21"/>
    </w:rPr>
  </w:style>
  <w:style w:styleId="27" w:type="table">
    <w:name w:val="Table Grid"/>
    <w:basedOn w:val="12"/>
    <w:qFormat/>
    <w:uiPriority w:val="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8" w:type="paragraph">
    <w:name w:val="table of figures"/>
    <w:basedOn w:val="1"/>
    <w:next w:val="1"/>
    <w:unhideWhenUsed/>
    <w:qFormat/>
    <w:uiPriority w:val="99"/>
    <w:pPr>
      <w:spacing w:line="360" w:lineRule="auto"/>
      <w:ind w:hanging="200" w:hangingChars="200" w:left="200" w:leftChars="200"/>
    </w:pPr>
    <w:rPr>
      <w:sz w:val="24"/>
      <w:szCs w:val="24"/>
    </w:rPr>
  </w:style>
  <w:style w:styleId="29" w:type="paragraph">
    <w:name w:val="toc 1"/>
    <w:basedOn w:val="1"/>
    <w:next w:val="1"/>
    <w:qFormat/>
    <w:uiPriority w:val="39"/>
    <w:pPr>
      <w:tabs>
        <w:tab w:leader="dot" w:pos="8306" w:val="right"/>
      </w:tabs>
      <w:ind w:firstLine="0" w:firstLineChars="0"/>
    </w:pPr>
    <w:rPr>
      <w:rFonts w:ascii="Times New Roman" w:hAnsi="Times New Roman"/>
      <w:sz w:val="21"/>
    </w:rPr>
  </w:style>
  <w:style w:styleId="30" w:type="paragraph">
    <w:name w:val="toc 2"/>
    <w:basedOn w:val="1"/>
    <w:next w:val="1"/>
    <w:qFormat/>
    <w:uiPriority w:val="39"/>
    <w:pPr>
      <w:tabs>
        <w:tab w:leader="dot" w:pos="8306" w:val="right"/>
      </w:tabs>
      <w:ind w:firstLine="0" w:firstLineChars="0" w:left="420" w:leftChars="200"/>
    </w:pPr>
    <w:rPr>
      <w:rFonts w:ascii="宋体" w:cs="宋体" w:eastAsia="宋体" w:hAnsi="宋体"/>
    </w:rPr>
  </w:style>
  <w:style w:styleId="31" w:type="paragraph">
    <w:name w:val="toc 3"/>
    <w:basedOn w:val="1"/>
    <w:next w:val="1"/>
    <w:unhideWhenUsed/>
    <w:qFormat/>
    <w:uiPriority w:val="39"/>
    <w:pPr>
      <w:tabs>
        <w:tab w:leader="dot" w:pos="8306" w:val="right"/>
      </w:tabs>
      <w:ind w:firstLine="0" w:firstLineChars="0" w:left="960" w:leftChars="400"/>
    </w:pPr>
    <w:rPr>
      <w:rFonts w:ascii="宋体" w:cs="宋体" w:eastAsia="宋体" w:hAnsi="宋体"/>
      <w:szCs w:val="21"/>
    </w:rPr>
  </w:style>
  <w:style w:customStyle="1" w:styleId="32" w:type="character">
    <w:name w:val="标题 1 字符"/>
    <w:link w:val="2"/>
    <w:qFormat/>
    <w:uiPriority w:val="0"/>
    <w:rPr>
      <w:rFonts w:ascii="宋体" w:cs="Times New Roman" w:eastAsia="宋体" w:hAnsi="宋体"/>
      <w:b/>
      <w:color w:val="000000"/>
      <w:kern w:val="2"/>
      <w:sz w:val="32"/>
      <w:szCs w:val="32"/>
      <w:u w:val="none"/>
      <w:lang w:bidi="ar-SA" w:eastAsia="zh-CN" w:val="en-US"/>
    </w:rPr>
  </w:style>
  <w:style w:customStyle="1" w:styleId="33" w:type="character">
    <w:name w:val="批注文字 字符"/>
    <w:link w:val="18"/>
    <w:qFormat/>
    <w:uiPriority w:val="0"/>
    <w:rPr>
      <w:kern w:val="2"/>
      <w:sz w:val="21"/>
    </w:rPr>
  </w:style>
  <w:style w:customStyle="1" w:styleId="34" w:type="character">
    <w:name w:val="纯文本 字符1"/>
    <w:link w:val="26"/>
    <w:qFormat/>
    <w:uiPriority w:val="0"/>
    <w:rPr>
      <w:rFonts w:ascii="宋体" w:cs="Courier New" w:hAnsi="Courier New"/>
      <w:kern w:val="2"/>
      <w:sz w:val="21"/>
      <w:szCs w:val="21"/>
    </w:rPr>
  </w:style>
  <w:style w:customStyle="1" w:styleId="35" w:type="character">
    <w:name w:val="页脚 字符"/>
    <w:link w:val="21"/>
    <w:qFormat/>
    <w:uiPriority w:val="99"/>
    <w:rPr>
      <w:kern w:val="2"/>
      <w:sz w:val="18"/>
      <w:szCs w:val="18"/>
    </w:rPr>
  </w:style>
  <w:style w:customStyle="1" w:styleId="36" w:type="character">
    <w:name w:val="页眉 字符"/>
    <w:link w:val="22"/>
    <w:qFormat/>
    <w:uiPriority w:val="99"/>
    <w:rPr>
      <w:kern w:val="2"/>
      <w:sz w:val="18"/>
      <w:szCs w:val="18"/>
    </w:rPr>
  </w:style>
  <w:style w:customStyle="1" w:styleId="37" w:type="character">
    <w:name w:val="批注主题 字符"/>
    <w:link w:val="19"/>
    <w:qFormat/>
    <w:uiPriority w:val="0"/>
    <w:rPr>
      <w:b/>
      <w:bCs/>
      <w:kern w:val="2"/>
      <w:sz w:val="21"/>
    </w:rPr>
  </w:style>
  <w:style w:customStyle="1" w:styleId="38" w:type="paragraph">
    <w:name w:val="xl64"/>
    <w:basedOn w:val="1"/>
    <w:qFormat/>
    <w:uiPriority w:val="0"/>
    <w:pPr>
      <w:widowControl/>
      <w:spacing w:after="100" w:afterAutospacing="1" w:before="100" w:beforeAutospacing="1"/>
      <w:jc w:val="center"/>
    </w:pPr>
    <w:rPr>
      <w:rFonts w:ascii="宋体" w:cs="宋体" w:hAnsi="宋体"/>
      <w:kern w:val="0"/>
      <w:sz w:val="24"/>
      <w:szCs w:val="24"/>
    </w:rPr>
  </w:style>
  <w:style w:customStyle="1" w:styleId="39" w:type="paragraph">
    <w:name w:val="xl67"/>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kern w:val="0"/>
      <w:sz w:val="20"/>
    </w:rPr>
  </w:style>
  <w:style w:customStyle="1" w:styleId="40" w:type="paragraph">
    <w:name w:val="xl65"/>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b/>
      <w:bCs/>
      <w:kern w:val="0"/>
      <w:sz w:val="20"/>
    </w:rPr>
  </w:style>
  <w:style w:customStyle="1" w:styleId="41" w:type="paragraph">
    <w:name w:val="xl69"/>
    <w:basedOn w:val="1"/>
    <w:qFormat/>
    <w:uiPriority w:val="0"/>
    <w:pPr>
      <w:widowControl/>
      <w:spacing w:after="100" w:afterAutospacing="1" w:before="100" w:beforeAutospacing="1"/>
      <w:jc w:val="left"/>
    </w:pPr>
    <w:rPr>
      <w:rFonts w:ascii="宋体" w:cs="宋体" w:hAnsi="宋体"/>
      <w:kern w:val="0"/>
      <w:sz w:val="24"/>
      <w:szCs w:val="24"/>
    </w:rPr>
  </w:style>
  <w:style w:customStyle="1" w:styleId="42" w:type="paragraph">
    <w:name w:val="xl70"/>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left"/>
    </w:pPr>
    <w:rPr>
      <w:rFonts w:ascii="宋体" w:cs="宋体" w:hAnsi="宋体"/>
      <w:kern w:val="0"/>
      <w:sz w:val="20"/>
    </w:rPr>
  </w:style>
  <w:style w:customStyle="1" w:styleId="43" w:type="paragraph">
    <w:name w:val="xl66"/>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b/>
      <w:bCs/>
      <w:kern w:val="0"/>
      <w:sz w:val="20"/>
    </w:rPr>
  </w:style>
  <w:style w:customStyle="1" w:styleId="44" w:type="paragraph">
    <w:name w:val="xl63"/>
    <w:basedOn w:val="1"/>
    <w:qFormat/>
    <w:uiPriority w:val="0"/>
    <w:pPr>
      <w:widowControl/>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宋体" w:cs="宋体" w:hAnsi="宋体"/>
      <w:kern w:val="0"/>
      <w:sz w:val="20"/>
    </w:rPr>
  </w:style>
  <w:style w:customStyle="1" w:styleId="45" w:type="paragraph">
    <w:name w:val="font6"/>
    <w:basedOn w:val="1"/>
    <w:qFormat/>
    <w:uiPriority w:val="0"/>
    <w:pPr>
      <w:widowControl/>
      <w:spacing w:after="100" w:afterAutospacing="1" w:before="100" w:beforeAutospacing="1"/>
      <w:jc w:val="left"/>
    </w:pPr>
    <w:rPr>
      <w:rFonts w:ascii="宋体" w:cs="宋体" w:hAnsi="宋体"/>
      <w:kern w:val="0"/>
      <w:sz w:val="18"/>
      <w:szCs w:val="18"/>
    </w:rPr>
  </w:style>
  <w:style w:customStyle="1" w:styleId="46" w:type="paragraph">
    <w:name w:val="xl68"/>
    <w:basedOn w:val="1"/>
    <w:qFormat/>
    <w:uiPriority w:val="0"/>
    <w:pPr>
      <w:widowControl/>
      <w:pBdr>
        <w:bottom w:color="auto" w:space="0" w:sz="4" w:val="single"/>
      </w:pBdr>
      <w:spacing w:after="100" w:afterAutospacing="1" w:before="100" w:beforeAutospacing="1"/>
      <w:jc w:val="center"/>
    </w:pPr>
    <w:rPr>
      <w:rFonts w:ascii="宋体" w:cs="宋体" w:hAnsi="宋体"/>
      <w:b/>
      <w:bCs/>
      <w:kern w:val="0"/>
      <w:sz w:val="36"/>
      <w:szCs w:val="36"/>
    </w:rPr>
  </w:style>
  <w:style w:customStyle="1" w:styleId="47" w:type="paragraph">
    <w:name w:val="段"/>
    <w:qFormat/>
    <w:uiPriority w:val="0"/>
    <w:pPr>
      <w:autoSpaceDE w:val="0"/>
      <w:autoSpaceDN w:val="0"/>
      <w:ind w:firstLine="200" w:firstLineChars="200"/>
      <w:jc w:val="both"/>
    </w:pPr>
    <w:rPr>
      <w:rFonts w:ascii="宋体" w:cs="宋体" w:eastAsia="宋体" w:hAnsi="Times New Roman"/>
      <w:szCs w:val="21"/>
      <w:lang w:bidi="ar-SA" w:eastAsia="zh-CN" w:val="en-US"/>
    </w:rPr>
  </w:style>
  <w:style w:customStyle="1" w:styleId="48" w:type="paragraph">
    <w:name w:val="font5"/>
    <w:basedOn w:val="1"/>
    <w:qFormat/>
    <w:uiPriority w:val="0"/>
    <w:pPr>
      <w:widowControl/>
      <w:spacing w:after="100" w:afterAutospacing="1" w:before="100" w:beforeAutospacing="1"/>
      <w:jc w:val="left"/>
    </w:pPr>
    <w:rPr>
      <w:rFonts w:ascii="宋体" w:cs="宋体" w:hAnsi="宋体"/>
      <w:kern w:val="0"/>
      <w:sz w:val="18"/>
      <w:szCs w:val="18"/>
    </w:rPr>
  </w:style>
  <w:style w:customStyle="1" w:styleId="49" w:type="character">
    <w:name w:val="纯文本 字符"/>
    <w:qFormat/>
    <w:uiPriority w:val="0"/>
    <w:rPr>
      <w:rFonts w:ascii="宋体" w:cs="Courier New" w:hAnsi="Courier New"/>
      <w:kern w:val="2"/>
      <w:sz w:val="21"/>
      <w:szCs w:val="21"/>
    </w:rPr>
  </w:style>
  <w:style w:customStyle="1" w:styleId="50" w:type="paragraph">
    <w:name w:val="TOC Heading"/>
    <w:basedOn w:val="2"/>
    <w:next w:val="1"/>
    <w:qFormat/>
    <w:uiPriority w:val="39"/>
    <w:pPr>
      <w:widowControl/>
      <w:spacing w:after="0" w:before="240" w:line="259" w:lineRule="auto"/>
      <w:jc w:val="left"/>
      <w:outlineLvl w:val="9"/>
    </w:pPr>
    <w:rPr>
      <w:rFonts w:ascii="等线 Light" w:eastAsia="等线 Light" w:hAnsi="等线 Light"/>
      <w:b w:val="0"/>
      <w:color w:val="2F5496"/>
      <w:kern w:val="0"/>
      <w:sz w:val="32"/>
      <w:szCs w:val="32"/>
    </w:rPr>
  </w:style>
  <w:style w:customStyle="1" w:styleId="51" w:type="paragraph">
    <w:name w:val="WPSOffice手动目录 1"/>
    <w:qFormat/>
    <w:uiPriority w:val="0"/>
    <w:rPr>
      <w:rFonts w:ascii="Times New Roman" w:cs="Times New Roman" w:eastAsia="宋体" w:hAnsi="Times New Roman"/>
      <w:lang w:bidi="ar-SA" w:eastAsia="zh-CN" w:val="en-US"/>
    </w:rPr>
  </w:style>
  <w:style w:customStyle="1" w:styleId="52" w:type="paragraph">
    <w:name w:val="WPSOffice手动目录 2"/>
    <w:qFormat/>
    <w:uiPriority w:val="0"/>
    <w:pPr>
      <w:ind w:leftChars="200"/>
    </w:pPr>
    <w:rPr>
      <w:rFonts w:ascii="Times New Roman" w:cs="Times New Roman" w:eastAsia="宋体" w:hAnsi="Times New Roman"/>
      <w:lang w:bidi="ar-SA" w:eastAsia="zh-CN" w:val="en-US"/>
    </w:rPr>
  </w:style>
  <w:style w:customStyle="1" w:styleId="53" w:type="paragraph">
    <w:name w:val="Table Paragraph"/>
    <w:basedOn w:val="1"/>
    <w:qFormat/>
    <w:uiPriority w:val="1"/>
    <w:rPr>
      <w:rFonts w:ascii="宋体" w:cs="宋体" w:eastAsia="宋体" w:hAnsi="宋体"/>
      <w:lang w:bidi="zh-CN" w:eastAsia="zh-CN" w:val="zh-CN"/>
    </w:rPr>
  </w:style>
  <w:style w:customStyle="1" w:styleId="54" w:type="paragraph">
    <w:name w:val="图表"/>
    <w:basedOn w:val="1"/>
    <w:qFormat/>
    <w:uiPriority w:val="0"/>
    <w:pPr>
      <w:ind w:firstLine="0" w:firstLineChars="0"/>
      <w:jc w:val="center"/>
    </w:pPr>
    <w:rPr>
      <w:rFonts w:ascii="Times" w:eastAsia="宋体" w:hAnsi="Times"/>
      <w:bCs/>
      <w:szCs w:val="32"/>
    </w:rPr>
  </w:style>
  <w:style w:customStyle="1" w:styleId="55" w:type="character">
    <w:name w:val="题注 Char"/>
    <w:link w:val="16"/>
    <w:qFormat/>
    <w:uiPriority w:val="0"/>
    <w:rPr>
      <w:rFonts w:ascii="宋体" w:cs="宋体" w:eastAsia="宋体" w:hAnsi="宋体"/>
      <w:b/>
      <w:bCs/>
      <w:color w:val="000000"/>
      <w:kern w:val="2"/>
      <w:sz w:val="24"/>
      <w:szCs w:val="24"/>
      <w:u w:val="none"/>
      <w:lang w:bidi="ar-SA" w:eastAsia="zh-CN" w:val="en-US"/>
    </w:rPr>
  </w:style>
  <w:style w:customStyle="1" w:styleId="56" w:type="paragraph">
    <w:name w:val="参考文献"/>
    <w:basedOn w:val="1"/>
    <w:qFormat/>
    <w:uiPriority w:val="0"/>
    <w:pPr>
      <w:numPr>
        <w:ilvl w:val="0"/>
        <w:numId w:val="2"/>
      </w:numPr>
      <w:ind w:firstLineChars="0" w:hanging="420" w:left="420" w:right="178" w:rightChars="74"/>
    </w:pPr>
    <w:rPr>
      <w:rFonts w:ascii="宋体" w:cs="宋体" w:eastAsia="宋体" w:hAnsi="宋体"/>
    </w:rPr>
  </w:style>
  <w:style w:styleId="57" w:type="paragraph">
    <w:name w:val="List Paragraph"/>
    <w:basedOn w:val="1"/>
    <w:unhideWhenUsed/>
    <w:qFormat/>
    <w:uiPriority w:val="99"/>
    <w:pPr>
      <w:ind w:firstLine="420" w:firstLineChars="2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4" Target="numbering.xml" /><Relationship Type="http://schemas.openxmlformats.org/officeDocument/2006/relationships/styles" Id="rId53" Target="styles.xml" /><Relationship Type="http://schemas.openxmlformats.org/officeDocument/2006/relationships/settings" Id="rId52" Target="settings.xml" /><Relationship Type="http://schemas.openxmlformats.org/officeDocument/2006/relationships/webSettings" Id="rId51" Target="webSettings.xml" /><Relationship Type="http://schemas.openxmlformats.org/officeDocument/2006/relationships/fontTable" Id="rId50" Target="fontTable.xml" /><Relationship Type="http://schemas.openxmlformats.org/officeDocument/2006/relationships/theme" Id="rId49" Target="theme/theme1.xml" /><Relationship Type="http://schemas.openxmlformats.org/officeDocument/2006/relationships/footnotes" Id="rId48" Target="footnotes.xml" /><Relationship Type="http://schemas.openxmlformats.org/officeDocument/2006/relationships/comments" Id="rId47" Target="comments.xml" /><Relationship Id="rId9" Target="footer4.xml" Type="http://schemas.openxmlformats.org/officeDocument/2006/relationships/footer" /><Relationship Id="rId8" Target="footer3.xml" Type="http://schemas.openxmlformats.org/officeDocument/2006/relationships/footer" /><Relationship Id="rId7" Target="footer2.xml" Type="http://schemas.openxmlformats.org/officeDocument/2006/relationships/footer" /><Relationship Id="rId6" Target="footer1.xml" Type="http://schemas.openxmlformats.org/officeDocument/2006/relationships/footer" /><Relationship Id="rId5" Target="header1.xml" Type="http://schemas.openxmlformats.org/officeDocument/2006/relationships/header" /><Relationship Id="rId19" Target="media/image8.png" Type="http://schemas.openxmlformats.org/officeDocument/2006/relationships/image" /><Relationship Id="rId18" Target="media/image7.png" Type="http://schemas.openxmlformats.org/officeDocument/2006/relationships/image" /><Relationship Id="rId17" Target="media/image6.png" Type="http://schemas.openxmlformats.org/officeDocument/2006/relationships/image" /><Relationship Id="rId16" Target="media/image5.png" Type="http://schemas.openxmlformats.org/officeDocument/2006/relationships/image" /><Relationship Id="rId15" Target="media/image4.png" Type="http://schemas.openxmlformats.org/officeDocument/2006/relationships/image" /><Relationship Id="rId14" Target="media/image3.png" Type="http://schemas.openxmlformats.org/officeDocument/2006/relationships/image" /><Relationship Id="rId13" Target="media/image2.png" Type="http://schemas.openxmlformats.org/officeDocument/2006/relationships/image" /><Relationship Id="rId12" Target="media/image1.png" Type="http://schemas.openxmlformats.org/officeDocument/2006/relationships/image" /><Relationship Id="rId10" Target="footer5.xml" Type="http://schemas.openxmlformats.org/officeDocument/2006/relationships/footer" /><Relationship Id="rId23" Target="media/image9.png" Type="http://schemas.openxmlformats.org/officeDocument/2006/relationships/image" /><Relationship Id="rId24" Target="media/image10.png" Type="http://schemas.openxmlformats.org/officeDocument/2006/relationships/image" /><Relationship Id="rId25" Target="media/image11.png" Type="http://schemas.openxmlformats.org/officeDocument/2006/relationships/image" /><Relationship Id="rId26" Target="media/image12.png" Type="http://schemas.openxmlformats.org/officeDocument/2006/relationships/image" /><Relationship Id="rId27" Target="media/image13.png" Type="http://schemas.openxmlformats.org/officeDocument/2006/relationships/image" /><Relationship Id="rId28" Target="media/image14.png" Type="http://schemas.openxmlformats.org/officeDocument/2006/relationships/image" /><Relationship Id="rId29" Target="media/image15.png" Type="http://schemas.openxmlformats.org/officeDocument/2006/relationships/image" /><Relationship Id="rId30" Target="media/image16.png" Type="http://schemas.openxmlformats.org/officeDocument/2006/relationships/image" /><Relationship Id="rId31" Target="media/image17.png" Type="http://schemas.openxmlformats.org/officeDocument/2006/relationships/image" /><Relationship Id="rId32" Target="media/image18.png" Type="http://schemas.openxmlformats.org/officeDocument/2006/relationships/image" /><Relationship Id="rId33" Target="media/image19.png" Type="http://schemas.openxmlformats.org/officeDocument/2006/relationships/image" /><Relationship Id="rId34" Target="media/image20.png" Type="http://schemas.openxmlformats.org/officeDocument/2006/relationships/image" /><Relationship Id="rId35" Target="media/image21.png" Type="http://schemas.openxmlformats.org/officeDocument/2006/relationships/image" /><Relationship Id="rId36" Target="media/image22.png" Type="http://schemas.openxmlformats.org/officeDocument/2006/relationships/image" /><Relationship Id="rId37" Target="media/image23.png" Type="http://schemas.openxmlformats.org/officeDocument/2006/relationships/image" /><Relationship Id="rId38" Target="media/image24.png" Type="http://schemas.openxmlformats.org/officeDocument/2006/relationships/image" /><Relationship Id="rId39" Target="media/image25.png" Type="http://schemas.openxmlformats.org/officeDocument/2006/relationships/image" /><Relationship Id="rId40" Target="media/image26.png" Type="http://schemas.openxmlformats.org/officeDocument/2006/relationships/image" /><Relationship Id="rId41" Target="media/image27.png" Type="http://schemas.openxmlformats.org/officeDocument/2006/relationships/image" /><Relationship Id="rId42" Target="media/image28.png" Type="http://schemas.openxmlformats.org/officeDocument/2006/relationships/image" /><Relationship Id="rId43" Target="media/image29.png" Type="http://schemas.openxmlformats.org/officeDocument/2006/relationships/image" /><Relationship Id="rId44" Target="media/image30.png" Type="http://schemas.openxmlformats.org/officeDocument/2006/relationships/image" /><Relationship Id="rId45" Target="media/image31.png" Type="http://schemas.openxmlformats.org/officeDocument/2006/relationships/image" /><Relationship Id="rId46" Target="media/image32.png" Type="http://schemas.openxmlformats.org/officeDocument/2006/relationships/image" /><Relationship Type="http://schemas.openxmlformats.org/officeDocument/2006/relationships/image" Id="rId83" Target="media/rId83.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50</Pages>
  <Words>4987</Words>
  <Characters>5469</Characters>
  <Lines>27</Lines>
  <Paragraphs>7</Paragraphs>
  <TotalTime>0</TotalTime>
  <ScaleCrop>false</ScaleCrop>
  <LinksUpToDate>false</LinksUpToDate>
  <CharactersWithSpaces>5865</CharactersWithSpaces>
  <Application>WPS Office_12.1.2.26885_F1E327BC-269C-435d-A152-05C5408002CA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2026-08-09T15:07:11Z</dcterms:created>
  <dcterms:modified xsi:type="dcterms:W3CDTF">2026-08-09T15:07:11Z</dcterms:modified>
</cp:coreProperties>
</file>

<file path=docProps/custom.xml><?xml version="1.0" encoding="utf-8"?>
<Properties xmlns="http://schemas.openxmlformats.org/officeDocument/2006/custom-properties" xmlns:vt="http://schemas.openxmlformats.org/officeDocument/2006/docPropsVTypes"/>
</file>