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8="http://schemas.openxmlformats.org/officeDocument/2006/math"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p="http://schemas.openxmlformats.org/drawingml/2006/wordprocessingDrawing" mc:Ignorable="w14 w15 wp14">
  <w:background w:color="FFFFFF"/>
  <w:body>
    <w:p w14:paraId="7F925E00">
      <w:pPr>
        <w:rPr>
          <w:rFonts w:hint="default" w:ascii="Times New Roman" w:hAnsi="Times New Roman" w:eastAsia="黑体" w:cs="Times New Roman"/>
          <w:sz w:val="24"/>
        </w:rPr>
      </w:pPr>
      <w:r>
        <w:rPr>
          <w:rFonts w:hint="default" w:ascii="Times New Roman" w:hAnsi="Times New Roman" w:eastAsia="黑体" w:cs="Times New Roman"/>
          <w:sz w:val="24"/>
        </w:rPr>
        <w:br w:type="page"/>
      </w:r>
    </w:p>
    <w:sdt>
      <w:sdtPr>
        <w:rPr>
          <w:rFonts w:hint="default" w:ascii="Times New Roman" w:hAnsi="Times New Roman" w:eastAsia="宋体" w:cs="Times New Roman"/>
          <w:color w:val="000000"/>
          <w:kern w:val="2"/>
          <w:sz w:val="21"/>
          <w:szCs w:val="24"/>
          <w:u w:val="none"/>
          <w:lang w:val="en-US" w:eastAsia="zh-CN" w:bidi="ar-SA"/>
        </w:rPr>
        <w:id w:val="147471818"/>
        <w15:color w:val="DBDBDB"/>
        <w:docPartObj>
          <w:docPartGallery w:val="Table of Contents"/>
          <w:docPartUnique/>
        </w:docPartObj>
      </w:sdtPr>
      <w:sdtEndPr>
        <w:rPr>
          <w:rFonts w:hint="default" w:ascii="Times New Roman" w:hAnsi="Times New Roman" w:eastAsia="宋体" w:cs="Times New Roman"/>
          <w:color w:val="000000"/>
          <w:kern w:val="2"/>
          <w:sz w:val="24"/>
          <w:szCs w:val="24"/>
          <w:u w:val="none"/>
          <w:lang w:val="en-US" w:eastAsia="zh-CN" w:bidi="ar-SA"/>
        </w:rPr>
      </w:sdtEndPr>
      <w:sdtContent>
        <w:p w14:paraId="196B69E5">
          <w:pPr>
            <w:spacing w:before="0" w:beforeLines="0" w:after="0" w:afterLines="0" w:line="240" w:lineRule="auto"/>
            <w:ind w:left="0" w:leftChars="0" w:right="0" w:rightChars="0" w:firstLine="0" w:firstLineChars="0"/>
            <w:jc w:val="center"/>
            <w:rPr>
              <w:rFonts w:hint="default" w:ascii="Times New Roman" w:hAnsi="Times New Roman" w:cs="Times New Roman"/>
            </w:rPr>
          </w:pPr>
          <w:bookmarkStart w:id="32" w:name="_GoBack"/>
          <w:bookmarkEnd w:id="32"/>
          <w:r>
            <w:rPr>
              <w:rFonts w:hint="default" w:ascii="Times New Roman" w:hAnsi="Times New Roman" w:eastAsia="宋体" w:cs="Times New Roman"/>
              <w:sz w:val="21"/>
            </w:rPr>
            <w:t>目录</w:t>
          </w:r>
        </w:p>
        <w:p w14:paraId="401BF48B">
          <w:pPr>
            <w:pStyle w:val="29"/>
          </w:pPr>
          <w:r>
            <w:rPr>
              <w:rFonts w:hint="default" w:ascii="Times New Roman" w:hAnsi="Times New Roman" w:eastAsia="宋体" w:cs="Times New Roman"/>
              <w:kern w:val="2"/>
              <w:sz w:val="21"/>
              <w:lang w:val="en-US" w:eastAsia="zh-CN" w:bidi="ar-SA"/>
            </w:rPr>
            <w:fldChar w:fldCharType="begin"/>
          </w:r>
          <w:r>
            <w:rPr>
              <w:rFonts w:hint="default" w:ascii="Times New Roman" w:hAnsi="Times New Roman" w:eastAsia="宋体" w:cs="Times New Roman"/>
              <w:kern w:val="2"/>
              <w:sz w:val="21"/>
              <w:lang w:val="en-US" w:eastAsia="zh-CN" w:bidi="ar-SA"/>
            </w:rPr>
            <w:instrText xml:space="preserve">TOC \o "1-3" \h \u </w:instrText>
          </w:r>
          <w:r>
            <w:rPr>
              <w:rFonts w:hint="default" w:ascii="Times New Roman" w:hAnsi="Times New Roman" w:eastAsia="宋体" w:cs="Times New Roman"/>
              <w:kern w:val="2"/>
              <w:sz w:val="21"/>
              <w:lang w:val="en-US" w:eastAsia="zh-CN" w:bidi="ar-SA"/>
            </w:rPr>
            <w:fldChar w:fldCharType="separate"/>
          </w: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_Toc22423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引言</w:t>
          </w:r>
          <w:r>
            <w:tab/>
          </w:r>
          <w:r>
            <w:fldChar w:fldCharType="begin"/>
          </w:r>
          <w:r>
            <w:instrText xml:space="preserve"> PAGEREF _Toc22423 \h </w:instrText>
          </w:r>
          <w:r>
            <w:fldChar w:fldCharType="separate"/>
          </w:r>
          <w:r>
            <w:t>1</w:t>
          </w:r>
          <w:r>
            <w:fldChar w:fldCharType="end"/>
          </w:r>
          <w:r>
            <w:rPr>
              <w:rFonts w:hint="default" w:ascii="Times New Roman" w:hAnsi="Times New Roman" w:eastAsia="宋体" w:cs="Times New Roman"/>
              <w:kern w:val="2"/>
              <w:lang w:val="en-US" w:eastAsia="zh-CN" w:bidi="ar-SA"/>
            </w:rPr>
            <w:fldChar w:fldCharType="end"/>
          </w:r>
        </w:p>
        <w:p w14:paraId="4985829D">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_Toc22886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1. 研究背景与意义</w:t>
          </w:r>
          <w:r>
            <w:tab/>
          </w:r>
          <w:r>
            <w:fldChar w:fldCharType="begin"/>
          </w:r>
          <w:r>
            <w:instrText xml:space="preserve"> PAGEREF _Toc22886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6AA1C36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_Toc8018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rPr>
            <w:t xml:space="preserve">1.1. </w:t>
          </w:r>
          <w:r>
            <w:rPr>
              <w:rFonts w:hint="default" w:ascii="Times New Roman" w:hAnsi="Times New Roman" w:cs="Times New Roman"/>
              <w:szCs w:val="28"/>
              <w:lang w:val="en-US" w:eastAsia="zh-CN"/>
            </w:rPr>
            <w:t>研究背景</w:t>
          </w:r>
          <w:r>
            <w:tab/>
          </w:r>
          <w:r>
            <w:fldChar w:fldCharType="begin"/>
          </w:r>
          <w:r>
            <w:instrText xml:space="preserve"> PAGEREF _Toc8018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5D74BEDC">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_Toc8630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 xml:space="preserve">1.1.1. </w:t>
          </w:r>
          <w:r>
            <w:rPr>
              <w:rFonts w:hint="eastAsia" w:ascii="Times New Roman" w:hAnsi="Times New Roman" w:cs="Times New Roman"/>
              <w:szCs w:val="24"/>
              <w:lang w:val="en-US" w:eastAsia="zh-CN"/>
            </w:rPr>
            <w:t>冶金设施</w:t>
          </w:r>
          <w:r>
            <w:rPr>
              <w:rFonts w:hint="default" w:ascii="Times New Roman" w:hAnsi="Times New Roman" w:cs="Times New Roman"/>
              <w:szCs w:val="24"/>
              <w:lang w:val="en-US" w:eastAsia="zh-CN"/>
            </w:rPr>
            <w:t>分类</w:t>
          </w:r>
          <w:r>
            <w:tab/>
          </w:r>
          <w:r>
            <w:fldChar w:fldCharType="begin"/>
          </w:r>
          <w:r>
            <w:instrText xml:space="preserve"> PAGEREF _Toc8630 \h </w:instrText>
          </w:r>
          <w:r>
            <w:fldChar w:fldCharType="separate"/>
          </w:r>
          <w:r>
            <w:t>2</w:t>
          </w:r>
          <w:r>
            <w:fldChar w:fldCharType="end"/>
          </w:r>
          <w:r>
            <w:rPr>
              <w:rFonts w:hint="default" w:ascii="Times New Roman" w:hAnsi="Times New Roman" w:eastAsia="宋体" w:cs="Times New Roman"/>
              <w:kern w:val="2"/>
              <w:lang w:val="en-US" w:eastAsia="zh-CN" w:bidi="ar-SA"/>
            </w:rPr>
            <w:fldChar w:fldCharType="end"/>
          </w:r>
        </w:p>
        <w:p w14:paraId="3BC41F99">
          <w:pPr>
            <w:pStyle w:val="31"/>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_Toc15233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4"/>
              <w:lang w:val="en-US" w:eastAsia="zh-CN"/>
            </w:rPr>
            <w:t>1.1.2. 热辐射HS与建筑响应特征</w:t>
          </w:r>
          <w:r>
            <w:tab/>
          </w:r>
          <w:r>
            <w:fldChar w:fldCharType="begin"/>
          </w:r>
          <w:r>
            <w:instrText xml:space="preserve"> PAGEREF _Toc15233 \h </w:instrText>
          </w:r>
          <w:r>
            <w:fldChar w:fldCharType="separate"/>
          </w:r>
          <w:r>
            <w:t>3</w:t>
          </w:r>
          <w:r>
            <w:fldChar w:fldCharType="end"/>
          </w:r>
          <w:r>
            <w:rPr>
              <w:rFonts w:hint="default" w:ascii="Times New Roman" w:hAnsi="Times New Roman" w:eastAsia="宋体" w:cs="Times New Roman"/>
              <w:kern w:val="2"/>
              <w:lang w:val="en-US" w:eastAsia="zh-CN" w:bidi="ar-SA"/>
            </w:rPr>
            <w:fldChar w:fldCharType="end"/>
          </w:r>
        </w:p>
        <w:p w14:paraId="6E67F1CF">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_Toc29420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1.2. 研究目标与范围</w:t>
          </w:r>
          <w:r>
            <w:tab/>
          </w:r>
          <w:r>
            <w:fldChar w:fldCharType="begin"/>
          </w:r>
          <w:r>
            <w:instrText xml:space="preserve"> PAGEREF _Toc29420 \h </w:instrText>
          </w:r>
          <w:r>
            <w:fldChar w:fldCharType="separate"/>
          </w:r>
          <w:r>
            <w:t>3</w:t>
          </w:r>
          <w:r>
            <w:fldChar w:fldCharType="end"/>
          </w:r>
          <w:r>
            <w:rPr>
              <w:rFonts w:hint="default" w:ascii="Times New Roman" w:hAnsi="Times New Roman" w:eastAsia="宋体" w:cs="Times New Roman"/>
              <w:kern w:val="2"/>
              <w:lang w:val="en-US" w:eastAsia="zh-CN" w:bidi="ar-SA"/>
            </w:rPr>
            <w:fldChar w:fldCharType="end"/>
          </w:r>
        </w:p>
        <w:p w14:paraId="5D83DBF8">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_Toc18227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2. 数据体系建设</w:t>
          </w:r>
          <w:r>
            <w:tab/>
          </w:r>
          <w:r>
            <w:fldChar w:fldCharType="begin"/>
          </w:r>
          <w:r>
            <w:instrText xml:space="preserve"> PAGEREF _Toc18227 \h </w:instrText>
          </w:r>
          <w:r>
            <w:fldChar w:fldCharType="separate"/>
          </w:r>
          <w:r>
            <w:t>5</w:t>
          </w:r>
          <w:r>
            <w:fldChar w:fldCharType="end"/>
          </w:r>
          <w:r>
            <w:rPr>
              <w:rFonts w:hint="default" w:ascii="Times New Roman" w:hAnsi="Times New Roman" w:eastAsia="宋体" w:cs="Times New Roman"/>
              <w:kern w:val="2"/>
              <w:lang w:val="en-US" w:eastAsia="zh-CN" w:bidi="ar-SA"/>
            </w:rPr>
            <w:fldChar w:fldCharType="end"/>
          </w:r>
        </w:p>
        <w:p w14:paraId="392C7244">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_Toc32761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2.1. 数据组成</w:t>
          </w:r>
          <w:r>
            <w:tab/>
          </w:r>
          <w:r>
            <w:fldChar w:fldCharType="begin"/>
          </w:r>
          <w:r>
            <w:instrText xml:space="preserve"> PAGEREF _Toc32761 \h </w:instrText>
          </w:r>
          <w:r>
            <w:fldChar w:fldCharType="separate"/>
          </w:r>
          <w:r>
            <w:t>5</w:t>
          </w:r>
          <w:r>
            <w:fldChar w:fldCharType="end"/>
          </w:r>
          <w:r>
            <w:rPr>
              <w:rFonts w:hint="default" w:ascii="Times New Roman" w:hAnsi="Times New Roman" w:eastAsia="宋体" w:cs="Times New Roman"/>
              <w:kern w:val="2"/>
              <w:lang w:val="en-US" w:eastAsia="zh-CN" w:bidi="ar-SA"/>
            </w:rPr>
            <w:fldChar w:fldCharType="end"/>
          </w:r>
        </w:p>
        <w:p w14:paraId="20F68EB0">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_Toc1355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2.2. 工况覆盖</w:t>
          </w:r>
          <w:r>
            <w:tab/>
          </w:r>
          <w:r>
            <w:fldChar w:fldCharType="begin"/>
          </w:r>
          <w:r>
            <w:instrText xml:space="preserve"> PAGEREF _Toc1355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35AEFA05">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_Toc13592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28"/>
              <w:lang w:val="en-US" w:eastAsia="zh-CN"/>
            </w:rPr>
            <w:t xml:space="preserve">2.3. </w:t>
          </w:r>
          <w:r>
            <w:rPr>
              <w:rFonts w:hint="eastAsia"/>
            </w:rPr>
            <w:t>设施构型与目标特征覆盖</w:t>
          </w:r>
          <w:r>
            <w:tab/>
          </w:r>
          <w:r>
            <w:fldChar w:fldCharType="begin"/>
          </w:r>
          <w:r>
            <w:instrText xml:space="preserve"> PAGEREF _Toc13592 \h </w:instrText>
          </w:r>
          <w:r>
            <w:fldChar w:fldCharType="separate"/>
          </w:r>
          <w:r>
            <w:t>6</w:t>
          </w:r>
          <w:r>
            <w:fldChar w:fldCharType="end"/>
          </w:r>
          <w:r>
            <w:rPr>
              <w:rFonts w:hint="default" w:ascii="Times New Roman" w:hAnsi="Times New Roman" w:eastAsia="宋体" w:cs="Times New Roman"/>
              <w:kern w:val="2"/>
              <w:lang w:val="en-US" w:eastAsia="zh-CN" w:bidi="ar-SA"/>
            </w:rPr>
            <w:fldChar w:fldCharType="end"/>
          </w:r>
        </w:p>
        <w:p w14:paraId="02B4197C">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_Toc14932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szCs w:val="32"/>
              <w:lang w:val="en-US" w:eastAsia="zh-CN"/>
            </w:rPr>
            <w:t xml:space="preserve">3. </w:t>
          </w:r>
          <w:r>
            <w:rPr>
              <w:rFonts w:hint="default" w:ascii="Times New Roman" w:hAnsi="Times New Roman" w:cs="Times New Roman"/>
              <w:lang w:val="en-US" w:eastAsia="zh-CN"/>
            </w:rPr>
            <w:t>特征参数工程</w:t>
          </w:r>
          <w:r>
            <w:tab/>
          </w:r>
          <w:r>
            <w:fldChar w:fldCharType="begin"/>
          </w:r>
          <w:r>
            <w:instrText xml:space="preserve"> PAGEREF _Toc14932 \h </w:instrText>
          </w:r>
          <w:r>
            <w:fldChar w:fldCharType="separate"/>
          </w:r>
          <w:r>
            <w:t>8</w:t>
          </w:r>
          <w:r>
            <w:fldChar w:fldCharType="end"/>
          </w:r>
          <w:r>
            <w:rPr>
              <w:rFonts w:hint="default" w:ascii="Times New Roman" w:hAnsi="Times New Roman" w:eastAsia="宋体" w:cs="Times New Roman"/>
              <w:kern w:val="2"/>
              <w:lang w:val="en-US" w:eastAsia="zh-CN" w:bidi="ar-SA"/>
            </w:rPr>
            <w:fldChar w:fldCharType="end"/>
          </w:r>
        </w:p>
        <w:p w14:paraId="77E9C2FE">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_Toc12520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3.1. 特征分类</w:t>
          </w:r>
          <w:r>
            <w:tab/>
          </w:r>
          <w:r>
            <w:fldChar w:fldCharType="begin"/>
          </w:r>
          <w:r>
            <w:instrText xml:space="preserve"> PAGEREF _Toc12520 \h </w:instrText>
          </w:r>
          <w:r>
            <w:fldChar w:fldCharType="separate"/>
          </w:r>
          <w:r>
            <w:t>8</w:t>
          </w:r>
          <w:r>
            <w:fldChar w:fldCharType="end"/>
          </w:r>
          <w:r>
            <w:rPr>
              <w:rFonts w:hint="default" w:ascii="Times New Roman" w:hAnsi="Times New Roman" w:eastAsia="宋体" w:cs="Times New Roman"/>
              <w:kern w:val="2"/>
              <w:lang w:val="en-US" w:eastAsia="zh-CN" w:bidi="ar-SA"/>
            </w:rPr>
            <w:fldChar w:fldCharType="end"/>
          </w:r>
        </w:p>
        <w:p w14:paraId="5DAFC1CD">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_Toc11721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3.2. </w:t>
          </w:r>
          <w:r>
            <w:rPr>
              <w:rFonts w:hint="default" w:ascii="Times New Roman" w:hAnsi="Times New Roman" w:cs="Times New Roman"/>
              <w:lang w:val="en-US" w:eastAsia="zh-CN"/>
            </w:rPr>
            <w:t>特征处理</w:t>
          </w:r>
          <w:r>
            <w:tab/>
          </w:r>
          <w:r>
            <w:fldChar w:fldCharType="begin"/>
          </w:r>
          <w:r>
            <w:instrText xml:space="preserve"> PAGEREF _Toc11721 \h </w:instrText>
          </w:r>
          <w:r>
            <w:fldChar w:fldCharType="separate"/>
          </w:r>
          <w:r>
            <w:t>10</w:t>
          </w:r>
          <w:r>
            <w:fldChar w:fldCharType="end"/>
          </w:r>
          <w:r>
            <w:rPr>
              <w:rFonts w:hint="default" w:ascii="Times New Roman" w:hAnsi="Times New Roman" w:eastAsia="宋体" w:cs="Times New Roman"/>
              <w:kern w:val="2"/>
              <w:lang w:val="en-US" w:eastAsia="zh-CN" w:bidi="ar-SA"/>
            </w:rPr>
            <w:fldChar w:fldCharType="end"/>
          </w:r>
        </w:p>
        <w:p w14:paraId="4B85FBD2">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_Toc31485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3.3. 特征重要性分析</w:t>
          </w:r>
          <w:r>
            <w:tab/>
          </w:r>
          <w:r>
            <w:fldChar w:fldCharType="begin"/>
          </w:r>
          <w:r>
            <w:instrText xml:space="preserve"> PAGEREF _Toc31485 \h </w:instrText>
          </w:r>
          <w:r>
            <w:fldChar w:fldCharType="separate"/>
          </w:r>
          <w:r>
            <w:t>10</w:t>
          </w:r>
          <w:r>
            <w:fldChar w:fldCharType="end"/>
          </w:r>
          <w:r>
            <w:rPr>
              <w:rFonts w:hint="default" w:ascii="Times New Roman" w:hAnsi="Times New Roman" w:eastAsia="宋体" w:cs="Times New Roman"/>
              <w:kern w:val="2"/>
              <w:lang w:val="en-US" w:eastAsia="zh-CN" w:bidi="ar-SA"/>
            </w:rPr>
            <w:fldChar w:fldCharType="end"/>
          </w:r>
        </w:p>
        <w:p w14:paraId="6E514465">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_Toc22218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4. 代理模型架构设计</w:t>
          </w:r>
          <w:r>
            <w:tab/>
          </w:r>
          <w:r>
            <w:fldChar w:fldCharType="begin"/>
          </w:r>
          <w:r>
            <w:instrText xml:space="preserve"> PAGEREF _Toc22218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5F9854A2">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_Toc3156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lang w:val="en-US" w:eastAsia="zh-CN"/>
            </w:rPr>
            <w:t xml:space="preserve">4.1. </w:t>
          </w:r>
          <w:r>
            <w:rPr>
              <w:rFonts w:hint="default" w:ascii="Times New Roman" w:hAnsi="Times New Roman" w:cs="Times New Roman"/>
            </w:rPr>
            <w:t>ExtraTrees 建模原理</w:t>
          </w:r>
          <w:r>
            <w:tab/>
          </w:r>
          <w:r>
            <w:fldChar w:fldCharType="begin"/>
          </w:r>
          <w:r>
            <w:instrText xml:space="preserve"> PAGEREF _Toc3156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36F18A47">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_Toc5977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4.2. 连续 Dk 回归</w:t>
          </w:r>
          <w:r>
            <w:tab/>
          </w:r>
          <w:r>
            <w:fldChar w:fldCharType="begin"/>
          </w:r>
          <w:r>
            <w:instrText xml:space="preserve"> PAGEREF _Toc5977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3B09C6B4">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_Toc8206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4.3. </w:t>
          </w:r>
          <w:r>
            <w:rPr>
              <w:rFonts w:hint="default" w:ascii="Times New Roman" w:hAnsi="Times New Roman" w:cs="Times New Roman"/>
              <w:lang w:eastAsia="zh-CN"/>
            </w:rPr>
            <w:t>HS</w:t>
          </w:r>
          <w:r>
            <w:rPr>
              <w:rFonts w:hint="default" w:ascii="Times New Roman" w:hAnsi="Times New Roman" w:cs="Times New Roman"/>
            </w:rPr>
            <w:t>分类</w:t>
          </w:r>
          <w:r>
            <w:tab/>
          </w:r>
          <w:r>
            <w:fldChar w:fldCharType="begin"/>
          </w:r>
          <w:r>
            <w:instrText xml:space="preserve"> PAGEREF _Toc8206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6C50D6A5">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_Toc17040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4.4. 等级一致性约束</w:t>
          </w:r>
          <w:r>
            <w:tab/>
          </w:r>
          <w:r>
            <w:fldChar w:fldCharType="begin"/>
          </w:r>
          <w:r>
            <w:instrText xml:space="preserve"> PAGEREF _Toc17040 \h </w:instrText>
          </w:r>
          <w:r>
            <w:fldChar w:fldCharType="separate"/>
          </w:r>
          <w:r>
            <w:t>13</w:t>
          </w:r>
          <w:r>
            <w:fldChar w:fldCharType="end"/>
          </w:r>
          <w:r>
            <w:rPr>
              <w:rFonts w:hint="default" w:ascii="Times New Roman" w:hAnsi="Times New Roman" w:eastAsia="宋体" w:cs="Times New Roman"/>
              <w:kern w:val="2"/>
              <w:lang w:val="en-US" w:eastAsia="zh-CN" w:bidi="ar-SA"/>
            </w:rPr>
            <w:fldChar w:fldCharType="end"/>
          </w:r>
        </w:p>
        <w:p w14:paraId="40DBE6B6">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_Toc14172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4.5. 模型</w:t>
          </w:r>
          <w:r>
            <w:rPr>
              <w:rFonts w:hint="default" w:ascii="Times New Roman" w:hAnsi="Times New Roman" w:cs="Times New Roman"/>
              <w:lang w:val="en-US" w:eastAsia="zh-CN"/>
            </w:rPr>
            <w:t>参数与树数选择</w:t>
          </w:r>
          <w:r>
            <w:tab/>
          </w:r>
          <w:r>
            <w:fldChar w:fldCharType="begin"/>
          </w:r>
          <w:r>
            <w:instrText xml:space="preserve"> PAGEREF _Toc14172 \h </w:instrText>
          </w:r>
          <w:r>
            <w:fldChar w:fldCharType="separate"/>
          </w:r>
          <w:r>
            <w:t>14</w:t>
          </w:r>
          <w:r>
            <w:fldChar w:fldCharType="end"/>
          </w:r>
          <w:r>
            <w:rPr>
              <w:rFonts w:hint="default" w:ascii="Times New Roman" w:hAnsi="Times New Roman" w:eastAsia="宋体" w:cs="Times New Roman"/>
              <w:kern w:val="2"/>
              <w:lang w:val="en-US" w:eastAsia="zh-CN" w:bidi="ar-SA"/>
            </w:rPr>
            <w:fldChar w:fldCharType="end"/>
          </w:r>
        </w:p>
        <w:p w14:paraId="6E41632D">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_Toc19820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 </w:t>
          </w:r>
          <w:r>
            <w:rPr>
              <w:rFonts w:hint="default" w:ascii="Times New Roman" w:hAnsi="Times New Roman" w:cs="Times New Roman"/>
              <w:lang w:val="en-US" w:eastAsia="zh-CN"/>
            </w:rPr>
            <w:t>模型训练与验证</w:t>
          </w:r>
          <w:r>
            <w:tab/>
          </w:r>
          <w:r>
            <w:fldChar w:fldCharType="begin"/>
          </w:r>
          <w:r>
            <w:instrText xml:space="preserve"> PAGEREF _Toc19820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66067FC2">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_Toc20877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5.1. </w:t>
          </w:r>
          <w:r>
            <w:rPr>
              <w:rFonts w:hint="default" w:ascii="Times New Roman" w:hAnsi="Times New Roman" w:cs="Times New Roman"/>
              <w:lang w:val="en-US" w:eastAsia="zh-CN"/>
            </w:rPr>
            <w:t>数据划分</w:t>
          </w:r>
          <w:r>
            <w:tab/>
          </w:r>
          <w:r>
            <w:fldChar w:fldCharType="begin"/>
          </w:r>
          <w:r>
            <w:instrText xml:space="preserve"> PAGEREF _Toc20877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67A776D4">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_Toc18218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5.2. </w:t>
          </w:r>
          <w:r>
            <w:rPr>
              <w:rFonts w:hint="default" w:ascii="Times New Roman" w:hAnsi="Times New Roman" w:cs="Times New Roman"/>
              <w:lang w:val="en-US" w:eastAsia="zh-CN"/>
            </w:rPr>
            <w:t>评价指标</w:t>
          </w:r>
          <w:r>
            <w:tab/>
          </w:r>
          <w:r>
            <w:fldChar w:fldCharType="begin"/>
          </w:r>
          <w:r>
            <w:instrText xml:space="preserve"> PAGEREF _Toc18218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5DC02758">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_Toc8583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5.3. </w:t>
          </w:r>
          <w:r>
            <w:rPr>
              <w:rFonts w:hint="default" w:ascii="Times New Roman" w:hAnsi="Times New Roman" w:cs="Times New Roman"/>
              <w:lang w:val="en-US" w:eastAsia="zh-CN"/>
            </w:rPr>
            <w:t>综合模型评价结果</w:t>
          </w:r>
          <w:r>
            <w:tab/>
          </w:r>
          <w:r>
            <w:fldChar w:fldCharType="begin"/>
          </w:r>
          <w:r>
            <w:instrText xml:space="preserve"> PAGEREF _Toc8583 \h </w:instrText>
          </w:r>
          <w:r>
            <w:fldChar w:fldCharType="separate"/>
          </w:r>
          <w:r>
            <w:t>16</w:t>
          </w:r>
          <w:r>
            <w:fldChar w:fldCharType="end"/>
          </w:r>
          <w:r>
            <w:rPr>
              <w:rFonts w:hint="default" w:ascii="Times New Roman" w:hAnsi="Times New Roman" w:eastAsia="宋体" w:cs="Times New Roman"/>
              <w:kern w:val="2"/>
              <w:lang w:val="en-US" w:eastAsia="zh-CN" w:bidi="ar-SA"/>
            </w:rPr>
            <w:fldChar w:fldCharType="end"/>
          </w:r>
        </w:p>
        <w:p w14:paraId="3F394276">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_Toc23875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5.4. 模型性能评估</w:t>
          </w:r>
          <w:r>
            <w:tab/>
          </w:r>
          <w:r>
            <w:fldChar w:fldCharType="begin"/>
          </w:r>
          <w:r>
            <w:instrText xml:space="preserve"> PAGEREF _Toc23875 \h </w:instrText>
          </w:r>
          <w:r>
            <w:fldChar w:fldCharType="separate"/>
          </w:r>
          <w:r>
            <w:t>17</w:t>
          </w:r>
          <w:r>
            <w:fldChar w:fldCharType="end"/>
          </w:r>
          <w:r>
            <w:rPr>
              <w:rFonts w:hint="default" w:ascii="Times New Roman" w:hAnsi="Times New Roman" w:eastAsia="宋体" w:cs="Times New Roman"/>
              <w:kern w:val="2"/>
              <w:lang w:val="en-US" w:eastAsia="zh-CN" w:bidi="ar-SA"/>
            </w:rPr>
            <w:fldChar w:fldCharType="end"/>
          </w:r>
        </w:p>
        <w:p w14:paraId="3E866349">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_Toc5190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 仿真程序集成与界面展示</w:t>
          </w:r>
          <w:r>
            <w:tab/>
          </w:r>
          <w:r>
            <w:fldChar w:fldCharType="begin"/>
          </w:r>
          <w:r>
            <w:instrText xml:space="preserve"> PAGEREF _Toc5190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6FE80D79">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_Toc4233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6.1. 系统集成架构</w:t>
          </w:r>
          <w:r>
            <w:tab/>
          </w:r>
          <w:r>
            <w:fldChar w:fldCharType="begin"/>
          </w:r>
          <w:r>
            <w:instrText xml:space="preserve"> PAGEREF _Toc4233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0C68A198">
          <w:pPr>
            <w:pStyle w:val="30"/>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_Toc22544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 xml:space="preserve">6.2. </w:t>
          </w:r>
          <w:r>
            <w:rPr>
              <w:rFonts w:hint="default" w:ascii="Times New Roman" w:hAnsi="Times New Roman" w:cs="Times New Roman"/>
              <w:lang w:val="en-US" w:eastAsia="zh-CN"/>
            </w:rPr>
            <w:t>程序操作流程</w:t>
          </w:r>
          <w:r>
            <w:tab/>
          </w:r>
          <w:r>
            <w:fldChar w:fldCharType="begin"/>
          </w:r>
          <w:r>
            <w:instrText xml:space="preserve"> PAGEREF _Toc22544 \h </w:instrText>
          </w:r>
          <w:r>
            <w:fldChar w:fldCharType="separate"/>
          </w:r>
          <w:r>
            <w:t>19</w:t>
          </w:r>
          <w:r>
            <w:fldChar w:fldCharType="end"/>
          </w:r>
          <w:r>
            <w:rPr>
              <w:rFonts w:hint="default" w:ascii="Times New Roman" w:hAnsi="Times New Roman" w:eastAsia="宋体" w:cs="Times New Roman"/>
              <w:kern w:val="2"/>
              <w:lang w:val="en-US" w:eastAsia="zh-CN" w:bidi="ar-SA"/>
            </w:rPr>
            <w:fldChar w:fldCharType="end"/>
          </w:r>
        </w:p>
        <w:p w14:paraId="58485132">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_Toc11255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cs="Times New Roman"/>
            </w:rPr>
            <w:t>7. 总结</w:t>
          </w:r>
          <w:r>
            <w:tab/>
          </w:r>
          <w:r>
            <w:fldChar w:fldCharType="begin"/>
          </w:r>
          <w:r>
            <w:instrText xml:space="preserve"> PAGEREF _Toc11255 \h </w:instrText>
          </w:r>
          <w:r>
            <w:fldChar w:fldCharType="separate"/>
          </w:r>
          <w:r>
            <w:t>21</w:t>
          </w:r>
          <w:r>
            <w:fldChar w:fldCharType="end"/>
          </w:r>
          <w:r>
            <w:rPr>
              <w:rFonts w:hint="default" w:ascii="Times New Roman" w:hAnsi="Times New Roman" w:eastAsia="宋体" w:cs="Times New Roman"/>
              <w:kern w:val="2"/>
              <w:lang w:val="en-US" w:eastAsia="zh-CN" w:bidi="ar-SA"/>
            </w:rPr>
            <w:fldChar w:fldCharType="end"/>
          </w:r>
        </w:p>
        <w:p w14:paraId="27A442D8">
          <w:pPr>
            <w:pStyle w:val="29"/>
          </w:pPr>
          <w:r>
            <w:rPr>
              <w:rFonts w:hint="default" w:ascii="Times New Roman" w:hAnsi="Times New Roman" w:eastAsia="宋体" w:cs="Times New Roman"/>
              <w:kern w:val="2"/>
              <w:lang w:val="en-US" w:eastAsia="zh-CN" w:bidi="ar-SA"/>
            </w:rPr>
            <w:fldChar w:fldCharType="begin"/>
          </w:r>
          <w:r>
            <w:rPr>
              <w:rFonts w:hint="default" w:ascii="Times New Roman" w:hAnsi="Times New Roman" w:eastAsia="宋体" w:cs="Times New Roman"/>
              <w:kern w:val="2"/>
              <w:lang w:val="en-US" w:eastAsia="zh-CN" w:bidi="ar-SA"/>
            </w:rPr>
            <w:instrText xml:space="preserve"> HYPERLINK \l _Toc21116 </w:instrText>
          </w:r>
          <w:r>
            <w:rPr>
              <w:rFonts w:hint="default" w:ascii="Times New Roman" w:hAnsi="Times New Roman" w:eastAsia="宋体" w:cs="Times New Roman"/>
              <w:kern w:val="2"/>
              <w:lang w:val="en-US" w:eastAsia="zh-CN" w:bidi="ar-SA"/>
            </w:rPr>
            <w:fldChar w:fldCharType="separate"/>
          </w:r>
          <w:r>
            <w:rPr>
              <w:rFonts w:hint="default" w:ascii="Times New Roman" w:hAnsi="Times New Roman" w:eastAsia="宋体" w:cs="Times New Roman"/>
              <w:szCs w:val="28"/>
              <w:lang w:val="en-US" w:eastAsia="zh-CN"/>
            </w:rPr>
            <w:t>参考文献</w:t>
          </w:r>
          <w:r>
            <w:tab/>
          </w:r>
          <w:r>
            <w:fldChar w:fldCharType="begin"/>
          </w:r>
          <w:r>
            <w:instrText xml:space="preserve"> PAGEREF _Toc21116 \h </w:instrText>
          </w:r>
          <w:r>
            <w:fldChar w:fldCharType="separate"/>
          </w:r>
          <w:r>
            <w:t>22</w:t>
          </w:r>
          <w:r>
            <w:fldChar w:fldCharType="end"/>
          </w:r>
          <w:r>
            <w:rPr>
              <w:rFonts w:hint="default" w:ascii="Times New Roman" w:hAnsi="Times New Roman" w:eastAsia="宋体" w:cs="Times New Roman"/>
              <w:kern w:val="2"/>
              <w:lang w:val="en-US" w:eastAsia="zh-CN" w:bidi="ar-SA"/>
            </w:rPr>
            <w:fldChar w:fldCharType="end"/>
          </w:r>
        </w:p>
        <w:p w14:paraId="00253A2B">
          <w:pPr>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kern w:val="2"/>
              <w:lang w:val="en-US" w:eastAsia="zh-CN" w:bidi="ar-SA"/>
            </w:rPr>
            <w:fldChar w:fldCharType="end"/>
          </w:r>
        </w:p>
      </w:sdtContent>
    </w:sdt>
    <w:p w14:paraId="0037EFA8">
      <w:pPr>
        <w:rPr>
          <w:rFonts w:hint="default" w:ascii="Times New Roman" w:hAnsi="Times New Roman" w:eastAsia="宋体" w:cs="Times New Roman"/>
          <w:color w:val="000000"/>
          <w:kern w:val="2"/>
          <w:sz w:val="24"/>
          <w:szCs w:val="24"/>
          <w:u w:val="none"/>
          <w:lang w:val="en-US" w:eastAsia="zh-CN" w:bidi="ar-SA"/>
        </w:rPr>
        <w:sectPr>
          <w:footerReference r:id="rId8" w:type="first"/>
          <w:footerReference r:id="rId6" w:type="default"/>
          <w:headerReference r:id="rId5" w:type="even"/>
          <w:footerReference r:id="rId7" w:type="even"/>
          <w:pgSz w:w="11906" w:h="16838"/>
          <w:pgMar w:top="1440" w:right="1800" w:bottom="1440" w:left="1800" w:header="851" w:footer="992" w:gutter="0"/>
          <w:pgNumType w:fmt="upperRoman" w:start="1"/>
          <w:cols w:space="720" w:num="1"/>
          <w:docGrid w:type="lines" w:linePitch="326" w:charSpace="0"/>
        </w:sectPr>
      </w:pPr>
    </w:p>
    <w:p w14:paraId="328A2C14">
      <w:pPr>
        <w:outlineLvl w:val="0"/>
        <w:rPr>
          <w:rStyle w:val="23"/>
          <w:rFonts w:hint="default" w:ascii="Times New Roman" w:hAnsi="Times New Roman" w:cs="Times New Roman"/>
          <w:b/>
          <w:sz w:val="32"/>
          <w:szCs w:val="32"/>
          <w:lang w:val="en-US" w:eastAsia="zh-CN"/>
        </w:rPr>
      </w:pPr>
      <w:bookmarkStart w:id="0" w:name="_Toc8722"/>
      <w:bookmarkStart w:id="1" w:name="_Toc22423"/>
      <w:r>
        <w:rPr>
          <w:rStyle w:val="23"/>
          <w:rFonts w:hint="default" w:ascii="Times New Roman" w:hAnsi="Times New Roman" w:cs="Times New Roman"/>
          <w:b/>
          <w:sz w:val="32"/>
          <w:szCs w:val="32"/>
          <w:lang w:val="en-US" w:eastAsia="zh-CN"/>
        </w:rPr>
        <w:t>引言</w:t>
      </w:r>
      <w:bookmarkEnd w:id="0"/>
      <w:bookmarkEnd w:id="1"/>
    </w:p>
    <w:p w14:paraId="7E0D3611">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冶金设施是工业体系中的基础性设施，承担金属冶炼、精炼以及生产所需能源保障等功能，任务连续性与上下游生产密切相关。本报告覆盖电解、专用发电、钢铁冶炼、金属精炼以及不同尺度的综合冶金厂房。各类对象在建筑体量、工艺空间、设备布置和可燃物组成方面差异显著：电解厂房通常呈长跨连续布置，钢铁厂房围绕高温熔炼与物料转运组织，专用电厂包含燃料与动力设备区域，金、钽精炼设施则具有更紧凑的工艺分区和频繁的物料流转。外部热辐射作用于不同朝向时，迎火侧墙面、门窗与通风开口、可燃物和敏感目标分布均会变化，使设施损伤响应呈现显著的非线性、方向性和尺度效应。</w:t>
      </w:r>
    </w:p>
    <w:p w14:paraId="0602364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本报告建立基于 FDS 数值模拟数据的冶金设施工程预测方法。模型以热源工况特征与设施构型及目标特征为输入，同时预测连续损伤指数 Dk 和四级损伤结果。通过等级约束机制，连续值与工程等级保持一致，可用于热辐射工况快速筛查、阈值方向分析和代表性工况选择。</w:t>
      </w:r>
    </w:p>
    <w:p w14:paraId="6D5BA69D">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仿宋_GB2312" w:cs="Times New Roman"/>
          <w:sz w:val="24"/>
          <w:szCs w:val="24"/>
          <w:lang w:val="en-US" w:eastAsia="zh-CN"/>
        </w:rPr>
        <w:sectPr>
          <w:footerReference r:id="rId9" w:type="default"/>
          <w:pgSz w:w="11906" w:h="16838"/>
          <w:pgMar w:top="1440" w:right="1800" w:bottom="1440" w:left="1800" w:header="851" w:footer="992" w:gutter="0"/>
          <w:pgNumType w:fmt="decimal" w:start="1"/>
          <w:cols w:space="720" w:num="1"/>
          <w:docGrid w:type="lines" w:linePitch="326" w:charSpace="0"/>
        </w:sectPr>
      </w:pPr>
      <w:r>
        <w:rPr>
          <w:rFonts w:hint="default" w:ascii="Times New Roman" w:hAnsi="Times New Roman" w:cs="Times New Roman"/>
          <w:sz w:val="24"/>
          <w:szCs w:val="24"/>
        </w:rPr>
        <w:t>当前合格数据共包含6558条模拟工况，其中冶金设施为 8 个、1512 条工况，包括 5 个特异设施模型和 3 个大、中、小等效设施模型。模型对各设施分别训练逐设施代理模型，以保证评价口径和模型参数一致；同时对冶金类测试子集和各冶金设施分别进行专项统计，并通过专项因素重要性分析解释阈值分布特征。</w:t>
      </w:r>
    </w:p>
    <w:p w14:paraId="7E0AF3C6">
      <w:pPr>
        <w:pStyle w:val="2"/>
        <w:bidi w:val="0"/>
        <w:ind w:left="432" w:leftChars="0" w:hanging="432" w:firstLineChars="0"/>
        <w:rPr>
          <w:rStyle w:val="23"/>
          <w:rFonts w:hint="default" w:ascii="Times New Roman" w:hAnsi="Times New Roman" w:cs="Times New Roman"/>
          <w:b/>
          <w:szCs w:val="32"/>
          <w:lang w:val="en-US" w:eastAsia="zh-CN"/>
        </w:rPr>
      </w:pPr>
      <w:bookmarkStart w:id="2" w:name="_Toc22886"/>
      <w:r>
        <w:rPr>
          <w:rStyle w:val="23"/>
          <w:rFonts w:hint="default" w:ascii="Times New Roman" w:hAnsi="Times New Roman" w:cs="Times New Roman"/>
          <w:b/>
          <w:szCs w:val="32"/>
          <w:lang w:val="en-US" w:eastAsia="zh-CN"/>
        </w:rPr>
        <w:t>研究背景与意义</w:t>
      </w:r>
      <w:bookmarkEnd w:id="2"/>
    </w:p>
    <w:p w14:paraId="72ACFC29">
      <w:pPr>
        <w:pStyle w:val="3"/>
        <w:bidi w:val="0"/>
        <w:rPr>
          <w:rFonts w:hint="default" w:ascii="Times New Roman" w:hAnsi="Times New Roman" w:cs="Times New Roman"/>
          <w:lang w:val="en-US"/>
        </w:rPr>
      </w:pPr>
      <w:bookmarkStart w:id="3" w:name="_Toc8018"/>
      <w:r>
        <w:rPr>
          <w:rStyle w:val="23"/>
          <w:rFonts w:hint="default" w:ascii="Times New Roman" w:hAnsi="Times New Roman" w:cs="Times New Roman"/>
          <w:b/>
          <w:szCs w:val="28"/>
          <w:lang w:val="en-US" w:eastAsia="zh-CN"/>
        </w:rPr>
        <w:t>研究背景</w:t>
      </w:r>
      <w:bookmarkEnd w:id="3"/>
    </w:p>
    <w:p w14:paraId="575CD42A">
      <w:pPr>
        <w:pStyle w:val="4"/>
        <w:bidi w:val="0"/>
        <w:rPr>
          <w:rStyle w:val="23"/>
          <w:rFonts w:hint="default" w:ascii="Times New Roman" w:hAnsi="Times New Roman" w:cs="Times New Roman"/>
          <w:b/>
          <w:szCs w:val="24"/>
          <w:lang w:val="en-US" w:eastAsia="zh-CN"/>
        </w:rPr>
      </w:pPr>
      <w:bookmarkStart w:id="4" w:name="_Toc8630"/>
      <w:r>
        <w:rPr>
          <w:rStyle w:val="23"/>
          <w:rFonts w:hint="eastAsia" w:ascii="Times New Roman" w:hAnsi="Times New Roman" w:cs="Times New Roman"/>
          <w:b/>
          <w:szCs w:val="24"/>
          <w:lang w:val="en-US" w:eastAsia="zh-CN"/>
        </w:rPr>
        <w:t>冶金设施</w:t>
      </w:r>
      <w:r>
        <w:rPr>
          <w:rStyle w:val="23"/>
          <w:rFonts w:hint="default" w:ascii="Times New Roman" w:hAnsi="Times New Roman" w:cs="Times New Roman"/>
          <w:b/>
          <w:szCs w:val="24"/>
          <w:lang w:val="en-US" w:eastAsia="zh-CN"/>
        </w:rPr>
        <w:t>分类</w:t>
      </w:r>
      <w:bookmarkEnd w:id="4"/>
    </w:p>
    <w:p w14:paraId="17F4F550">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本报告涉及的冶金设施共 8 个。其中，美铝电解设施、沃里克专用电厂、冶金钢铁厂、马特里昂布法罗金精炼设施和马特里昂牛顿钽精炼设施属于具有明确工程对象的特异设施模型；大型、中型和小型冶金等效设施用于表征不同尺度下的通用建筑与目标组合，属于等效设施模型。两类模型均包含完整的计算域、建筑与设备几何、开口、测点和资产损伤信息。</w:t>
      </w:r>
    </w:p>
    <w:p w14:paraId="32D7E748">
      <w:pPr>
        <w:bidi w:val="0"/>
        <w:rPr>
          <w:rStyle w:val="23"/>
          <w:rFonts w:hint="default" w:ascii="Times New Roman" w:hAnsi="Times New Roman" w:cs="Times New Roman"/>
          <w:szCs w:val="24"/>
          <w:lang w:val="en-US" w:eastAsia="zh-CN"/>
        </w:rPr>
      </w:pPr>
      <w:r>
        <w:rPr>
          <w:rStyle w:val="23"/>
          <w:rFonts w:hint="default" w:ascii="Times New Roman" w:hAnsi="Times New Roman" w:cs="Times New Roman"/>
          <w:szCs w:val="24"/>
          <w:lang w:val="en-US" w:eastAsia="zh-CN"/>
        </w:rPr>
        <w:t>从建筑功能看，电解设施以连续生产空间和电解槽设备区为主，钢铁设施具有大跨、高空间及高温工艺区相邻的特点，专用电厂围绕锅炉、动力和燃料输送系统组织，精炼设施则强调工艺单元、储运和检验空间之间的联系。钢结构、混凝土围护和局部轻质围护形成不同的热响应条件；大型门洞、采光窗、通风百叶及工艺开口既服务于物流与散热，也可能成为外部辐射进入内部的路径。上述差异通过迎火侧墙面、门窗与总开口比例等设施构型参数进入模型，并由各设施的专属模型分别表达。</w:t>
      </w:r>
    </w:p>
    <w:p w14:paraId="2CB3A0E3">
      <w:pPr>
        <w:pStyle w:val="16"/>
        <w:bidi w:val="0"/>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t xml:space="preserve"> </w:t>
      </w:r>
      <w:r>
        <w:rPr>
          <w:rFonts w:hint="eastAsia"/>
        </w:rPr>
        <w:t>冶金设施模拟工况构成</w:t>
      </w:r>
    </w:p>
    <w:tbl>
      <w:tblPr>
        <w:tblStyle w:val="12"/>
        <w:tblW w:w="0" w:type="auto"/>
        <w:tblInd w:w="0" w:type="dxa"/>
        <w:tblLayout w:type="autofit"/>
        <w:tblCellMar>
          <w:top w:w="0" w:type="dxa"/>
          <w:left w:w="108" w:type="dxa"/>
          <w:bottom w:w="0" w:type="dxa"/>
          <w:right w:w="108" w:type="dxa"/>
        </w:tblCellMar>
      </w:tblPr>
      <w:tblGrid>
        <w:gridCol w:w="603"/>
        <w:gridCol w:w="2070"/>
        <w:gridCol w:w="2897"/>
        <w:gridCol w:w="1816"/>
        <w:gridCol w:w="1136"/>
      </w:tblGrid>
      <w:tr w14:paraId="6864EEB6">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Pr>
          <w:p w14:paraId="789C488F">
            <w:pPr>
              <w:pStyle w:val="54"/>
              <w:bidi w:val="0"/>
              <w:rPr>
                <w:b w:val="0"/>
              </w:rPr>
            </w:pPr>
            <w:r>
              <w:rPr>
                <w:rFonts w:hint="eastAsia"/>
                <w:b w:val="0"/>
              </w:rPr>
              <w:t>序号</w:t>
            </w:r>
          </w:p>
        </w:tc>
        <w:tc>
          <w:tcPr>
            <w:tcBorders>
              <w:top w:val="single" w:color="000000" w:sz="12" w:space="0"/>
              <w:left w:val="nil"/>
              <w:bottom w:val="single" w:color="000000" w:sz="4" w:space="0"/>
              <w:right w:val="nil"/>
            </w:tcBorders>
            <w:shd w:val="clear" w:color="auto" w:fill="FFFFFF"/>
          </w:tcPr>
          <w:p w14:paraId="4A300320">
            <w:pPr>
              <w:pStyle w:val="54"/>
              <w:bidi w:val="0"/>
              <w:rPr>
                <w:b w:val="0"/>
              </w:rPr>
            </w:pPr>
            <w:r>
              <w:rPr>
                <w:rFonts w:hint="eastAsia"/>
                <w:b w:val="0"/>
              </w:rPr>
              <w:t>设施名称</w:t>
            </w:r>
          </w:p>
        </w:tc>
        <w:tc>
          <w:tcPr>
            <w:tcBorders>
              <w:top w:val="single" w:color="000000" w:sz="12" w:space="0"/>
              <w:left w:val="nil"/>
              <w:bottom w:val="single" w:color="000000" w:sz="4" w:space="0"/>
              <w:right w:val="nil"/>
            </w:tcBorders>
            <w:shd w:val="clear" w:color="auto" w:fill="FFFFFF"/>
          </w:tcPr>
          <w:p w14:paraId="28733BD8">
            <w:pPr>
              <w:pStyle w:val="54"/>
              <w:bidi w:val="0"/>
              <w:rPr>
                <w:b w:val="0"/>
              </w:rPr>
            </w:pPr>
            <w:r>
              <w:rPr>
                <w:rFonts w:hint="eastAsia"/>
                <w:b w:val="0"/>
              </w:rPr>
              <w:t>模型类型</w:t>
            </w:r>
          </w:p>
        </w:tc>
        <w:tc>
          <w:tcPr>
            <w:tcBorders>
              <w:top w:val="single" w:color="000000" w:sz="12" w:space="0"/>
              <w:left w:val="nil"/>
              <w:bottom w:val="single" w:color="000000" w:sz="4" w:space="0"/>
              <w:right w:val="nil"/>
            </w:tcBorders>
            <w:shd w:val="clear" w:color="auto" w:fill="FFFFFF"/>
          </w:tcPr>
          <w:p w14:paraId="532416D6">
            <w:pPr>
              <w:pStyle w:val="54"/>
              <w:bidi w:val="0"/>
              <w:rPr>
                <w:b w:val="0"/>
              </w:rPr>
            </w:pPr>
            <w:r>
              <w:rPr>
                <w:rFonts w:hint="eastAsia"/>
                <w:b w:val="0"/>
              </w:rPr>
              <w:t>工程分类</w:t>
            </w:r>
          </w:p>
        </w:tc>
        <w:tc>
          <w:tcPr>
            <w:tcBorders>
              <w:top w:val="single" w:color="000000" w:sz="12" w:space="0"/>
              <w:left w:val="nil"/>
              <w:bottom w:val="single" w:color="000000" w:sz="4" w:space="0"/>
              <w:right w:val="nil"/>
            </w:tcBorders>
            <w:shd w:val="clear" w:color="auto" w:fill="FFFFFF"/>
          </w:tcPr>
          <w:p w14:paraId="467A2326">
            <w:pPr>
              <w:pStyle w:val="54"/>
              <w:bidi w:val="0"/>
              <w:rPr>
                <w:b w:val="0"/>
              </w:rPr>
            </w:pPr>
            <w:r>
              <w:rPr>
                <w:rFonts w:hint="eastAsia"/>
                <w:b w:val="0"/>
              </w:rPr>
              <w:t>合格工况数</w:t>
            </w:r>
          </w:p>
        </w:tc>
      </w:tr>
      <w:tr w14:paraId="352426D5">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Pr>
          <w:p w14:paraId="1A891820">
            <w:pPr>
              <w:pStyle w:val="54"/>
              <w:bidi w:val="0"/>
              <w:rPr>
                <w:b w:val="0"/>
              </w:rPr>
            </w:pPr>
            <w:r>
              <w:rPr>
                <w:b w:val="0"/>
              </w:rPr>
              <w:t>1</w:t>
            </w:r>
          </w:p>
        </w:tc>
        <w:tc>
          <w:tcPr>
            <w:tcBorders>
              <w:top w:val="single" w:color="000000" w:sz="4" w:space="0"/>
              <w:left w:val="nil"/>
              <w:bottom w:val="nil"/>
              <w:right w:val="nil"/>
            </w:tcBorders>
            <w:shd w:val="clear" w:color="auto" w:fill="FFFFFF"/>
          </w:tcPr>
          <w:p>
            <w:r>
              <w:t>冶金-电解厂</w:t>
            </w:r>
          </w:p>
        </w:tc>
        <w:tc>
          <w:tcPr>
            <w:tcBorders>
              <w:top w:val="single" w:color="000000" w:sz="4" w:space="0"/>
              <w:left w:val="nil"/>
              <w:bottom w:val="nil"/>
              <w:right w:val="nil"/>
            </w:tcBorders>
            <w:shd w:val="clear" w:color="auto" w:fill="FFFFFF"/>
          </w:tcPr>
          <w:p w14:paraId="0FEF8D6A">
            <w:pPr>
              <w:pStyle w:val="54"/>
              <w:bidi w:val="0"/>
              <w:rPr>
                <w:b w:val="0"/>
              </w:rPr>
            </w:pPr>
            <w:r>
              <w:rPr>
                <w:rFonts w:hint="eastAsia"/>
                <w:b w:val="0"/>
              </w:rPr>
              <w:t>特异设施模型</w:t>
            </w:r>
          </w:p>
        </w:tc>
        <w:tc>
          <w:tcPr>
            <w:tcBorders>
              <w:top w:val="single" w:color="000000" w:sz="4" w:space="0"/>
              <w:left w:val="nil"/>
              <w:bottom w:val="nil"/>
              <w:right w:val="nil"/>
            </w:tcBorders>
            <w:shd w:val="clear" w:color="auto" w:fill="FFFFFF"/>
          </w:tcPr>
          <w:p w14:paraId="3B0C3E46">
            <w:pPr>
              <w:pStyle w:val="54"/>
              <w:bidi w:val="0"/>
              <w:rPr>
                <w:b w:val="0"/>
              </w:rPr>
            </w:pPr>
            <w:r>
              <w:rPr>
                <w:rFonts w:hint="eastAsia"/>
                <w:b w:val="0"/>
              </w:rPr>
              <w:t>电解厂</w:t>
            </w:r>
          </w:p>
        </w:tc>
        <w:tc>
          <w:tcPr>
            <w:tcBorders>
              <w:top w:val="single" w:color="000000" w:sz="4" w:space="0"/>
              <w:left w:val="nil"/>
              <w:bottom w:val="nil"/>
              <w:right w:val="nil"/>
            </w:tcBorders>
            <w:shd w:val="clear" w:color="auto" w:fill="FFFFFF"/>
          </w:tcPr>
          <w:p>
            <w:r>
              <w:t>86</w:t>
            </w:r>
          </w:p>
        </w:tc>
      </w:tr>
      <w:tr w14:paraId="7E9B2B3D">
        <w:tblPrEx>
          <w:tblCellMar>
            <w:top w:w="0" w:type="dxa"/>
            <w:left w:w="108" w:type="dxa"/>
            <w:bottom w:w="0" w:type="dxa"/>
            <w:right w:w="108" w:type="dxa"/>
          </w:tblCellMar>
        </w:tblPrEx>
        <w:tc>
          <w:tcPr>
            <w:tcBorders>
              <w:top w:val="nil"/>
              <w:left w:val="nil"/>
              <w:bottom w:val="nil"/>
              <w:right w:val="nil"/>
            </w:tcBorders>
            <w:shd w:val="clear" w:color="auto" w:fill="FFFFFF"/>
          </w:tcPr>
          <w:p w14:paraId="41CC203E">
            <w:pPr>
              <w:pStyle w:val="54"/>
              <w:bidi w:val="0"/>
              <w:rPr>
                <w:b w:val="0"/>
              </w:rPr>
            </w:pPr>
            <w:r>
              <w:rPr>
                <w:b w:val="0"/>
              </w:rPr>
              <w:t>2</w:t>
            </w:r>
          </w:p>
        </w:tc>
        <w:tc>
          <w:tcPr>
            <w:tcBorders>
              <w:top w:val="nil"/>
              <w:left w:val="nil"/>
              <w:bottom w:val="nil"/>
              <w:right w:val="nil"/>
            </w:tcBorders>
            <w:shd w:val="clear" w:color="auto" w:fill="FFFFFF"/>
          </w:tcPr>
          <w:p>
            <w:r>
              <w:t>冶金-金精炼</w:t>
            </w:r>
          </w:p>
        </w:tc>
        <w:tc>
          <w:tcPr>
            <w:tcBorders>
              <w:top w:val="nil"/>
              <w:left w:val="nil"/>
              <w:bottom w:val="nil"/>
              <w:right w:val="nil"/>
            </w:tcBorders>
            <w:shd w:val="clear" w:color="auto" w:fill="FFFFFF"/>
          </w:tcPr>
          <w:p w14:paraId="664529B6">
            <w:pPr>
              <w:pStyle w:val="54"/>
              <w:bidi w:val="0"/>
              <w:rPr>
                <w:b w:val="0"/>
              </w:rPr>
            </w:pPr>
            <w:r>
              <w:rPr>
                <w:rFonts w:hint="eastAsia"/>
                <w:b w:val="0"/>
              </w:rPr>
              <w:t>特异设施模型</w:t>
            </w:r>
          </w:p>
        </w:tc>
        <w:tc>
          <w:tcPr>
            <w:tcBorders>
              <w:top w:val="nil"/>
              <w:left w:val="nil"/>
              <w:bottom w:val="nil"/>
              <w:right w:val="nil"/>
            </w:tcBorders>
            <w:shd w:val="clear" w:color="auto" w:fill="FFFFFF"/>
          </w:tcPr>
          <w:p w14:paraId="44B6E52E">
            <w:pPr>
              <w:pStyle w:val="54"/>
              <w:bidi w:val="0"/>
              <w:rPr>
                <w:b w:val="0"/>
              </w:rPr>
            </w:pPr>
            <w:r>
              <w:rPr>
                <w:rFonts w:hint="eastAsia"/>
                <w:b w:val="0"/>
              </w:rPr>
              <w:t>金精炼厂</w:t>
            </w:r>
          </w:p>
        </w:tc>
        <w:tc>
          <w:tcPr>
            <w:tcBorders>
              <w:top w:val="nil"/>
              <w:left w:val="nil"/>
              <w:bottom w:val="nil"/>
              <w:right w:val="nil"/>
            </w:tcBorders>
            <w:shd w:val="clear" w:color="auto" w:fill="FFFFFF"/>
          </w:tcPr>
          <w:p>
            <w:r>
              <w:t>228</w:t>
            </w:r>
          </w:p>
        </w:tc>
      </w:tr>
      <w:tr w14:paraId="3C9B6D5D">
        <w:tblPrEx>
          <w:tblCellMar>
            <w:top w:w="0" w:type="dxa"/>
            <w:left w:w="108" w:type="dxa"/>
            <w:bottom w:w="0" w:type="dxa"/>
            <w:right w:w="108" w:type="dxa"/>
          </w:tblCellMar>
        </w:tblPrEx>
        <w:tc>
          <w:tcPr>
            <w:tcBorders>
              <w:top w:val="nil"/>
              <w:left w:val="nil"/>
              <w:bottom w:val="nil"/>
              <w:right w:val="nil"/>
            </w:tcBorders>
            <w:shd w:val="clear" w:color="auto" w:fill="FFFFFF"/>
          </w:tcPr>
          <w:p w14:paraId="7CDBD98D">
            <w:pPr>
              <w:pStyle w:val="54"/>
              <w:bidi w:val="0"/>
              <w:rPr>
                <w:b w:val="0"/>
              </w:rPr>
            </w:pPr>
            <w:r>
              <w:rPr>
                <w:b w:val="0"/>
              </w:rPr>
              <w:t>3</w:t>
            </w:r>
          </w:p>
        </w:tc>
        <w:tc>
          <w:tcPr>
            <w:tcBorders>
              <w:top w:val="nil"/>
              <w:left w:val="nil"/>
              <w:bottom w:val="nil"/>
              <w:right w:val="nil"/>
            </w:tcBorders>
            <w:shd w:val="clear" w:color="auto" w:fill="FFFFFF"/>
          </w:tcPr>
          <w:p>
            <w:r>
              <w:t>冶金-钽精炼</w:t>
            </w:r>
          </w:p>
        </w:tc>
        <w:tc>
          <w:tcPr>
            <w:tcBorders>
              <w:top w:val="nil"/>
              <w:left w:val="nil"/>
              <w:bottom w:val="nil"/>
              <w:right w:val="nil"/>
            </w:tcBorders>
            <w:shd w:val="clear" w:color="auto" w:fill="FFFFFF"/>
          </w:tcPr>
          <w:p w14:paraId="63714FAB">
            <w:pPr>
              <w:pStyle w:val="54"/>
              <w:bidi w:val="0"/>
              <w:rPr>
                <w:b w:val="0"/>
              </w:rPr>
            </w:pPr>
            <w:r>
              <w:rPr>
                <w:rFonts w:hint="eastAsia"/>
                <w:b w:val="0"/>
              </w:rPr>
              <w:t>特异设施模型</w:t>
            </w:r>
          </w:p>
        </w:tc>
        <w:tc>
          <w:tcPr>
            <w:tcBorders>
              <w:top w:val="nil"/>
              <w:left w:val="nil"/>
              <w:bottom w:val="nil"/>
              <w:right w:val="nil"/>
            </w:tcBorders>
            <w:shd w:val="clear" w:color="auto" w:fill="FFFFFF"/>
          </w:tcPr>
          <w:p w14:paraId="121B0805">
            <w:pPr>
              <w:pStyle w:val="54"/>
              <w:bidi w:val="0"/>
              <w:rPr>
                <w:b w:val="0"/>
              </w:rPr>
            </w:pPr>
            <w:r>
              <w:rPr>
                <w:rFonts w:hint="eastAsia"/>
                <w:b w:val="0"/>
              </w:rPr>
              <w:t>钽精炼厂</w:t>
            </w:r>
          </w:p>
        </w:tc>
        <w:tc>
          <w:tcPr>
            <w:tcBorders>
              <w:top w:val="nil"/>
              <w:left w:val="nil"/>
              <w:bottom w:val="nil"/>
              <w:right w:val="nil"/>
            </w:tcBorders>
            <w:shd w:val="clear" w:color="auto" w:fill="FFFFFF"/>
          </w:tcPr>
          <w:p>
            <w:r>
              <w:t>235</w:t>
            </w:r>
          </w:p>
        </w:tc>
      </w:tr>
      <w:tr w14:paraId="3E1754F5">
        <w:tblPrEx>
          <w:tblCellMar>
            <w:top w:w="0" w:type="dxa"/>
            <w:left w:w="108" w:type="dxa"/>
            <w:bottom w:w="0" w:type="dxa"/>
            <w:right w:w="108" w:type="dxa"/>
          </w:tblCellMar>
        </w:tblPrEx>
        <w:tc>
          <w:tcPr>
            <w:tcBorders>
              <w:top w:val="nil"/>
              <w:left w:val="nil"/>
              <w:bottom w:val="nil"/>
              <w:right w:val="nil"/>
            </w:tcBorders>
            <w:shd w:val="clear" w:color="auto" w:fill="FFFFFF"/>
          </w:tcPr>
          <w:p w14:paraId="1BE74272">
            <w:pPr>
              <w:pStyle w:val="54"/>
              <w:bidi w:val="0"/>
              <w:rPr>
                <w:b w:val="0"/>
              </w:rPr>
            </w:pPr>
            <w:r>
              <w:rPr>
                <w:b w:val="0"/>
              </w:rPr>
              <w:t>4</w:t>
            </w:r>
          </w:p>
        </w:tc>
        <w:tc>
          <w:tcPr>
            <w:tcBorders>
              <w:top w:val="nil"/>
              <w:left w:val="nil"/>
              <w:bottom w:val="nil"/>
              <w:right w:val="nil"/>
            </w:tcBorders>
            <w:shd w:val="clear" w:color="auto" w:fill="FFFFFF"/>
          </w:tcPr>
          <w:p w14:paraId="24A0EEA0">
            <w:pPr>
              <w:pStyle w:val="54"/>
              <w:bidi w:val="0"/>
              <w:rPr>
                <w:b w:val="0"/>
              </w:rPr>
            </w:pPr>
            <w:r>
              <w:rPr>
                <w:rFonts w:hint="eastAsia"/>
                <w:b w:val="0"/>
              </w:rPr>
              <w:t>大型冶金等效设施</w:t>
            </w:r>
          </w:p>
        </w:tc>
        <w:tc>
          <w:tcPr>
            <w:tcBorders>
              <w:top w:val="nil"/>
              <w:left w:val="nil"/>
              <w:bottom w:val="nil"/>
              <w:right w:val="nil"/>
            </w:tcBorders>
            <w:shd w:val="clear" w:color="auto" w:fill="FFFFFF"/>
          </w:tcPr>
          <w:p w14:paraId="02911BF3">
            <w:pPr>
              <w:pStyle w:val="54"/>
              <w:bidi w:val="0"/>
              <w:rPr>
                <w:b w:val="0"/>
              </w:rPr>
            </w:pPr>
            <w:r>
              <w:rPr>
                <w:rFonts w:hint="eastAsia"/>
                <w:b w:val="0"/>
              </w:rPr>
              <w:t>等效设施模型</w:t>
            </w:r>
          </w:p>
        </w:tc>
        <w:tc>
          <w:tcPr>
            <w:tcBorders>
              <w:top w:val="nil"/>
              <w:left w:val="nil"/>
              <w:bottom w:val="nil"/>
              <w:right w:val="nil"/>
            </w:tcBorders>
            <w:shd w:val="clear" w:color="auto" w:fill="FFFFFF"/>
          </w:tcPr>
          <w:p w14:paraId="7C490D2D">
            <w:pPr>
              <w:pStyle w:val="54"/>
              <w:bidi w:val="0"/>
              <w:rPr>
                <w:b w:val="0"/>
              </w:rPr>
            </w:pPr>
            <w:r>
              <w:rPr>
                <w:rFonts w:hint="eastAsia"/>
                <w:b w:val="0"/>
              </w:rPr>
              <w:t>通用冶金设施（大）</w:t>
            </w:r>
          </w:p>
        </w:tc>
        <w:tc>
          <w:tcPr>
            <w:tcBorders>
              <w:top w:val="nil"/>
              <w:left w:val="nil"/>
              <w:bottom w:val="nil"/>
              <w:right w:val="nil"/>
            </w:tcBorders>
            <w:shd w:val="clear" w:color="auto" w:fill="FFFFFF"/>
          </w:tcPr>
          <w:p>
            <w:r>
              <w:t>276</w:t>
            </w:r>
          </w:p>
        </w:tc>
      </w:tr>
      <w:tr w14:paraId="02CC8573">
        <w:tblPrEx>
          <w:tblCellMar>
            <w:top w:w="0" w:type="dxa"/>
            <w:left w:w="108" w:type="dxa"/>
            <w:bottom w:w="0" w:type="dxa"/>
            <w:right w:w="108" w:type="dxa"/>
          </w:tblCellMar>
        </w:tblPrEx>
        <w:tc>
          <w:tcPr>
            <w:tcBorders>
              <w:top w:val="nil"/>
              <w:left w:val="nil"/>
              <w:bottom w:val="nil"/>
              <w:right w:val="nil"/>
            </w:tcBorders>
            <w:shd w:val="clear" w:color="auto" w:fill="FFFFFF"/>
          </w:tcPr>
          <w:p w14:paraId="560799B2">
            <w:pPr>
              <w:pStyle w:val="54"/>
              <w:bidi w:val="0"/>
              <w:rPr>
                <w:b w:val="0"/>
              </w:rPr>
            </w:pPr>
            <w:r>
              <w:rPr>
                <w:b w:val="0"/>
              </w:rPr>
              <w:t>5</w:t>
            </w:r>
          </w:p>
        </w:tc>
        <w:tc>
          <w:tcPr>
            <w:tcBorders>
              <w:top w:val="nil"/>
              <w:left w:val="nil"/>
              <w:bottom w:val="nil"/>
              <w:right w:val="nil"/>
            </w:tcBorders>
            <w:shd w:val="clear" w:color="auto" w:fill="FFFFFF"/>
          </w:tcPr>
          <w:p w14:paraId="5274FB9D">
            <w:pPr>
              <w:pStyle w:val="54"/>
              <w:bidi w:val="0"/>
              <w:rPr>
                <w:b w:val="0"/>
              </w:rPr>
            </w:pPr>
            <w:r>
              <w:rPr>
                <w:rFonts w:hint="eastAsia"/>
                <w:b w:val="0"/>
              </w:rPr>
              <w:t>中型冶金等效设施</w:t>
            </w:r>
          </w:p>
        </w:tc>
        <w:tc>
          <w:tcPr>
            <w:tcBorders>
              <w:top w:val="nil"/>
              <w:left w:val="nil"/>
              <w:bottom w:val="nil"/>
              <w:right w:val="nil"/>
            </w:tcBorders>
            <w:shd w:val="clear" w:color="auto" w:fill="FFFFFF"/>
          </w:tcPr>
          <w:p w14:paraId="71A761D6">
            <w:pPr>
              <w:pStyle w:val="54"/>
              <w:bidi w:val="0"/>
              <w:rPr>
                <w:b w:val="0"/>
              </w:rPr>
            </w:pPr>
            <w:r>
              <w:rPr>
                <w:rFonts w:hint="eastAsia"/>
                <w:b w:val="0"/>
              </w:rPr>
              <w:t>等效设施模型</w:t>
            </w:r>
          </w:p>
        </w:tc>
        <w:tc>
          <w:tcPr>
            <w:tcBorders>
              <w:top w:val="nil"/>
              <w:left w:val="nil"/>
              <w:bottom w:val="nil"/>
              <w:right w:val="nil"/>
            </w:tcBorders>
            <w:shd w:val="clear" w:color="auto" w:fill="FFFFFF"/>
          </w:tcPr>
          <w:p w14:paraId="70397EAA">
            <w:pPr>
              <w:pStyle w:val="54"/>
              <w:bidi w:val="0"/>
              <w:rPr>
                <w:b w:val="0"/>
              </w:rPr>
            </w:pPr>
            <w:r>
              <w:rPr>
                <w:rFonts w:hint="eastAsia"/>
                <w:b w:val="0"/>
              </w:rPr>
              <w:t>通用冶金设施（中）</w:t>
            </w:r>
          </w:p>
        </w:tc>
        <w:tc>
          <w:tcPr>
            <w:tcBorders>
              <w:top w:val="nil"/>
              <w:left w:val="nil"/>
              <w:bottom w:val="nil"/>
              <w:right w:val="nil"/>
            </w:tcBorders>
            <w:shd w:val="clear" w:color="auto" w:fill="FFFFFF"/>
          </w:tcPr>
          <w:p>
            <w:r>
              <w:t>204</w:t>
            </w:r>
          </w:p>
        </w:tc>
      </w:tr>
      <w:tr w14:paraId="629C2B1B">
        <w:tblPrEx>
          <w:tblCellMar>
            <w:top w:w="0" w:type="dxa"/>
            <w:left w:w="108" w:type="dxa"/>
            <w:bottom w:w="0" w:type="dxa"/>
            <w:right w:w="108" w:type="dxa"/>
          </w:tblCellMar>
        </w:tblPrEx>
        <w:tc>
          <w:tcPr>
            <w:tcBorders>
              <w:top w:val="nil"/>
              <w:left w:val="nil"/>
              <w:bottom w:val="nil"/>
              <w:right w:val="nil"/>
            </w:tcBorders>
            <w:shd w:val="clear" w:color="auto" w:fill="FFFFFF"/>
          </w:tcPr>
          <w:p w14:paraId="3B29D1E3">
            <w:pPr>
              <w:pStyle w:val="54"/>
              <w:bidi w:val="0"/>
              <w:rPr>
                <w:b w:val="0"/>
              </w:rPr>
            </w:pPr>
            <w:r>
              <w:rPr>
                <w:b w:val="0"/>
              </w:rPr>
              <w:t>6</w:t>
            </w:r>
          </w:p>
        </w:tc>
        <w:tc>
          <w:tcPr>
            <w:tcBorders>
              <w:top w:val="nil"/>
              <w:left w:val="nil"/>
              <w:bottom w:val="nil"/>
              <w:right w:val="nil"/>
            </w:tcBorders>
            <w:shd w:val="clear" w:color="auto" w:fill="FFFFFF"/>
          </w:tcPr>
          <w:p w14:paraId="35B011FB">
            <w:pPr>
              <w:pStyle w:val="54"/>
              <w:bidi w:val="0"/>
              <w:rPr>
                <w:b w:val="0"/>
              </w:rPr>
            </w:pPr>
            <w:r>
              <w:rPr>
                <w:rFonts w:hint="eastAsia"/>
                <w:b w:val="0"/>
              </w:rPr>
              <w:t>小型冶金等效设施</w:t>
            </w:r>
          </w:p>
        </w:tc>
        <w:tc>
          <w:tcPr>
            <w:tcBorders>
              <w:top w:val="nil"/>
              <w:left w:val="nil"/>
              <w:bottom w:val="nil"/>
              <w:right w:val="nil"/>
            </w:tcBorders>
            <w:shd w:val="clear" w:color="auto" w:fill="FFFFFF"/>
          </w:tcPr>
          <w:p w14:paraId="10C8E141">
            <w:pPr>
              <w:pStyle w:val="54"/>
              <w:bidi w:val="0"/>
              <w:rPr>
                <w:b w:val="0"/>
              </w:rPr>
            </w:pPr>
            <w:r>
              <w:rPr>
                <w:rFonts w:hint="eastAsia"/>
                <w:b w:val="0"/>
              </w:rPr>
              <w:t>等效设施模型</w:t>
            </w:r>
          </w:p>
        </w:tc>
        <w:tc>
          <w:tcPr>
            <w:tcBorders>
              <w:top w:val="nil"/>
              <w:left w:val="nil"/>
              <w:bottom w:val="nil"/>
              <w:right w:val="nil"/>
            </w:tcBorders>
            <w:shd w:val="clear" w:color="auto" w:fill="FFFFFF"/>
          </w:tcPr>
          <w:p w14:paraId="765B7DE3">
            <w:pPr>
              <w:pStyle w:val="54"/>
              <w:bidi w:val="0"/>
              <w:rPr>
                <w:b w:val="0"/>
              </w:rPr>
            </w:pPr>
            <w:r>
              <w:rPr>
                <w:rFonts w:hint="eastAsia"/>
                <w:b w:val="0"/>
              </w:rPr>
              <w:t>通用冶金设施（小）</w:t>
            </w:r>
          </w:p>
        </w:tc>
        <w:tc>
          <w:tcPr>
            <w:tcBorders>
              <w:top w:val="nil"/>
              <w:left w:val="nil"/>
              <w:bottom w:val="nil"/>
              <w:right w:val="nil"/>
            </w:tcBorders>
            <w:shd w:val="clear" w:color="auto" w:fill="FFFFFF"/>
          </w:tcPr>
          <w:p>
            <w:r>
              <w:t>108</w:t>
            </w:r>
          </w:p>
        </w:tc>
      </w:tr>
      <w:tr w14:paraId="2C8F31C3">
        <w:tblPrEx>
          <w:tblCellMar>
            <w:top w:w="0" w:type="dxa"/>
            <w:left w:w="108" w:type="dxa"/>
            <w:bottom w:w="0" w:type="dxa"/>
            <w:right w:w="108" w:type="dxa"/>
          </w:tblCellMar>
        </w:tblPrEx>
        <w:tc>
          <w:tcPr>
            <w:tcBorders>
              <w:top w:val="nil"/>
              <w:left w:val="nil"/>
              <w:bottom w:val="nil"/>
              <w:right w:val="nil"/>
            </w:tcBorders>
            <w:shd w:val="clear" w:color="auto" w:fill="FFFFFF"/>
          </w:tcPr>
          <w:p w14:paraId="4C88039B">
            <w:pPr>
              <w:pStyle w:val="54"/>
              <w:bidi w:val="0"/>
              <w:rPr>
                <w:b w:val="0"/>
              </w:rPr>
            </w:pPr>
            <w:r>
              <w:rPr>
                <w:b w:val="0"/>
              </w:rPr>
              <w:t>7</w:t>
            </w:r>
          </w:p>
        </w:tc>
        <w:tc>
          <w:tcPr>
            <w:tcBorders>
              <w:top w:val="nil"/>
              <w:left w:val="nil"/>
              <w:bottom w:val="nil"/>
              <w:right w:val="nil"/>
            </w:tcBorders>
            <w:shd w:val="clear" w:color="auto" w:fill="FFFFFF"/>
          </w:tcPr>
          <w:p>
            <w:r>
              <w:t>冶金-发电厂</w:t>
            </w:r>
          </w:p>
        </w:tc>
        <w:tc>
          <w:tcPr>
            <w:tcBorders>
              <w:top w:val="nil"/>
              <w:left w:val="nil"/>
              <w:bottom w:val="nil"/>
              <w:right w:val="nil"/>
            </w:tcBorders>
            <w:shd w:val="clear" w:color="auto" w:fill="FFFFFF"/>
          </w:tcPr>
          <w:p w14:paraId="1D160EEB">
            <w:pPr>
              <w:pStyle w:val="54"/>
              <w:bidi w:val="0"/>
              <w:rPr>
                <w:b w:val="0"/>
              </w:rPr>
            </w:pPr>
            <w:r>
              <w:rPr>
                <w:rFonts w:hint="eastAsia"/>
                <w:b w:val="0"/>
              </w:rPr>
              <w:t>特异设施模型</w:t>
            </w:r>
          </w:p>
        </w:tc>
        <w:tc>
          <w:tcPr>
            <w:tcBorders>
              <w:top w:val="nil"/>
              <w:left w:val="nil"/>
              <w:bottom w:val="nil"/>
              <w:right w:val="nil"/>
            </w:tcBorders>
            <w:shd w:val="clear" w:color="auto" w:fill="FFFFFF"/>
          </w:tcPr>
          <w:p w14:paraId="14842753">
            <w:pPr>
              <w:pStyle w:val="54"/>
              <w:bidi w:val="0"/>
              <w:rPr>
                <w:b w:val="0"/>
              </w:rPr>
            </w:pPr>
            <w:r>
              <w:rPr>
                <w:rFonts w:hint="eastAsia"/>
                <w:b w:val="0"/>
              </w:rPr>
              <w:t>专用电厂</w:t>
            </w:r>
          </w:p>
        </w:tc>
        <w:tc>
          <w:tcPr>
            <w:tcBorders>
              <w:top w:val="nil"/>
              <w:left w:val="nil"/>
              <w:bottom w:val="nil"/>
              <w:right w:val="nil"/>
            </w:tcBorders>
            <w:shd w:val="clear" w:color="auto" w:fill="FFFFFF"/>
          </w:tcPr>
          <w:p>
            <w:r>
              <w:t>192</w:t>
            </w:r>
          </w:p>
        </w:tc>
      </w:tr>
      <w:tr w14:paraId="2CB2AFB5">
        <w:tblPrEx>
          <w:tblCellMar>
            <w:top w:w="0" w:type="dxa"/>
            <w:left w:w="108" w:type="dxa"/>
            <w:bottom w:w="0" w:type="dxa"/>
            <w:right w:w="108" w:type="dxa"/>
          </w:tblCellMar>
        </w:tblPrEx>
        <w:tc>
          <w:tcPr>
            <w:tcBorders>
              <w:top w:val="nil"/>
              <w:left w:val="nil"/>
              <w:bottom w:val="nil"/>
              <w:right w:val="nil"/>
            </w:tcBorders>
            <w:shd w:val="clear" w:color="auto" w:fill="FFFFFF"/>
          </w:tcPr>
          <w:p w14:paraId="29A0A4A7">
            <w:pPr>
              <w:pStyle w:val="54"/>
              <w:bidi w:val="0"/>
              <w:rPr>
                <w:b w:val="0"/>
              </w:rPr>
            </w:pPr>
            <w:r>
              <w:rPr>
                <w:b w:val="0"/>
              </w:rPr>
              <w:t>8</w:t>
            </w:r>
          </w:p>
        </w:tc>
        <w:tc>
          <w:tcPr>
            <w:tcBorders>
              <w:top w:val="nil"/>
              <w:left w:val="nil"/>
              <w:bottom w:val="nil"/>
              <w:right w:val="nil"/>
            </w:tcBorders>
            <w:shd w:val="clear" w:color="auto" w:fill="FFFFFF"/>
          </w:tcPr>
          <w:p>
            <w:r>
              <w:t>冶金-钢铁厂</w:t>
            </w:r>
          </w:p>
        </w:tc>
        <w:tc>
          <w:tcPr>
            <w:tcBorders>
              <w:top w:val="nil"/>
              <w:left w:val="nil"/>
              <w:bottom w:val="nil"/>
              <w:right w:val="nil"/>
            </w:tcBorders>
            <w:shd w:val="clear" w:color="auto" w:fill="FFFFFF"/>
          </w:tcPr>
          <w:p w14:paraId="032C218A">
            <w:pPr>
              <w:pStyle w:val="54"/>
              <w:bidi w:val="0"/>
              <w:rPr>
                <w:b w:val="0"/>
              </w:rPr>
            </w:pPr>
            <w:r>
              <w:rPr>
                <w:rFonts w:hint="eastAsia"/>
                <w:b w:val="0"/>
              </w:rPr>
              <w:t>特异设施模型</w:t>
            </w:r>
          </w:p>
        </w:tc>
        <w:tc>
          <w:tcPr>
            <w:tcBorders>
              <w:top w:val="nil"/>
              <w:left w:val="nil"/>
              <w:bottom w:val="nil"/>
              <w:right w:val="nil"/>
            </w:tcBorders>
            <w:shd w:val="clear" w:color="auto" w:fill="FFFFFF"/>
          </w:tcPr>
          <w:p w14:paraId="41F64521">
            <w:pPr>
              <w:pStyle w:val="54"/>
              <w:bidi w:val="0"/>
              <w:rPr>
                <w:b w:val="0"/>
              </w:rPr>
            </w:pPr>
            <w:r>
              <w:rPr>
                <w:rFonts w:hint="eastAsia"/>
                <w:b w:val="0"/>
              </w:rPr>
              <w:t>钢铁厂</w:t>
            </w:r>
          </w:p>
        </w:tc>
        <w:tc>
          <w:tcPr>
            <w:tcBorders>
              <w:top w:val="nil"/>
              <w:left w:val="nil"/>
              <w:bottom w:val="nil"/>
              <w:right w:val="nil"/>
            </w:tcBorders>
            <w:shd w:val="clear" w:color="auto" w:fill="FFFFFF"/>
          </w:tcPr>
          <w:p>
            <w:r>
              <w:t>183</w:t>
            </w:r>
          </w:p>
        </w:tc>
      </w:tr>
      <w:tr w14:paraId="737AC883">
        <w:tblPrEx>
          <w:tblCellMar>
            <w:top w:w="0" w:type="dxa"/>
            <w:left w:w="108" w:type="dxa"/>
            <w:bottom w:w="0" w:type="dxa"/>
            <w:right w:w="108" w:type="dxa"/>
          </w:tblCellMar>
        </w:tblPrEx>
        <w:tc>
          <w:tcPr>
            <w:tcBorders>
              <w:top w:val="nil"/>
              <w:left w:val="nil"/>
              <w:bottom w:val="single" w:color="000000" w:sz="12" w:space="0"/>
              <w:right w:val="nil"/>
            </w:tcBorders>
            <w:shd w:val="clear" w:color="auto" w:fill="FFFFFF"/>
          </w:tcPr>
          <w:p w14:paraId="0E930A41">
            <w:pPr>
              <w:pStyle w:val="54"/>
              <w:bidi w:val="0"/>
              <w:rPr>
                <w:b w:val="0"/>
              </w:rPr>
            </w:pPr>
            <w:r>
              <w:rPr>
                <w:rFonts w:hint="eastAsia"/>
                <w:b w:val="0"/>
              </w:rPr>
              <w:t>合计</w:t>
            </w:r>
          </w:p>
        </w:tc>
        <w:tc>
          <w:tcPr>
            <w:tcBorders>
              <w:top w:val="nil"/>
              <w:left w:val="nil"/>
              <w:bottom w:val="single" w:color="000000" w:sz="12" w:space="0"/>
              <w:right w:val="nil"/>
            </w:tcBorders>
            <w:shd w:val="clear" w:color="auto" w:fill="FFFFFF"/>
          </w:tcPr>
          <w:p w14:paraId="17FA237A">
            <w:pPr>
              <w:pStyle w:val="54"/>
              <w:bidi w:val="0"/>
              <w:rPr>
                <w:b w:val="0"/>
              </w:rPr>
            </w:pPr>
            <w:r>
              <w:rPr>
                <w:b w:val="0"/>
              </w:rPr>
              <w:t xml:space="preserve">8 </w:t>
            </w:r>
            <w:r>
              <w:rPr>
                <w:rFonts w:hint="eastAsia"/>
                <w:b w:val="0"/>
              </w:rPr>
              <w:t>个设施</w:t>
            </w:r>
          </w:p>
        </w:tc>
        <w:tc>
          <w:tcPr>
            <w:tcBorders>
              <w:top w:val="nil"/>
              <w:left w:val="nil"/>
              <w:bottom w:val="single" w:color="000000" w:sz="12" w:space="0"/>
              <w:right w:val="nil"/>
            </w:tcBorders>
            <w:shd w:val="clear" w:color="auto" w:fill="FFFFFF"/>
          </w:tcPr>
          <w:p w14:paraId="27542B43">
            <w:pPr>
              <w:pStyle w:val="54"/>
              <w:bidi w:val="0"/>
              <w:rPr>
                <w:b w:val="0"/>
              </w:rPr>
            </w:pPr>
            <w:r>
              <w:rPr>
                <w:b w:val="0"/>
              </w:rPr>
              <w:t xml:space="preserve">5 </w:t>
            </w:r>
            <w:r>
              <w:rPr>
                <w:rFonts w:hint="eastAsia"/>
                <w:b w:val="0"/>
              </w:rPr>
              <w:t>个特异设施模型、3</w:t>
            </w:r>
            <w:r>
              <w:rPr>
                <w:b w:val="0"/>
              </w:rPr>
              <w:t xml:space="preserve"> </w:t>
            </w:r>
            <w:r>
              <w:rPr>
                <w:rFonts w:hint="eastAsia"/>
                <w:b w:val="0"/>
              </w:rPr>
              <w:t>个等效设施模型</w:t>
            </w:r>
          </w:p>
        </w:tc>
        <w:tc>
          <w:tcPr>
            <w:tcBorders>
              <w:top w:val="nil"/>
              <w:left w:val="nil"/>
              <w:bottom w:val="single" w:color="000000" w:sz="12" w:space="0"/>
              <w:right w:val="nil"/>
            </w:tcBorders>
            <w:shd w:val="clear" w:color="auto" w:fill="FFFFFF"/>
          </w:tcPr>
          <w:p w14:paraId="4BE2802A">
            <w:pPr>
              <w:pStyle w:val="54"/>
              <w:bidi w:val="0"/>
              <w:rPr>
                <w:b w:val="0"/>
              </w:rPr>
            </w:pPr>
            <w:r>
              <w:rPr>
                <w:b w:val="0"/>
              </w:rPr>
              <w:t>—</w:t>
            </w:r>
          </w:p>
        </w:tc>
        <w:tc>
          <w:tcPr>
            <w:tcBorders>
              <w:top w:val="nil"/>
              <w:left w:val="nil"/>
              <w:bottom w:val="single" w:color="000000" w:sz="12" w:space="0"/>
              <w:right w:val="nil"/>
            </w:tcBorders>
            <w:shd w:val="clear" w:color="auto" w:fill="FFFFFF"/>
          </w:tcPr>
          <w:p>
            <w:r>
              <w:t>1512</w:t>
            </w:r>
          </w:p>
        </w:tc>
      </w:tr>
    </w:tbl>
    <w:p w14:paraId="50CFECBF">
      <w:pPr>
        <w:pStyle w:val="4"/>
        <w:numPr>
          <w:ilvl w:val="2"/>
          <w:numId w:val="0"/>
        </w:numPr>
        <w:bidi w:val="0"/>
        <w:ind w:leftChars="0"/>
        <w:rPr>
          <w:rStyle w:val="23"/>
          <w:rFonts w:hint="default" w:ascii="Times New Roman" w:hAnsi="Times New Roman" w:cs="Times New Roman"/>
          <w:szCs w:val="24"/>
          <w:lang w:val="en-US" w:eastAsia="zh-CN"/>
        </w:rPr>
      </w:pPr>
    </w:p>
    <w:p w14:paraId="4FE876A7">
      <w:pPr>
        <w:pStyle w:val="4"/>
        <w:bidi w:val="0"/>
        <w:ind w:left="720" w:leftChars="0" w:hanging="720" w:firstLineChars="0"/>
        <w:rPr>
          <w:rStyle w:val="23"/>
          <w:rFonts w:hint="default" w:ascii="Times New Roman" w:hAnsi="Times New Roman" w:cs="Times New Roman"/>
          <w:szCs w:val="24"/>
          <w:lang w:val="en-US" w:eastAsia="zh-CN"/>
        </w:rPr>
      </w:pPr>
      <w:bookmarkStart w:id="5" w:name="_Toc15233"/>
      <w:r>
        <w:rPr>
          <w:rStyle w:val="23"/>
          <w:rFonts w:hint="default" w:ascii="Times New Roman" w:hAnsi="Times New Roman" w:cs="Times New Roman"/>
          <w:szCs w:val="24"/>
          <w:lang w:val="en-US" w:eastAsia="zh-CN"/>
        </w:rPr>
        <w:t>热辐射HS与建筑响应特征</w:t>
      </w:r>
      <w:bookmarkEnd w:id="5"/>
    </w:p>
    <w:p w14:paraId="344C75CC">
      <w:pPr>
        <w:rPr>
          <w:rFonts w:hint="eastAsia" w:ascii="Times New Roman" w:hAnsi="Times New Roman" w:cs="Times New Roman"/>
          <w:lang w:val="en-US" w:eastAsia="zh-CN"/>
        </w:rPr>
      </w:pPr>
      <w:r>
        <w:rPr>
          <w:rFonts w:hint="eastAsia" w:ascii="Times New Roman" w:hAnsi="Times New Roman" w:cs="Times New Roman"/>
          <w:lang w:val="en-US" w:eastAsia="zh-CN"/>
        </w:rPr>
        <w:t>冶金设施的设施级损伤主要受热源强度、作用时间、受热方向、建筑体量、迎火侧开口和敏感目标分布共同影响。热通量和热剂量决定外部能量输入；方位角和俯仰角决定受热墙面及开口位置；建筑平面面积、体积和高度通过迎火侧墙面面积、总开口比例等模型输入反映热量在设施空间中的分布条件；可燃物与敏感目标的密度及迎火侧比例则决定可能形成有效损伤的目标数量。</w:t>
      </w:r>
    </w:p>
    <w:p w14:paraId="7CD2D4C7">
      <w:pPr>
        <w:rPr>
          <w:rFonts w:hint="default" w:ascii="Times New Roman" w:hAnsi="Times New Roman" w:cs="Times New Roman"/>
          <w:lang w:val="en-US" w:eastAsia="zh-CN"/>
        </w:rPr>
      </w:pPr>
      <w:r>
        <w:rPr>
          <w:rFonts w:hint="eastAsia" w:ascii="Times New Roman" w:hAnsi="Times New Roman" w:cs="Times New Roman"/>
          <w:lang w:val="en-US" w:eastAsia="zh-CN"/>
        </w:rPr>
        <w:t>设施级损伤并不是单一测点温度或局部设备损伤的直接替代。大型设施即使出现少量局部资产受损，其维修成本占设施总资产价值的比例仍可能较低；而目标较集中、迎火侧开口较大或敏感目标直接暴露的方向，则更容易跨越损伤等级阈值。因此，阈值分析必须同时考虑热源条件、方向和设施工程特征。</w:t>
      </w:r>
    </w:p>
    <w:p w14:paraId="271C3BF3">
      <w:pPr>
        <w:rPr>
          <w:rFonts w:hint="default" w:ascii="Times New Roman" w:hAnsi="Times New Roman" w:cs="Times New Roman"/>
          <w:lang w:val="en-US" w:eastAsia="zh-CN"/>
        </w:rPr>
      </w:pPr>
    </w:p>
    <w:p w14:paraId="3926F55F">
      <w:pPr>
        <w:pStyle w:val="3"/>
        <w:bidi w:val="0"/>
        <w:ind w:left="575" w:leftChars="0" w:hanging="575" w:firstLineChars="0"/>
        <w:rPr>
          <w:rFonts w:hint="default" w:ascii="Times New Roman" w:hAnsi="Times New Roman" w:cs="Times New Roman"/>
          <w:lang w:val="en-US" w:eastAsia="zh-CN"/>
        </w:rPr>
      </w:pPr>
      <w:bookmarkStart w:id="6" w:name="_Toc29420"/>
      <w:r>
        <w:rPr>
          <w:rFonts w:hint="default" w:ascii="Times New Roman" w:hAnsi="Times New Roman" w:cs="Times New Roman"/>
          <w:lang w:val="en-US" w:eastAsia="zh-CN"/>
        </w:rPr>
        <w:t>研究目标与范围</w:t>
      </w:r>
      <w:bookmarkEnd w:id="6"/>
    </w:p>
    <w:p w14:paraId="0B29D725">
      <w:pPr>
        <w:rPr>
          <w:rFonts w:hint="default" w:ascii="Times New Roman" w:hAnsi="Times New Roman" w:cs="Times New Roman"/>
          <w:lang w:val="en-US" w:eastAsia="zh-CN"/>
        </w:rPr>
      </w:pPr>
      <w:r>
        <w:rPr>
          <w:rFonts w:hint="default" w:ascii="Times New Roman" w:hAnsi="Times New Roman" w:cs="Times New Roman"/>
          <w:lang w:val="en-US" w:eastAsia="zh-CN"/>
        </w:rPr>
        <w:t>本研究面向工程快速评估需求，在 FDS 计算结果基础上建立热辐射工况与设施级 Dk 之间的映射。模型既输出连续 Dk，用于同等级内部的风险排序，又输出基本完好、轻微破坏、中等破坏和严重破坏四级结果，用于工程判定。通过批量扫描热通量、方位角、俯仰角和持续时间，可形成各冶金设施在不同方向与工况下的损伤响应规律，为进一步开展精细仿真提供依据。</w:t>
      </w:r>
    </w:p>
    <w:p w14:paraId="66F485C2">
      <w:pPr>
        <w:rPr>
          <w:rFonts w:hint="default" w:ascii="Times New Roman" w:hAnsi="Times New Roman" w:cs="Times New Roman"/>
          <w:lang w:val="en-US" w:eastAsia="zh-CN"/>
        </w:rPr>
      </w:pPr>
      <w:r>
        <w:rPr>
          <w:rFonts w:hint="default" w:ascii="Times New Roman" w:hAnsi="Times New Roman" w:cs="Times New Roman"/>
          <w:lang w:val="en-US" w:eastAsia="zh-CN"/>
        </w:rPr>
        <w:t>基于项目需求和工程实际，确定以下具体技术指标：</w:t>
      </w:r>
    </w:p>
    <w:p w14:paraId="2205C845">
      <w:pPr>
        <w:rPr>
          <w:rFonts w:hint="default" w:ascii="Times New Roman" w:hAnsi="Times New Roman" w:cs="Times New Roman"/>
        </w:rPr>
      </w:pPr>
      <w:r>
        <w:rPr>
          <w:rFonts w:hint="default" w:ascii="Times New Roman" w:hAnsi="Times New Roman" w:cs="Times New Roman"/>
        </w:rPr>
        <w:t>（1）单次计算仿真时间不超过1分钟；</w:t>
      </w:r>
    </w:p>
    <w:p w14:paraId="533616FA">
      <w:pPr>
        <w:rPr>
          <w:rFonts w:hint="default" w:ascii="Times New Roman" w:hAnsi="Times New Roman" w:cs="Times New Roman"/>
        </w:rPr>
      </w:pPr>
      <w:r>
        <w:rPr>
          <w:rFonts w:hint="default" w:ascii="Times New Roman" w:hAnsi="Times New Roman" w:cs="Times New Roman"/>
        </w:rPr>
        <w:t>（2）预测结果较精算结果误差不超过5%，满足工程应用的精度要求；</w:t>
      </w:r>
    </w:p>
    <w:p w14:paraId="7E82569F">
      <w:pPr>
        <w:rPr>
          <w:rFonts w:hint="default" w:ascii="Times New Roman" w:hAnsi="Times New Roman" w:cs="Times New Roman"/>
        </w:rPr>
      </w:pPr>
      <w:r>
        <w:rPr>
          <w:rFonts w:hint="default" w:ascii="Times New Roman" w:hAnsi="Times New Roman" w:cs="Times New Roman"/>
        </w:rPr>
        <w:t>（3）覆盖</w:t>
      </w:r>
      <w:r>
        <w:rPr>
          <w:rFonts w:hint="eastAsia" w:ascii="Times New Roman" w:hAnsi="Times New Roman" w:cs="Times New Roman"/>
          <w:lang w:eastAsia="zh-CN"/>
        </w:rPr>
        <w:t>冶金设施</w:t>
      </w:r>
      <w:r>
        <w:rPr>
          <w:rFonts w:hint="default" w:ascii="Times New Roman" w:hAnsi="Times New Roman" w:cs="Times New Roman"/>
        </w:rPr>
        <w:t>和的</w:t>
      </w:r>
      <w:r>
        <w:rPr>
          <w:rFonts w:hint="default" w:ascii="Times New Roman" w:hAnsi="Times New Roman" w:cs="Times New Roman"/>
          <w:lang w:eastAsia="zh-CN"/>
        </w:rPr>
        <w:t>HS</w:t>
      </w:r>
      <w:r>
        <w:rPr>
          <w:rFonts w:hint="default" w:ascii="Times New Roman" w:hAnsi="Times New Roman" w:cs="Times New Roman"/>
        </w:rPr>
        <w:t>评估场景；</w:t>
      </w:r>
    </w:p>
    <w:p w14:paraId="18D9561D">
      <w:pPr>
        <w:rPr>
          <w:rFonts w:hint="default" w:ascii="Times New Roman" w:hAnsi="Times New Roman" w:eastAsia="宋体" w:cs="Times New Roman"/>
          <w:lang w:eastAsia="zh-CN"/>
        </w:rPr>
      </w:pPr>
      <w:r>
        <w:rPr>
          <w:rFonts w:hint="default" w:ascii="Times New Roman" w:hAnsi="Times New Roman" w:cs="Times New Roman"/>
        </w:rPr>
        <w:t>（4）提供设施整体的</w:t>
      </w:r>
      <w:r>
        <w:rPr>
          <w:rFonts w:hint="default" w:ascii="Times New Roman" w:hAnsi="Times New Roman" w:cs="Times New Roman"/>
          <w:lang w:eastAsia="zh-CN"/>
        </w:rPr>
        <w:t>HS</w:t>
      </w:r>
      <w:r>
        <w:rPr>
          <w:rFonts w:hint="default" w:ascii="Times New Roman" w:hAnsi="Times New Roman" w:cs="Times New Roman"/>
        </w:rPr>
        <w:t>等级输出；</w:t>
      </w:r>
    </w:p>
    <w:p w14:paraId="1DD275FC">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1</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代理模型技术指标要求</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8"/>
        <w:gridCol w:w="2128"/>
        <w:gridCol w:w="2134"/>
        <w:gridCol w:w="2132"/>
      </w:tblGrid>
      <w:tr w14:paraId="48F2E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12" w:space="0"/>
              <w:left w:val="nil"/>
              <w:bottom w:val="single" w:color="000000" w:sz="4" w:space="0"/>
              <w:right w:val="nil"/>
              <w:tl2br w:val="nil"/>
            </w:tcBorders>
            <w:shd w:val="clear" w:color="auto" w:fill="FFFFFF"/>
          </w:tcPr>
          <w:p w14:paraId="1D454B51">
            <w:pPr>
              <w:pStyle w:val="54"/>
              <w:bidi w:val="0"/>
              <w:rPr>
                <w:rFonts w:hint="default"/>
              </w:rPr>
            </w:pPr>
            <w:r>
              <w:rPr>
                <w:rFonts w:hint="default"/>
              </w:rPr>
              <w:t>指标类别</w:t>
            </w:r>
          </w:p>
        </w:tc>
        <w:tc>
          <w:tcPr>
            <w:tcW w:w="2128" w:type="dxa"/>
            <w:tcBorders>
              <w:top w:val="single" w:color="000000" w:sz="12" w:space="0"/>
              <w:left w:val="nil"/>
              <w:bottom w:val="single" w:color="000000" w:sz="4" w:space="0"/>
              <w:right w:val="nil"/>
            </w:tcBorders>
            <w:shd w:val="clear" w:color="auto" w:fill="FFFFFF"/>
          </w:tcPr>
          <w:p w14:paraId="26FE02A9">
            <w:pPr>
              <w:pStyle w:val="54"/>
              <w:bidi w:val="0"/>
              <w:rPr>
                <w:rFonts w:hint="default"/>
              </w:rPr>
            </w:pPr>
            <w:r>
              <w:rPr>
                <w:rFonts w:hint="default"/>
              </w:rPr>
              <w:t>具体指标</w:t>
            </w:r>
          </w:p>
        </w:tc>
        <w:tc>
          <w:tcPr>
            <w:tcW w:w="2134" w:type="dxa"/>
            <w:tcBorders>
              <w:top w:val="single" w:color="000000" w:sz="12" w:space="0"/>
              <w:left w:val="nil"/>
              <w:bottom w:val="single" w:color="000000" w:sz="4" w:space="0"/>
              <w:right w:val="nil"/>
            </w:tcBorders>
            <w:shd w:val="clear" w:color="auto" w:fill="FFFFFF"/>
          </w:tcPr>
          <w:p w14:paraId="7BEB0FFF">
            <w:pPr>
              <w:pStyle w:val="54"/>
              <w:bidi w:val="0"/>
              <w:rPr>
                <w:rFonts w:hint="default"/>
              </w:rPr>
            </w:pPr>
            <w:r>
              <w:rPr>
                <w:rFonts w:hint="default"/>
              </w:rPr>
              <w:t>目标值</w:t>
            </w:r>
          </w:p>
        </w:tc>
        <w:tc>
          <w:tcPr>
            <w:tcW w:w="2132" w:type="dxa"/>
            <w:tcBorders>
              <w:top w:val="single" w:color="000000" w:sz="12" w:space="0"/>
              <w:left w:val="nil"/>
              <w:bottom w:val="single" w:color="000000" w:sz="4" w:space="0"/>
              <w:right w:val="nil"/>
            </w:tcBorders>
            <w:shd w:val="clear" w:color="auto" w:fill="FFFFFF"/>
          </w:tcPr>
          <w:p w14:paraId="289FB2FE">
            <w:pPr>
              <w:pStyle w:val="54"/>
              <w:bidi w:val="0"/>
              <w:rPr>
                <w:rFonts w:hint="default"/>
              </w:rPr>
            </w:pPr>
            <w:r>
              <w:rPr>
                <w:rFonts w:hint="default"/>
              </w:rPr>
              <w:t>备注</w:t>
            </w:r>
          </w:p>
        </w:tc>
      </w:tr>
      <w:tr w14:paraId="2ECE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single" w:color="000000" w:sz="4" w:space="0"/>
              <w:left w:val="nil"/>
              <w:bottom w:val="nil"/>
              <w:right w:val="nil"/>
            </w:tcBorders>
            <w:shd w:val="clear" w:color="auto" w:fill="FFFFFF"/>
          </w:tcPr>
          <w:p w14:paraId="6B87D6B8">
            <w:pPr>
              <w:pStyle w:val="54"/>
              <w:bidi w:val="0"/>
              <w:rPr>
                <w:rFonts w:hint="default"/>
              </w:rPr>
            </w:pPr>
            <w:r>
              <w:rPr>
                <w:rFonts w:hint="default"/>
              </w:rPr>
              <w:t>计算效率</w:t>
            </w:r>
          </w:p>
        </w:tc>
        <w:tc>
          <w:tcPr>
            <w:tcW w:w="2128" w:type="dxa"/>
            <w:tcBorders>
              <w:top w:val="single" w:color="000000" w:sz="4" w:space="0"/>
              <w:left w:val="nil"/>
              <w:bottom w:val="nil"/>
              <w:right w:val="nil"/>
            </w:tcBorders>
            <w:shd w:val="clear" w:color="auto" w:fill="FFFFFF"/>
          </w:tcPr>
          <w:p w14:paraId="7BB8284A">
            <w:pPr>
              <w:pStyle w:val="54"/>
              <w:bidi w:val="0"/>
              <w:rPr>
                <w:rFonts w:hint="default"/>
              </w:rPr>
            </w:pPr>
            <w:r>
              <w:rPr>
                <w:rFonts w:hint="default"/>
              </w:rPr>
              <w:t>单次预测时间</w:t>
            </w:r>
          </w:p>
        </w:tc>
        <w:tc>
          <w:tcPr>
            <w:tcW w:w="2134" w:type="dxa"/>
            <w:tcBorders>
              <w:top w:val="single" w:color="000000" w:sz="4" w:space="0"/>
              <w:left w:val="nil"/>
              <w:bottom w:val="nil"/>
              <w:right w:val="nil"/>
            </w:tcBorders>
            <w:shd w:val="clear" w:color="auto" w:fill="FFFFFF"/>
          </w:tcPr>
          <w:p w14:paraId="5B791A2E">
            <w:pPr>
              <w:pStyle w:val="54"/>
              <w:bidi w:val="0"/>
              <w:rPr>
                <w:rFonts w:hint="default"/>
              </w:rPr>
            </w:pPr>
            <w:r>
              <w:rPr>
                <w:rFonts w:hint="default"/>
              </w:rPr>
              <w:t>&lt;1分钟</w:t>
            </w:r>
          </w:p>
        </w:tc>
        <w:tc>
          <w:tcPr>
            <w:tcW w:w="2132" w:type="dxa"/>
            <w:tcBorders>
              <w:top w:val="single" w:color="000000" w:sz="4" w:space="0"/>
              <w:left w:val="nil"/>
              <w:bottom w:val="nil"/>
              <w:right w:val="nil"/>
            </w:tcBorders>
            <w:shd w:val="clear" w:color="auto" w:fill="FFFFFF"/>
          </w:tcPr>
          <w:p>
            <w:r>
              <w:t>首次加载约数秒；本地热缓存平均约0.72 s，含依赖导入、模型加载、特征计算和推理</w:t>
            </w:r>
          </w:p>
        </w:tc>
      </w:tr>
      <w:tr w14:paraId="5FF9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28" w:type="dxa"/>
            <w:tcBorders>
              <w:top w:val="nil"/>
              <w:left w:val="nil"/>
              <w:bottom w:val="nil"/>
              <w:right w:val="nil"/>
            </w:tcBorders>
            <w:shd w:val="clear" w:color="auto" w:fill="FFFFFF"/>
          </w:tcPr>
          <w:p w14:paraId="2A82A000">
            <w:pPr>
              <w:pStyle w:val="54"/>
              <w:bidi w:val="0"/>
              <w:rPr>
                <w:rFonts w:hint="default"/>
              </w:rPr>
            </w:pPr>
            <w:r>
              <w:rPr>
                <w:rFonts w:hint="default"/>
              </w:rPr>
              <w:t>预测精度</w:t>
            </w:r>
          </w:p>
        </w:tc>
        <w:tc>
          <w:tcPr>
            <w:tcW w:w="2128" w:type="dxa"/>
            <w:tcBorders>
              <w:top w:val="nil"/>
              <w:left w:val="nil"/>
              <w:bottom w:val="nil"/>
              <w:right w:val="nil"/>
            </w:tcBorders>
            <w:shd w:val="clear" w:color="auto" w:fill="FFFFFF"/>
          </w:tcPr>
          <w:p w14:paraId="7B630FEA">
            <w:pPr>
              <w:pStyle w:val="54"/>
              <w:bidi w:val="0"/>
              <w:rPr>
                <w:rFonts w:hint="default"/>
              </w:rPr>
            </w:pPr>
            <w:r>
              <w:rPr>
                <w:rFonts w:hint="default"/>
              </w:rPr>
              <w:t>预测误差</w:t>
            </w:r>
          </w:p>
        </w:tc>
        <w:tc>
          <w:tcPr>
            <w:tcW w:w="2134" w:type="dxa"/>
            <w:tcBorders>
              <w:top w:val="nil"/>
              <w:left w:val="nil"/>
              <w:bottom w:val="nil"/>
              <w:right w:val="nil"/>
            </w:tcBorders>
            <w:shd w:val="clear" w:color="auto" w:fill="FFFFFF"/>
          </w:tcPr>
          <w:p w14:paraId="29317397">
            <w:pPr>
              <w:pStyle w:val="54"/>
              <w:bidi w:val="0"/>
              <w:rPr>
                <w:rFonts w:hint="default"/>
              </w:rPr>
            </w:pPr>
            <w:r>
              <w:rPr>
                <w:rFonts w:hint="default"/>
              </w:rPr>
              <w:t>&lt;5%</w:t>
            </w:r>
          </w:p>
        </w:tc>
        <w:tc>
          <w:tcPr>
            <w:tcW w:w="2132" w:type="dxa"/>
            <w:tcBorders>
              <w:top w:val="nil"/>
              <w:left w:val="nil"/>
              <w:bottom w:val="nil"/>
              <w:right w:val="nil"/>
            </w:tcBorders>
            <w:shd w:val="clear" w:color="auto" w:fill="FFFFFF"/>
          </w:tcPr>
          <w:p w14:paraId="4583721A">
            <w:pPr>
              <w:pStyle w:val="54"/>
              <w:bidi w:val="0"/>
              <w:rPr>
                <w:rFonts w:hint="default"/>
              </w:rPr>
            </w:pPr>
            <w:r>
              <w:rPr>
                <w:rFonts w:hint="default"/>
              </w:rPr>
              <w:t>较精算结果对比</w:t>
            </w:r>
          </w:p>
        </w:tc>
      </w:tr>
      <w:tr w14:paraId="3E97B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28" w:type="dxa"/>
            <w:tcBorders>
              <w:top w:val="nil"/>
              <w:left w:val="nil"/>
              <w:bottom w:val="single" w:color="000000" w:sz="12" w:space="0"/>
              <w:right w:val="nil"/>
            </w:tcBorders>
            <w:shd w:val="clear" w:color="auto" w:fill="FFFFFF"/>
            <w:vAlign w:val="top"/>
          </w:tcPr>
          <w:p w14:paraId="2AE0D3BB">
            <w:pPr>
              <w:pStyle w:val="54"/>
              <w:bidi w:val="0"/>
              <w:rPr>
                <w:rFonts w:hint="default"/>
              </w:rPr>
            </w:pPr>
            <w:r>
              <w:rPr>
                <w:rFonts w:hint="default"/>
              </w:rPr>
              <w:t>覆盖范围</w:t>
            </w:r>
          </w:p>
        </w:tc>
        <w:tc>
          <w:tcPr>
            <w:tcW w:w="2128" w:type="dxa"/>
            <w:tcBorders>
              <w:top w:val="nil"/>
              <w:left w:val="nil"/>
              <w:bottom w:val="single" w:color="000000" w:sz="12" w:space="0"/>
              <w:right w:val="nil"/>
            </w:tcBorders>
            <w:shd w:val="clear" w:color="auto" w:fill="FFFFFF"/>
            <w:vAlign w:val="top"/>
          </w:tcPr>
          <w:p w14:paraId="655C1EAD">
            <w:pPr>
              <w:pStyle w:val="54"/>
              <w:bidi w:val="0"/>
              <w:rPr>
                <w:rFonts w:hint="default"/>
              </w:rPr>
            </w:pPr>
            <w:r>
              <w:rPr>
                <w:rFonts w:hint="eastAsia"/>
                <w:lang w:eastAsia="zh-CN"/>
              </w:rPr>
              <w:t>冶金设施</w:t>
            </w:r>
          </w:p>
        </w:tc>
        <w:tc>
          <w:tcPr>
            <w:tcW w:w="2134" w:type="dxa"/>
            <w:tcBorders>
              <w:top w:val="nil"/>
              <w:left w:val="nil"/>
              <w:bottom w:val="single" w:color="000000" w:sz="12" w:space="0"/>
              <w:right w:val="nil"/>
            </w:tcBorders>
            <w:shd w:val="clear" w:color="auto" w:fill="FFFFFF"/>
            <w:vAlign w:val="top"/>
          </w:tcPr>
          <w:p w14:paraId="378214BC">
            <w:pPr>
              <w:pStyle w:val="54"/>
              <w:bidi w:val="0"/>
              <w:rPr>
                <w:rFonts w:hint="default"/>
              </w:rPr>
            </w:pPr>
          </w:p>
        </w:tc>
        <w:tc>
          <w:tcPr>
            <w:tcW w:w="2132" w:type="dxa"/>
            <w:tcBorders>
              <w:top w:val="nil"/>
              <w:left w:val="nil"/>
              <w:bottom w:val="single" w:color="000000" w:sz="12" w:space="0"/>
              <w:right w:val="nil"/>
            </w:tcBorders>
            <w:shd w:val="clear" w:color="auto" w:fill="FFFFFF"/>
            <w:vAlign w:val="top"/>
          </w:tcPr>
          <w:p w14:paraId="52BD309C">
            <w:pPr>
              <w:pStyle w:val="54"/>
              <w:bidi w:val="0"/>
              <w:rPr>
                <w:rFonts w:hint="default"/>
              </w:rPr>
            </w:pPr>
            <w:r>
              <w:rPr>
                <w:rFonts w:hint="default"/>
              </w:rPr>
              <w:t>发射控制中心等</w:t>
            </w:r>
          </w:p>
        </w:tc>
      </w:tr>
    </w:tbl>
    <w:p w14:paraId="55F85E15">
      <w:pPr>
        <w:rPr>
          <w:rFonts w:hint="default" w:ascii="Times New Roman" w:hAnsi="Times New Roman" w:cs="Times New Roman"/>
          <w:lang w:val="en-US" w:eastAsia="zh-CN"/>
        </w:rPr>
      </w:pPr>
    </w:p>
    <w:p w14:paraId="5670DDF6">
      <w:pPr>
        <w:spacing w:line="360" w:lineRule="auto"/>
        <w:jc w:val="left"/>
        <w:outlineLvl w:val="0"/>
        <w:rPr>
          <w:rStyle w:val="23"/>
          <w:rFonts w:hint="default" w:ascii="Times New Roman" w:hAnsi="Times New Roman" w:cs="Times New Roman"/>
          <w:b/>
          <w:sz w:val="32"/>
          <w:szCs w:val="32"/>
          <w:lang w:val="en-US" w:eastAsia="zh-CN"/>
        </w:rPr>
        <w:sectPr>
          <w:footerReference r:id="rId10" w:type="default"/>
          <w:pgSz w:w="11906" w:h="16838"/>
          <w:pgMar w:top="1440" w:right="1800" w:bottom="1440" w:left="1800" w:header="851" w:footer="992" w:gutter="0"/>
          <w:pgNumType w:fmt="decimal"/>
          <w:cols w:space="720" w:num="1"/>
          <w:docGrid w:type="lines" w:linePitch="326" w:charSpace="0"/>
        </w:sectPr>
      </w:pPr>
    </w:p>
    <w:p w14:paraId="2D09EB4F">
      <w:pPr>
        <w:pStyle w:val="2"/>
        <w:bidi w:val="0"/>
        <w:ind w:left="432" w:leftChars="0" w:hanging="432" w:firstLineChars="0"/>
        <w:rPr>
          <w:rStyle w:val="23"/>
          <w:rFonts w:hint="default" w:ascii="Times New Roman" w:hAnsi="Times New Roman" w:cs="Times New Roman"/>
          <w:b/>
          <w:szCs w:val="32"/>
          <w:lang w:val="en-US" w:eastAsia="zh-CN"/>
        </w:rPr>
      </w:pPr>
      <w:bookmarkStart w:id="7" w:name="_Toc18227"/>
      <w:r>
        <w:rPr>
          <w:rStyle w:val="23"/>
          <w:rFonts w:hint="default" w:ascii="Times New Roman" w:hAnsi="Times New Roman" w:cs="Times New Roman"/>
          <w:b/>
          <w:szCs w:val="32"/>
          <w:lang w:val="en-US" w:eastAsia="zh-CN"/>
        </w:rPr>
        <w:t>数据体系建设</w:t>
      </w:r>
      <w:bookmarkEnd w:id="7"/>
    </w:p>
    <w:p w14:paraId="02438708">
      <w:pPr>
        <w:pStyle w:val="3"/>
        <w:bidi w:val="0"/>
        <w:rPr>
          <w:rFonts w:hint="default" w:ascii="Times New Roman" w:hAnsi="Times New Roman" w:cs="Times New Roman"/>
          <w:lang w:val="en-US" w:eastAsia="zh-CN"/>
        </w:rPr>
      </w:pPr>
      <w:bookmarkStart w:id="8" w:name="_Toc32761"/>
      <w:r>
        <w:rPr>
          <w:rFonts w:hint="default" w:ascii="Times New Roman" w:hAnsi="Times New Roman" w:cs="Times New Roman"/>
          <w:lang w:val="en-US" w:eastAsia="zh-CN"/>
        </w:rPr>
        <w:t>数据组成</w:t>
      </w:r>
      <w:bookmarkEnd w:id="8"/>
    </w:p>
    <w:p w14:paraId="60C28E4E">
      <w:pPr>
        <w:rPr>
          <w:rFonts w:hint="default" w:ascii="Times New Roman" w:hAnsi="Times New Roman" w:cs="Times New Roman"/>
          <w:lang w:val="en-US" w:eastAsia="zh-CN"/>
        </w:rPr>
      </w:pPr>
      <w:r>
        <w:rPr>
          <w:rFonts w:hint="default" w:ascii="Times New Roman" w:hAnsi="Times New Roman" w:cs="Times New Roman"/>
          <w:lang w:val="en-US" w:eastAsia="zh-CN"/>
        </w:rPr>
        <w:t>每条工况由设施 FDS 模型和对应的损伤计算结果共同组成。FDS 模型提供建筑计算域、障碍物、门窗与通风口、设备测点、敏感目标位置以及热辐射输入；损伤计算结果提供设施修复成本、资产价值和连续损伤指数 Dk。经过完整性、有效性和取值范围检查后，形成 6558 条合格工况，其中冶金设施 1512 条。</w:t>
      </w:r>
    </w:p>
    <w:p w14:paraId="13F994B4">
      <w:pPr>
        <w:rPr>
          <w:rFonts w:hint="default" w:ascii="Times New Roman" w:hAnsi="Times New Roman" w:cs="Times New Roman"/>
          <w:lang w:val="en-US" w:eastAsia="zh-CN"/>
        </w:rPr>
      </w:pPr>
      <w:r>
        <w:rPr>
          <w:rFonts w:hint="default" w:ascii="Times New Roman" w:hAnsi="Times New Roman" w:cs="Times New Roman"/>
          <w:lang w:val="en-US" w:eastAsia="zh-CN"/>
        </w:rPr>
        <w:t>大、中、小等效设施按建筑平面尺度划分，用以表征不同体量下目标密度、开口比例和局部损伤占总资产价值比例的差异。由于实际厂房尺度是连续分布，无法逐一模拟，各规模档以一段长度、宽度范围定义，模拟时取该范围内的代表值。冶金等效设施涵盖电解、发电和钢铁生产等典型工艺空间，各规模的几何参数范围与代表值如下表所示。</w:t>
      </w:r>
    </w:p>
    <w:p w14:paraId="7925176B">
      <w:pPr>
        <w:pStyle w:val="16"/>
        <w:bidi w:val="0"/>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t xml:space="preserve"> </w:t>
      </w:r>
      <w:r>
        <w:rPr>
          <w:rFonts w:hint="eastAsia"/>
        </w:rPr>
        <w:t>冶金等效设施规模分级与典型几何参数</w:t>
      </w:r>
    </w:p>
    <w:p w14:paraId="4B35D8D6">
      <w:pPr>
        <w:rPr>
          <w:rFonts w:hint="default" w:ascii="Times New Roman" w:hAnsi="Times New Roman" w:cs="Times New Roman"/>
          <w:lang w:val="en-US" w:eastAsia="zh-CN"/>
        </w:rPr>
      </w:pPr>
      <w:r>
        <w:rPr>
          <w:rFonts w:hint="default" w:ascii="Times New Roman" w:hAnsi="Times New Roman" w:cs="Times New Roman"/>
          <w:lang w:val="en-US" w:eastAsia="zh-CN"/>
        </w:rPr>
        <w:t>从规模分级看，电解工厂呈典型的狭长连续布置形态，长度远大于宽度，反映电解槽系列沿长轴排列的工艺特点；钢铁厂以冶炼与轧制为主，尺度随产能增加在长宽两个方向同步扩展；专用电厂体量相对紧凑，高度随规模增长较快，并在大型规模采用多层布置。三种工艺空间在大、中、小三个尺度下体现了冶金设施"工艺决定形态"的典型特征。模拟代表值即各规模档在 FDS 建模中实际采用的长宽高，相邻档位之间以代表值中点划分边界。</w:t>
      </w:r>
    </w:p>
    <w:p w14:paraId="7925176B">
      <w:pPr>
        <w:pStyle w:val="16"/>
        <w:bidi w:val="0"/>
      </w:pPr>
      <w:r>
        <w:t xml:space="preserve">表 2-2 等效设施整体建筑面积范围</w:t>
      </w:r>
    </w:p>
    <w:tbl>
      <w:tblPr>
        <w:tblStyle w:val="12"/>
        <w:tblW w:w="0" w:type="auto"/>
        <w:tblInd w:w="0" w:type="dxa"/>
        <w:tblLayout w:type="autofit"/>
        <w:tblCellMar>
          <w:top w:w="0" w:type="dxa"/>
          <w:left w:w="108" w:type="dxa"/>
          <w:bottom w:w="0" w:type="dxa"/>
          <w:right w:w="108" w:type="dxa"/>
        </w:tblCellMar>
      </w:tblPr>
      <w:tblGrid>
        <w:gridCol w:w="1800"/>
        <w:gridCol w:w="6200"/>
      </w:tblGrid>
      <w:tr w14:paraId="1E1D9E0B">
        <w:tblPrEx>
          <w:tblCellMar>
            <w:top w:w="0" w:type="dxa"/>
            <w:left w:w="108" w:type="dxa"/>
            <w:bottom w:w="0" w:type="dxa"/>
            <w:right w:w="108" w:type="dxa"/>
          </w:tblCellMar>
        </w:tblPrEx>
        <w:trPr>
          <w:tblHeader/>
        </w:trPr>
        <w:tc>
          <w:tcPr>
            <w:tcBorders>
              <w:top w:val="single" w:color="000000" w:sz="12" w:space="0"/>
              <w:left w:val="nil"/>
              <w:bottom w:val="single" w:color="000000" w:sz="4" w:space="0"/>
              <w:right w:val="nil"/>
              <w:tl2br w:val="nil"/>
            </w:tcBorders>
            <w:shd w:val="clear" w:color="auto" w:fill="FFFFFF"/>
            <w:tcW w:w="1800" w:type="dxa"/>
          </w:tcPr>
          <w:p w14:paraId="6DE1E290">
            <w:pPr>
              <w:pStyle w:val="54"/>
              <w:bidi w:val="0"/>
            </w:pPr>
            <w:r>
              <w:rPr>
                <w:rFonts w:hint="eastAsia"/>
              </w:rPr>
              <w:t xml:space="preserve">规模</w:t>
            </w:r>
          </w:p>
        </w:tc>
        <w:tc>
          <w:tcPr>
            <w:tcBorders>
              <w:top w:val="single" w:color="000000" w:sz="12" w:space="0"/>
              <w:left w:val="nil"/>
              <w:bottom w:val="single" w:color="000000" w:sz="4" w:space="0"/>
              <w:right w:val="nil"/>
            </w:tcBorders>
            <w:shd w:val="clear" w:color="auto" w:fill="FFFFFF"/>
            <w:tcW w:w="6200" w:type="dxa"/>
          </w:tcPr>
          <w:p w14:paraId="606B6E08">
            <w:pPr>
              <w:pStyle w:val="54"/>
              <w:bidi w:val="0"/>
            </w:pPr>
            <w:r>
              <w:rPr>
                <w:rFonts w:hint="eastAsia"/>
              </w:rPr>
              <w:t xml:space="preserve">设施总建筑面积范围（m²）</w:t>
            </w:r>
          </w:p>
        </w:tc>
      </w:tr>
      <w:tr w14:paraId="0FD9B626">
        <w:tblPrEx>
          <w:tblCellMar>
            <w:top w:w="0" w:type="dxa"/>
            <w:left w:w="108" w:type="dxa"/>
            <w:bottom w:w="0" w:type="dxa"/>
            <w:right w:w="108" w:type="dxa"/>
          </w:tblCellMar>
        </w:tblPrEx>
        <w:tc>
          <w:tcPr>
            <w:tcBorders>
              <w:top w:val="single" w:color="000000" w:sz="4" w:space="0"/>
              <w:left w:val="nil"/>
              <w:bottom w:val="nil"/>
              <w:right w:val="nil"/>
            </w:tcBorders>
            <w:shd w:val="clear" w:color="auto" w:fill="FFFFFF"/>
            <w:tcW w:w="1800" w:type="dxa"/>
          </w:tcPr>
          <w:p w14:paraId="3CAE94DF">
            <w:pPr>
              <w:pStyle w:val="54"/>
              <w:bidi w:val="0"/>
            </w:pPr>
            <w:r>
              <w:rPr>
                <w:rFonts w:hint="eastAsia"/>
              </w:rPr>
              <w:t xml:space="preserve">小</w:t>
            </w:r>
          </w:p>
        </w:tc>
        <w:tc>
          <w:tcPr>
            <w:tcBorders>
              <w:top w:val="single" w:color="000000" w:sz="4" w:space="0"/>
              <w:left w:val="nil"/>
              <w:bottom w:val="nil"/>
              <w:right w:val="nil"/>
            </w:tcBorders>
            <w:shd w:val="clear" w:color="auto" w:fill="FFFFFF"/>
            <w:tcW w:w="6200" w:type="dxa"/>
          </w:tcPr>
          <w:p w14:paraId="0C33BD43">
            <w:pPr>
              <w:pStyle w:val="54"/>
              <w:bidi w:val="0"/>
            </w:pPr>
            <w:r>
              <w:rPr>
                <w:rFonts w:hint="eastAsia"/>
              </w:rPr>
              <w:t xml:space="preserve">≤10,008</w:t>
            </w:r>
          </w:p>
        </w:tc>
      </w:tr>
      <w:tr w14:paraId="55760C77">
        <w:tblPrEx>
          <w:tblCellMar>
            <w:top w:w="0" w:type="dxa"/>
            <w:left w:w="108" w:type="dxa"/>
            <w:bottom w:w="0" w:type="dxa"/>
            <w:right w:w="108" w:type="dxa"/>
          </w:tblCellMar>
        </w:tblPrEx>
        <w:tc>
          <w:tcPr>
            <w:tcBorders>
              <w:top w:val="nil"/>
              <w:left w:val="nil"/>
              <w:bottom w:val="nil"/>
              <w:right w:val="nil"/>
            </w:tcBorders>
            <w:shd w:val="clear" w:color="auto" w:fill="FFFFFF"/>
            <w:tcW w:w="1800" w:type="dxa"/>
          </w:tcPr>
          <w:p w14:paraId="4988F409">
            <w:pPr>
              <w:pStyle w:val="54"/>
              <w:bidi w:val="0"/>
            </w:pPr>
            <w:r>
              <w:rPr>
                <w:rFonts w:hint="eastAsia"/>
              </w:rPr>
              <w:t xml:space="preserve">中</w:t>
            </w:r>
          </w:p>
        </w:tc>
        <w:tc>
          <w:tcPr>
            <w:tcBorders>
              <w:top w:val="nil"/>
              <w:left w:val="nil"/>
              <w:bottom w:val="nil"/>
              <w:right w:val="nil"/>
            </w:tcBorders>
            <w:shd w:val="clear" w:color="auto" w:fill="FFFFFF"/>
            <w:tcW w:w="6200" w:type="dxa"/>
          </w:tcPr>
          <w:p w14:paraId="37A9CC38">
            <w:pPr>
              <w:pStyle w:val="54"/>
              <w:bidi w:val="0"/>
            </w:pPr>
            <w:r>
              <w:rPr>
                <w:rFonts w:hint="eastAsia"/>
              </w:rPr>
              <w:t xml:space="preserve">10,008–16,280</w:t>
            </w:r>
          </w:p>
        </w:tc>
      </w:tr>
      <w:tr w14:paraId="780FA0BD">
        <w:tc>
          <w:tcPr>
            <w:tcBorders>
              <w:top w:val="nil"/>
              <w:left w:val="nil"/>
              <w:bottom w:val="nil"/>
              <w:right w:val="nil"/>
            </w:tcBorders>
            <w:shd w:val="clear" w:color="auto" w:fill="FFFFFF"/>
            <w:tcW w:w="1800" w:type="dxa"/>
          </w:tcPr>
          <w:p w14:paraId="0F9C9579">
            <w:pPr>
              <w:pStyle w:val="54"/>
              <w:bidi w:val="0"/>
            </w:pPr>
            <w:r>
              <w:rPr>
                <w:rFonts w:hint="eastAsia"/>
              </w:rPr>
              <w:t xml:space="preserve">大</w:t>
            </w:r>
          </w:p>
        </w:tc>
        <w:tc>
          <w:tcPr>
            <w:tcBorders>
              <w:top w:val="nil"/>
              <w:left w:val="nil"/>
              <w:bottom w:val="nil"/>
              <w:right w:val="nil"/>
            </w:tcBorders>
            <w:shd w:val="clear" w:color="auto" w:fill="FFFFFF"/>
            <w:tcW w:w="6200" w:type="dxa"/>
          </w:tcPr>
          <w:p w14:paraId="62B21C3D">
            <w:pPr>
              <w:pStyle w:val="54"/>
              <w:bidi w:val="0"/>
            </w:pPr>
            <w:r>
              <w:rPr>
                <w:rFonts w:hint="eastAsia"/>
              </w:rPr>
              <w:t xml:space="preserve">&gt;16,280</w:t>
            </w:r>
          </w:p>
        </w:tc>
      </w:tr>
    </w:tbl>
    <w:p w14:paraId="4B35D8D6">
      <w:pPr>
        <w:rPr>
          <w:rFonts w:hint="default" w:ascii="Times New Roman" w:hAnsi="Times New Roman" w:cs="Times New Roman"/>
          <w:lang w:val="en-US" w:eastAsia="zh-CN"/>
        </w:rPr>
      </w:pPr>
      <w:r>
        <w:rPr>
          <w:rFonts w:hint="default" w:ascii="Times New Roman" w:hAnsi="Times New Roman" w:cs="Times New Roman"/>
          <w:lang w:val="en-US" w:eastAsia="zh-CN"/>
        </w:rPr>
        <w:t xml:space="preserve">整体建筑面积范围由各建筑在该规模档内的长度与宽度范围换算得到，反映设施级面积对应的小、中、大区间；表中上、下限是相邻规模档的分界值，不表示任一规模档只能取该具体面积。</w:t>
      </w:r>
    </w:p>
    <w:p w14:paraId="0F37218D">
      <w:pPr>
        <w:pStyle w:val="3"/>
        <w:bidi w:val="0"/>
        <w:ind w:left="575" w:leftChars="0" w:hanging="575" w:firstLineChars="0"/>
        <w:rPr>
          <w:rStyle w:val="23"/>
          <w:rFonts w:hint="default" w:ascii="Times New Roman" w:hAnsi="Times New Roman" w:cs="Times New Roman"/>
          <w:b/>
          <w:szCs w:val="28"/>
          <w:lang w:val="en-US" w:eastAsia="zh-CN"/>
        </w:rPr>
      </w:pPr>
      <w:bookmarkStart w:id="9" w:name="_Toc1355"/>
      <w:r>
        <w:rPr>
          <w:rStyle w:val="23"/>
          <w:rFonts w:hint="default" w:ascii="Times New Roman" w:hAnsi="Times New Roman" w:cs="Times New Roman"/>
          <w:b/>
          <w:szCs w:val="28"/>
          <w:lang w:val="en-US" w:eastAsia="zh-CN"/>
        </w:rPr>
        <w:t>工况覆盖</w:t>
      </w:r>
      <w:bookmarkEnd w:id="9"/>
    </w:p>
    <w:p w14:paraId="2EE0EC19">
      <w:pPr>
        <w:rPr>
          <w:rFonts w:hint="eastAsia" w:ascii="Times New Roman" w:hAnsi="Times New Roman" w:cs="Times New Roman"/>
          <w:lang w:val="en-US" w:eastAsia="zh-CN"/>
        </w:rPr>
      </w:pPr>
      <w:r>
        <w:rPr>
          <w:rFonts w:hint="eastAsia" w:ascii="Times New Roman" w:hAnsi="Times New Roman" w:cs="Times New Roman"/>
          <w:lang w:val="en-US" w:eastAsia="zh-CN"/>
        </w:rPr>
        <w:t>冶金设施工况统一覆盖热通量、方位角、俯仰角和辐射持续时间四类热源条件。全部冶金数据综合覆盖 500～20000 kW/m²热通量，方位角包括 0°、90°、180°和 270°，俯仰角包括 0°、30°、45°和 60°，辐射持续时间包括 1.36 s、2.10 s 和 7.50 s。三个持续时间各包含 321 条合格工况，能够用于比较短时热辐射作用下的损伤响应。</w:t>
      </w:r>
    </w:p>
    <w:p w14:paraId="6946762D">
      <w:pPr>
        <w:rPr>
          <w:rFonts w:hint="default" w:ascii="Times New Roman" w:hAnsi="Times New Roman" w:cs="Times New Roman"/>
          <w:lang w:val="en-US" w:eastAsia="zh-CN"/>
        </w:rPr>
      </w:pPr>
      <w:r>
        <w:rPr>
          <w:rFonts w:hint="eastAsia" w:ascii="Times New Roman" w:hAnsi="Times New Roman" w:cs="Times New Roman"/>
          <w:lang w:val="en-US" w:eastAsia="zh-CN"/>
        </w:rPr>
        <w:t>设施计算域、开口与敏感目标采用各自 FDS 模型中的实际参数。工况组合在统一规则下组织，使模型能够学习热源条件与设施工程特征之间的耦合作用，同时保持不同设施数据的统一表达。</w:t>
      </w:r>
    </w:p>
    <w:p w14:paraId="5B791336">
      <w:pPr>
        <w:rPr>
          <w:rFonts w:hint="default" w:ascii="Times New Roman" w:hAnsi="Times New Roman" w:cs="Times New Roman"/>
          <w:lang w:val="en-US" w:eastAsia="zh-CN"/>
        </w:rPr>
      </w:pPr>
    </w:p>
    <w:p w14:paraId="03946950">
      <w:pPr>
        <w:pStyle w:val="3"/>
        <w:bidi w:val="0"/>
        <w:ind w:left="575" w:leftChars="0" w:hanging="575" w:firstLineChars="0"/>
        <w:rPr>
          <w:rStyle w:val="23"/>
          <w:rFonts w:hint="default" w:ascii="Times New Roman" w:hAnsi="Times New Roman" w:cs="Times New Roman"/>
          <w:b/>
          <w:szCs w:val="28"/>
          <w:lang w:val="en-US" w:eastAsia="zh-CN"/>
        </w:rPr>
      </w:pPr>
      <w:bookmarkStart w:id="10" w:name="_Toc13592"/>
      <w:r>
        <w:rPr>
          <w:rFonts w:hint="eastAsia"/>
        </w:rPr>
        <w:t>设施构型与目标特征覆盖</w:t>
      </w:r>
      <w:bookmarkEnd w:id="10"/>
    </w:p>
    <w:p w14:paraId="7A995F05">
      <w:pPr>
        <w:spacing w:line="312" w:lineRule="auto"/>
        <w:ind w:firstLine="480" w:firstLineChars="200"/>
        <w:rPr>
          <w:rFonts w:hint="eastAsia" w:ascii="Times New Roman" w:hAnsi="Times New Roman" w:cs="Times New Roman"/>
          <w:sz w:val="24"/>
          <w:szCs w:val="24"/>
          <w:lang w:eastAsia="zh-CN"/>
        </w:rPr>
      </w:pPr>
      <w:r>
        <w:rPr>
          <w:rFonts w:hint="eastAsia" w:ascii="Times New Roman" w:hAnsi="Times New Roman" w:cs="Times New Roman"/>
          <w:sz w:val="24"/>
          <w:szCs w:val="24"/>
          <w:lang w:eastAsia="zh-CN"/>
        </w:rPr>
        <w:t>冶金设施的可燃物与敏感目标随工艺而变化。电解区域关注碳材料、电解槽及其配套电气设备；专用电厂关注燃料、润滑油、输送系统和高分子绝缘材料；钢铁冶炼区域关注高温工艺邻近的油品、线缆和辅助材料；金、钽精炼区域则关注工艺油品、有机溶剂、包装材料以及精密设备。油品的持续燃烧、挥发性液体的快速蒸发、粉状物料或可燃气体形成的特殊风险，会改变敏感目标受热与次生损伤的可能性。</w:t>
      </w:r>
    </w:p>
    <w:p w14:paraId="378CA83F">
      <w:pPr>
        <w:spacing w:line="312" w:lineRule="auto"/>
        <w:ind w:firstLine="480" w:firstLineChars="200"/>
        <w:rPr>
          <w:rFonts w:hint="default" w:ascii="Times New Roman" w:hAnsi="Times New Roman" w:cs="Times New Roman"/>
          <w:sz w:val="24"/>
          <w:szCs w:val="24"/>
        </w:rPr>
      </w:pPr>
      <w:r>
        <w:rPr>
          <w:rFonts w:hint="eastAsia" w:ascii="Times New Roman" w:hAnsi="Times New Roman" w:cs="Times New Roman"/>
          <w:sz w:val="24"/>
          <w:szCs w:val="24"/>
          <w:lang w:eastAsia="zh-CN"/>
        </w:rPr>
        <w:t>这些工程背景在当前数据体系中统一归并为设施构型及目标特征：建筑体量、围护、迎火侧墙面、门窗、通风及工艺开口，以及可燃材料、工艺设备、电气控制单元及其他高价值资产，统一通过目标密度、迎火侧比例和开口比例等参数表示其分布。报告不另设独立材料特征类别，也不以旧式材料清单替代当前 FDS 模型中的实际几何和目标信息。</w:t>
      </w:r>
    </w:p>
    <w:p w14:paraId="0AFD81CA">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2</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eastAsia" w:ascii="Times New Roman" w:hAnsi="Times New Roman" w:cs="Times New Roman"/>
          <w:lang w:eastAsia="zh-CN"/>
        </w:rPr>
        <w:t>冶金设施</w:t>
      </w:r>
      <w:r>
        <w:rPr>
          <w:rFonts w:hint="default" w:ascii="Times New Roman" w:hAnsi="Times New Roman" w:cs="Times New Roman"/>
        </w:rPr>
        <w:t xml:space="preserve"> D</w:t>
      </w:r>
      <w:r>
        <w:rPr>
          <w:rFonts w:hint="default" w:ascii="Times New Roman" w:hAnsi="Times New Roman" w:cs="Times New Roman"/>
          <w:vertAlign w:val="subscript"/>
        </w:rPr>
        <w:t>k</w:t>
      </w:r>
      <w:r>
        <w:rPr>
          <w:rFonts w:hint="default" w:ascii="Times New Roman" w:hAnsi="Times New Roman" w:cs="Times New Roman"/>
        </w:rPr>
        <w:t xml:space="preserve"> 与HS等级分布</w:t>
      </w:r>
    </w:p>
    <w:tbl>
      <w:tblPr>
        <w:tblStyle w:val="2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0"/>
        <w:gridCol w:w="2071"/>
        <w:gridCol w:w="2071"/>
        <w:gridCol w:w="2308"/>
      </w:tblGrid>
      <w:tr w14:paraId="2554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000000" w:sz="12" w:space="0"/>
              <w:left w:val="nil"/>
              <w:bottom w:val="single" w:color="000000" w:sz="4" w:space="0"/>
              <w:right w:val="nil"/>
              <w:tl2br w:val="nil"/>
            </w:tcBorders>
            <w:shd w:val="clear" w:color="auto" w:fill="FFFFFF"/>
          </w:tcPr>
          <w:p w14:paraId="07EBDDD8">
            <w:pPr>
              <w:pStyle w:val="54"/>
              <w:bidi w:val="0"/>
              <w:rPr>
                <w:rFonts w:hint="default"/>
              </w:rPr>
            </w:pPr>
            <w:r>
              <w:rPr>
                <w:rFonts w:hint="default"/>
                <w:lang w:eastAsia="zh-CN"/>
              </w:rPr>
              <w:t>HS</w:t>
            </w:r>
            <w:r>
              <w:rPr>
                <w:rFonts w:hint="default"/>
              </w:rPr>
              <w:t>等级</w:t>
            </w:r>
          </w:p>
        </w:tc>
        <w:tc>
          <w:tcPr>
            <w:tcW w:w="1215" w:type="pct"/>
            <w:tcBorders>
              <w:top w:val="single" w:color="000000" w:sz="12" w:space="0"/>
              <w:left w:val="nil"/>
              <w:bottom w:val="single" w:color="000000" w:sz="4" w:space="0"/>
              <w:right w:val="nil"/>
            </w:tcBorders>
            <w:shd w:val="clear" w:color="auto" w:fill="FFFFFF"/>
          </w:tcPr>
          <w:p w14:paraId="7987CB5E">
            <w:pPr>
              <w:pStyle w:val="54"/>
              <w:bidi w:val="0"/>
              <w:rPr>
                <w:rFonts w:hint="default"/>
              </w:rPr>
            </w:pPr>
            <w:r>
              <w:rPr>
                <w:rFonts w:hint="default"/>
              </w:rPr>
              <w:t>Dk 范围</w:t>
            </w:r>
          </w:p>
        </w:tc>
        <w:tc>
          <w:tcPr>
            <w:tcW w:w="1215" w:type="pct"/>
            <w:tcBorders>
              <w:top w:val="single" w:color="000000" w:sz="12" w:space="0"/>
              <w:left w:val="nil"/>
              <w:bottom w:val="single" w:color="000000" w:sz="4" w:space="0"/>
              <w:right w:val="nil"/>
            </w:tcBorders>
            <w:shd w:val="clear" w:color="auto" w:fill="FFFFFF"/>
          </w:tcPr>
          <w:p w14:paraId="1163E685">
            <w:pPr>
              <w:pStyle w:val="54"/>
              <w:bidi w:val="0"/>
              <w:rPr>
                <w:rFonts w:hint="eastAsia"/>
                <w:lang w:eastAsia="zh-CN"/>
              </w:rPr>
            </w:pPr>
            <w:r>
              <w:rPr>
                <w:rFonts w:hint="eastAsia"/>
                <w:lang w:val="en-US" w:eastAsia="zh-CN"/>
              </w:rPr>
              <w:t>工况数</w:t>
            </w:r>
          </w:p>
        </w:tc>
        <w:tc>
          <w:tcPr>
            <w:tcW w:w="1354" w:type="pct"/>
            <w:tcBorders>
              <w:top w:val="single" w:color="000000" w:sz="12" w:space="0"/>
              <w:left w:val="nil"/>
              <w:bottom w:val="single" w:color="000000" w:sz="4" w:space="0"/>
              <w:right w:val="nil"/>
            </w:tcBorders>
            <w:shd w:val="clear" w:color="auto" w:fill="FFFFFF"/>
          </w:tcPr>
          <w:p w14:paraId="4B2EE866">
            <w:pPr>
              <w:pStyle w:val="54"/>
              <w:bidi w:val="0"/>
              <w:rPr>
                <w:rFonts w:hint="default"/>
              </w:rPr>
            </w:pPr>
            <w:r>
              <w:rPr>
                <w:rFonts w:hint="default"/>
              </w:rPr>
              <w:t>合计占比</w:t>
            </w:r>
          </w:p>
        </w:tc>
      </w:tr>
      <w:tr w14:paraId="458C7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single" w:color="000000" w:sz="4" w:space="0"/>
              <w:left w:val="nil"/>
              <w:bottom w:val="nil"/>
              <w:right w:val="nil"/>
            </w:tcBorders>
            <w:shd w:val="clear" w:color="auto" w:fill="FFFFFF"/>
          </w:tcPr>
          <w:p w14:paraId="7910FD94">
            <w:pPr>
              <w:pStyle w:val="54"/>
              <w:bidi w:val="0"/>
              <w:rPr>
                <w:rFonts w:hint="default"/>
              </w:rPr>
            </w:pPr>
            <w:r>
              <w:rPr>
                <w:rFonts w:hint="default"/>
              </w:rPr>
              <w:t>基本完好</w:t>
            </w:r>
          </w:p>
        </w:tc>
        <w:tc>
          <w:tcPr>
            <w:tcW w:w="1215" w:type="pct"/>
            <w:tcBorders>
              <w:top w:val="single" w:color="000000" w:sz="4" w:space="0"/>
              <w:left w:val="nil"/>
              <w:bottom w:val="nil"/>
              <w:right w:val="nil"/>
            </w:tcBorders>
            <w:shd w:val="clear" w:color="auto" w:fill="FFFFFF"/>
          </w:tcPr>
          <w:p w14:paraId="678BA151">
            <w:pPr>
              <w:pStyle w:val="54"/>
              <w:bidi w:val="0"/>
              <w:rPr>
                <w:rFonts w:hint="default"/>
              </w:rPr>
            </w:pPr>
            <w:r>
              <w:rPr>
                <w:rFonts w:hint="default"/>
              </w:rPr>
              <w:t>0 &lt;= Dk &lt; 0.04</w:t>
            </w:r>
          </w:p>
        </w:tc>
        <w:tc>
          <w:tcPr>
            <w:tcW w:w="2071" w:type="dxa"/>
            <w:tcBorders>
              <w:top w:val="single" w:color="000000" w:sz="4" w:space="0"/>
              <w:left w:val="nil"/>
              <w:bottom w:val="nil"/>
              <w:right w:val="nil"/>
            </w:tcBorders>
            <w:shd w:val="clear" w:color="auto" w:fill="FFFFFF"/>
            <w:vAlign w:val="top"/>
          </w:tcPr>
          <w:p>
            <w:r>
              <w:t>784</w:t>
            </w:r>
          </w:p>
        </w:tc>
        <w:tc>
          <w:tcPr>
            <w:tcW w:w="2308" w:type="dxa"/>
            <w:tcBorders>
              <w:top w:val="single" w:color="000000" w:sz="4" w:space="0"/>
              <w:left w:val="nil"/>
              <w:bottom w:val="nil"/>
              <w:right w:val="nil"/>
            </w:tcBorders>
            <w:shd w:val="clear" w:color="auto" w:fill="FFFFFF"/>
            <w:vAlign w:val="top"/>
          </w:tcPr>
          <w:p>
            <w:r>
              <w:t>50.81%</w:t>
            </w:r>
          </w:p>
        </w:tc>
      </w:tr>
      <w:tr w14:paraId="24A2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nil"/>
              <w:right w:val="nil"/>
            </w:tcBorders>
            <w:shd w:val="clear" w:color="auto" w:fill="FFFFFF"/>
          </w:tcPr>
          <w:p w14:paraId="52943601">
            <w:pPr>
              <w:pStyle w:val="54"/>
              <w:bidi w:val="0"/>
              <w:rPr>
                <w:rFonts w:hint="default"/>
              </w:rPr>
            </w:pPr>
            <w:r>
              <w:rPr>
                <w:rFonts w:hint="default"/>
              </w:rPr>
              <w:t>轻微破坏</w:t>
            </w:r>
          </w:p>
        </w:tc>
        <w:tc>
          <w:tcPr>
            <w:tcW w:w="1215" w:type="pct"/>
            <w:tcBorders>
              <w:top w:val="nil"/>
              <w:left w:val="nil"/>
              <w:bottom w:val="nil"/>
              <w:right w:val="nil"/>
            </w:tcBorders>
            <w:shd w:val="clear" w:color="auto" w:fill="FFFFFF"/>
          </w:tcPr>
          <w:p w14:paraId="225E7AAF">
            <w:pPr>
              <w:pStyle w:val="54"/>
              <w:bidi w:val="0"/>
              <w:rPr>
                <w:rFonts w:hint="default"/>
              </w:rPr>
            </w:pPr>
            <w:r>
              <w:rPr>
                <w:rFonts w:hint="default"/>
              </w:rPr>
              <w:t>0.04 &lt;= Dk &lt; 0.10</w:t>
            </w:r>
          </w:p>
        </w:tc>
        <w:tc>
          <w:tcPr>
            <w:tcW w:w="2071" w:type="dxa"/>
            <w:tcBorders>
              <w:top w:val="nil"/>
              <w:left w:val="nil"/>
              <w:bottom w:val="nil"/>
              <w:right w:val="nil"/>
            </w:tcBorders>
            <w:shd w:val="clear" w:color="auto" w:fill="FFFFFF"/>
            <w:vAlign w:val="top"/>
          </w:tcPr>
          <w:p>
            <w:r>
              <w:t>182</w:t>
            </w:r>
          </w:p>
        </w:tc>
        <w:tc>
          <w:tcPr>
            <w:tcW w:w="2308" w:type="dxa"/>
            <w:tcBorders>
              <w:top w:val="nil"/>
              <w:left w:val="nil"/>
              <w:bottom w:val="nil"/>
              <w:right w:val="nil"/>
            </w:tcBorders>
            <w:shd w:val="clear" w:color="auto" w:fill="FFFFFF"/>
            <w:vAlign w:val="top"/>
          </w:tcPr>
          <w:p>
            <w:r>
              <w:t>11.80%</w:t>
            </w:r>
          </w:p>
        </w:tc>
      </w:tr>
      <w:tr w14:paraId="00731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15" w:type="pct"/>
            <w:tcBorders>
              <w:top w:val="nil"/>
              <w:left w:val="nil"/>
              <w:bottom w:val="nil"/>
              <w:right w:val="nil"/>
            </w:tcBorders>
            <w:shd w:val="clear" w:color="auto" w:fill="FFFFFF"/>
          </w:tcPr>
          <w:p w14:paraId="7F4A75EA">
            <w:pPr>
              <w:pStyle w:val="54"/>
              <w:bidi w:val="0"/>
              <w:rPr>
                <w:rFonts w:hint="default"/>
              </w:rPr>
            </w:pPr>
            <w:r>
              <w:rPr>
                <w:rFonts w:hint="default"/>
              </w:rPr>
              <w:t>中等破坏</w:t>
            </w:r>
          </w:p>
        </w:tc>
        <w:tc>
          <w:tcPr>
            <w:tcW w:w="1215" w:type="pct"/>
            <w:tcBorders>
              <w:top w:val="nil"/>
              <w:left w:val="nil"/>
              <w:bottom w:val="nil"/>
              <w:right w:val="nil"/>
            </w:tcBorders>
            <w:shd w:val="clear" w:color="auto" w:fill="FFFFFF"/>
          </w:tcPr>
          <w:p w14:paraId="3F4CB289">
            <w:pPr>
              <w:pStyle w:val="54"/>
              <w:bidi w:val="0"/>
              <w:rPr>
                <w:rFonts w:hint="default"/>
              </w:rPr>
            </w:pPr>
            <w:r>
              <w:rPr>
                <w:rFonts w:hint="default"/>
              </w:rPr>
              <w:t>0.10 &lt;= Dk &lt; 0.40</w:t>
            </w:r>
          </w:p>
        </w:tc>
        <w:tc>
          <w:tcPr>
            <w:tcW w:w="2071" w:type="dxa"/>
            <w:tcBorders>
              <w:top w:val="nil"/>
              <w:left w:val="nil"/>
              <w:bottom w:val="nil"/>
              <w:right w:val="nil"/>
            </w:tcBorders>
            <w:shd w:val="clear" w:color="auto" w:fill="FFFFFF"/>
            <w:vAlign w:val="top"/>
          </w:tcPr>
          <w:p>
            <w:r>
              <w:t>574</w:t>
            </w:r>
          </w:p>
        </w:tc>
        <w:tc>
          <w:tcPr>
            <w:tcW w:w="2308" w:type="dxa"/>
            <w:tcBorders>
              <w:top w:val="nil"/>
              <w:left w:val="nil"/>
              <w:bottom w:val="nil"/>
              <w:right w:val="nil"/>
            </w:tcBorders>
            <w:shd w:val="clear" w:color="auto" w:fill="FFFFFF"/>
            <w:vAlign w:val="top"/>
          </w:tcPr>
          <w:p>
            <w:r>
              <w:t>37.20%</w:t>
            </w:r>
          </w:p>
        </w:tc>
      </w:tr>
      <w:tr w14:paraId="42A26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nil"/>
              <w:right w:val="nil"/>
            </w:tcBorders>
            <w:shd w:val="clear" w:color="auto" w:fill="FFFFFF"/>
          </w:tcPr>
          <w:p w14:paraId="2B502EAC">
            <w:pPr>
              <w:pStyle w:val="54"/>
              <w:bidi w:val="0"/>
              <w:rPr>
                <w:rFonts w:hint="default"/>
              </w:rPr>
            </w:pPr>
            <w:r>
              <w:rPr>
                <w:rFonts w:hint="default"/>
              </w:rPr>
              <w:t>严重破坏</w:t>
            </w:r>
          </w:p>
        </w:tc>
        <w:tc>
          <w:tcPr>
            <w:tcW w:w="1215" w:type="pct"/>
            <w:tcBorders>
              <w:top w:val="nil"/>
              <w:left w:val="nil"/>
              <w:bottom w:val="nil"/>
              <w:right w:val="nil"/>
            </w:tcBorders>
            <w:shd w:val="clear" w:color="auto" w:fill="FFFFFF"/>
          </w:tcPr>
          <w:p w14:paraId="5FE32770">
            <w:pPr>
              <w:pStyle w:val="54"/>
              <w:bidi w:val="0"/>
              <w:rPr>
                <w:rFonts w:hint="default"/>
              </w:rPr>
            </w:pPr>
            <w:r>
              <w:rPr>
                <w:rFonts w:hint="default"/>
              </w:rPr>
              <w:t>0.40 &lt;= Dk &lt;= 1.00</w:t>
            </w:r>
          </w:p>
        </w:tc>
        <w:tc>
          <w:tcPr>
            <w:tcW w:w="2071" w:type="dxa"/>
            <w:tcBorders>
              <w:top w:val="nil"/>
              <w:left w:val="nil"/>
              <w:bottom w:val="nil"/>
              <w:right w:val="nil"/>
            </w:tcBorders>
            <w:shd w:val="clear" w:color="auto" w:fill="FFFFFF"/>
            <w:vAlign w:val="top"/>
          </w:tcPr>
          <w:p>
            <w:r>
              <w:t>3</w:t>
            </w:r>
          </w:p>
        </w:tc>
        <w:tc>
          <w:tcPr>
            <w:tcW w:w="2308" w:type="dxa"/>
            <w:tcBorders>
              <w:top w:val="nil"/>
              <w:left w:val="nil"/>
              <w:bottom w:val="nil"/>
              <w:right w:val="nil"/>
            </w:tcBorders>
            <w:shd w:val="clear" w:color="auto" w:fill="FFFFFF"/>
            <w:vAlign w:val="top"/>
          </w:tcPr>
          <w:p>
            <w:r>
              <w:t>0.19%</w:t>
            </w:r>
          </w:p>
        </w:tc>
      </w:tr>
      <w:tr w14:paraId="5342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5" w:type="pct"/>
            <w:tcBorders>
              <w:top w:val="nil"/>
              <w:left w:val="nil"/>
              <w:bottom w:val="single" w:color="000000" w:sz="12" w:space="0"/>
              <w:right w:val="nil"/>
            </w:tcBorders>
            <w:shd w:val="clear" w:color="auto" w:fill="FFFFFF"/>
          </w:tcPr>
          <w:p w14:paraId="0F232F68">
            <w:pPr>
              <w:pStyle w:val="54"/>
              <w:bidi w:val="0"/>
              <w:rPr>
                <w:rFonts w:hint="default"/>
              </w:rPr>
            </w:pPr>
            <w:r>
              <w:rPr>
                <w:rFonts w:hint="default"/>
              </w:rPr>
              <w:t>合计</w:t>
            </w:r>
          </w:p>
        </w:tc>
        <w:tc>
          <w:tcPr>
            <w:tcW w:w="1215" w:type="pct"/>
            <w:tcBorders>
              <w:top w:val="nil"/>
              <w:left w:val="nil"/>
              <w:bottom w:val="single" w:color="000000" w:sz="12" w:space="0"/>
              <w:right w:val="nil"/>
            </w:tcBorders>
            <w:shd w:val="clear" w:color="auto" w:fill="FFFFFF"/>
          </w:tcPr>
          <w:p w14:paraId="769B5658">
            <w:pPr>
              <w:pStyle w:val="54"/>
              <w:bidi w:val="0"/>
              <w:rPr>
                <w:rFonts w:hint="default"/>
              </w:rPr>
            </w:pPr>
            <w:r>
              <w:rPr>
                <w:rFonts w:hint="default"/>
              </w:rPr>
              <w:t>—</w:t>
            </w:r>
          </w:p>
        </w:tc>
        <w:tc>
          <w:tcPr>
            <w:tcW w:w="2071" w:type="dxa"/>
            <w:tcBorders>
              <w:top w:val="nil"/>
              <w:left w:val="nil"/>
              <w:bottom w:val="single" w:color="000000" w:sz="12" w:space="0"/>
              <w:right w:val="nil"/>
            </w:tcBorders>
            <w:shd w:val="clear" w:color="auto" w:fill="FFFFFF"/>
            <w:vAlign w:val="top"/>
          </w:tcPr>
          <w:p>
            <w:r>
              <w:t>1543</w:t>
            </w:r>
          </w:p>
        </w:tc>
        <w:tc>
          <w:tcPr>
            <w:tcW w:w="2308" w:type="dxa"/>
            <w:tcBorders>
              <w:top w:val="nil"/>
              <w:left w:val="nil"/>
              <w:bottom w:val="single" w:color="000000" w:sz="12" w:space="0"/>
              <w:right w:val="nil"/>
            </w:tcBorders>
            <w:shd w:val="clear" w:color="auto" w:fill="FFFFFF"/>
            <w:vAlign w:val="top"/>
          </w:tcPr>
          <w:p>
            <w:r>
              <w:t>100.00%</w:t>
            </w:r>
          </w:p>
        </w:tc>
      </w:tr>
    </w:tbl>
    <w:p w14:paraId="1DBD20C0">
      <w:pPr>
        <w:spacing w:line="312" w:lineRule="auto"/>
        <w:ind w:firstLine="480" w:firstLineChars="200"/>
        <w:rPr>
          <w:rFonts w:hint="default" w:ascii="Times New Roman" w:hAnsi="Times New Roman" w:cs="Times New Roman"/>
          <w:sz w:val="24"/>
          <w:szCs w:val="24"/>
        </w:rPr>
      </w:pPr>
    </w:p>
    <w:p w14:paraId="5B45782C">
      <w:pPr>
        <w:spacing w:line="312" w:lineRule="auto"/>
        <w:ind w:firstLine="480" w:firstLineChars="200"/>
        <w:rPr>
          <w:rFonts w:hint="eastAsia"/>
        </w:rPr>
      </w:pPr>
      <w:r>
        <w:rPr>
          <w:rFonts w:hint="eastAsia"/>
        </w:rPr>
        <w:t>冶金数据以基本完好和中等破坏为主，轻微破坏位于较窄的</w:t>
      </w:r>
      <w:r>
        <w:t xml:space="preserve"> Dk </w:t>
      </w:r>
      <w:r>
        <w:rPr>
          <w:rFonts w:hint="eastAsia"/>
        </w:rPr>
        <w:t>区间，严重破坏样本数量较少。模型分类任务采用类别平衡方式训练，使少数等级在树节点划分中获得适当权重。</w:t>
      </w:r>
    </w:p>
    <w:p w14:paraId="69289B09">
      <w:pPr>
        <w:spacing w:line="312" w:lineRule="auto"/>
        <w:ind w:firstLine="480" w:firstLineChars="200"/>
        <w:rPr>
          <w:rFonts w:hint="default"/>
        </w:rPr>
      </w:pPr>
      <w:r>
        <w:rPr>
          <w:rFonts w:hint="default"/>
        </w:rPr>
        <w:t>基本完好表示设施整体 Dk 未达到 0.04，不代表每一项设备都没有温升或局部维修费用。围护结构、受热距离、开口方向和遮挡可能使资产实际受热低于名义入射热通量；短时热脉冲也可能不足以使厚重或耐热设备达到有效损伤条件。对于资产价值基数较大的设施，少量局部损伤经价值加权后仍可能保持较低 Dk。</w:t>
      </w:r>
    </w:p>
    <w:p w14:paraId="685741DA">
      <w:pPr>
        <w:spacing w:line="312" w:lineRule="auto"/>
        <w:ind w:firstLine="480" w:firstLineChars="200"/>
        <w:rPr>
          <w:rFonts w:hint="default"/>
        </w:rPr>
      </w:pPr>
      <w:r>
        <w:rPr>
          <w:rFonts w:hint="default"/>
        </w:rPr>
        <w:t>这一特征在美铝电解设施中较为明显。其合格模拟工况最大 Dk 为 0.001298，全部低于轻微破坏阈值。该结果说明现有工况下损伤主要局限于少量局部资产，设施整体价值加权损失较低，而不是说明设施在任意热辐射条件下均不会受损。</w:t>
      </w:r>
    </w:p>
    <w:p w14:paraId="50BA3716">
      <w:pPr>
        <w:rPr>
          <w:rFonts w:hint="default" w:ascii="Times New Roman" w:hAnsi="Times New Roman" w:cs="Times New Roman"/>
          <w:sz w:val="24"/>
          <w:szCs w:val="24"/>
        </w:rPr>
      </w:pPr>
      <w:r>
        <w:rPr>
          <w:rFonts w:hint="default" w:ascii="Times New Roman" w:hAnsi="Times New Roman" w:cs="Times New Roman"/>
          <w:sz w:val="24"/>
          <w:szCs w:val="24"/>
        </w:rPr>
        <w:br w:type="page"/>
      </w:r>
    </w:p>
    <w:p w14:paraId="7B42DCB5">
      <w:pPr>
        <w:pStyle w:val="2"/>
        <w:bidi w:val="0"/>
        <w:rPr>
          <w:rStyle w:val="23"/>
          <w:rFonts w:hint="default" w:ascii="Times New Roman" w:hAnsi="Times New Roman" w:cs="Times New Roman"/>
          <w:b/>
          <w:sz w:val="32"/>
          <w:szCs w:val="32"/>
          <w:lang w:val="en-US" w:eastAsia="zh-CN"/>
        </w:rPr>
      </w:pPr>
      <w:bookmarkStart w:id="11" w:name="_Toc14932"/>
      <w:r>
        <w:rPr>
          <w:rFonts w:hint="default" w:ascii="Times New Roman" w:hAnsi="Times New Roman" w:cs="Times New Roman"/>
          <w:lang w:val="en-US" w:eastAsia="zh-CN"/>
        </w:rPr>
        <w:t>特征参数工程</w:t>
      </w:r>
      <w:bookmarkEnd w:id="11"/>
    </w:p>
    <w:p w14:paraId="362A10D9">
      <w:pPr>
        <w:rPr>
          <w:rFonts w:hint="default" w:ascii="Times New Roman" w:hAnsi="Times New Roman" w:cs="Times New Roman"/>
          <w:lang w:val="en-US" w:eastAsia="zh-CN"/>
        </w:rPr>
      </w:pPr>
      <w:r>
        <w:rPr>
          <w:rFonts w:hint="default" w:ascii="Times New Roman" w:hAnsi="Times New Roman" w:cs="Times New Roman"/>
          <w:lang w:val="en-US" w:eastAsia="zh-CN"/>
        </w:rPr>
        <w:t>特征参数是连接原始数据与机器学习模型的桥梁。代理模型采用</w:t>
      </w:r>
      <w:r>
        <w:rPr>
          <w:rFonts w:hint="eastAsia" w:ascii="Times New Roman" w:hAnsi="Times New Roman" w:cs="Times New Roman"/>
          <w:lang w:val="en-US" w:eastAsia="zh-CN"/>
        </w:rPr>
        <w:t>多</w:t>
      </w:r>
      <w:r>
        <w:rPr>
          <w:rFonts w:hint="default" w:ascii="Times New Roman" w:hAnsi="Times New Roman" w:cs="Times New Roman"/>
          <w:lang w:val="en-US" w:eastAsia="zh-CN"/>
        </w:rPr>
        <w:t>维输入特征向量完整描述建筑属性、热源工况</w:t>
      </w:r>
      <w:r>
        <w:rPr>
          <w:rFonts w:hint="eastAsia" w:ascii="Times New Roman" w:hAnsi="Times New Roman" w:cs="Times New Roman"/>
          <w:lang w:val="en-US" w:eastAsia="zh-CN"/>
        </w:rPr>
        <w:t>、可燃物特征等</w:t>
      </w:r>
      <w:r>
        <w:rPr>
          <w:rFonts w:hint="default" w:ascii="Times New Roman" w:hAnsi="Times New Roman" w:cs="Times New Roman"/>
          <w:lang w:val="en-US" w:eastAsia="zh-CN"/>
        </w:rPr>
        <w:t>。这一特征设计遵循完整性、独立性和有效性原则，确保模型能够充分捕捉影响HS评估的关键因素。本章将从设计原则、各维度特征含义和重要性分析三个方面进行详细阐述。</w:t>
      </w:r>
    </w:p>
    <w:p w14:paraId="55794D69">
      <w:pPr>
        <w:pStyle w:val="3"/>
        <w:bidi w:val="0"/>
        <w:rPr>
          <w:rFonts w:hint="default" w:ascii="Times New Roman" w:hAnsi="Times New Roman" w:cs="Times New Roman"/>
          <w:lang w:val="en-US" w:eastAsia="zh-CN"/>
        </w:rPr>
      </w:pPr>
      <w:bookmarkStart w:id="12" w:name="_Toc12520"/>
      <w:r>
        <w:rPr>
          <w:rFonts w:hint="default" w:ascii="Times New Roman" w:hAnsi="Times New Roman" w:cs="Times New Roman"/>
          <w:lang w:val="en-US" w:eastAsia="zh-CN"/>
        </w:rPr>
        <w:t>特征分类</w:t>
      </w:r>
      <w:bookmarkEnd w:id="12"/>
    </w:p>
    <w:p w14:paraId="4474E9CA">
      <w:pPr>
        <w:rPr>
          <w:rFonts w:hint="default" w:ascii="Times New Roman" w:hAnsi="Times New Roman" w:cs="Times New Roman"/>
          <w:lang w:val="en-US" w:eastAsia="zh-CN"/>
        </w:rPr>
      </w:pPr>
      <w:r>
        <w:rPr>
          <w:rFonts w:hint="default" w:ascii="Times New Roman" w:hAnsi="Times New Roman" w:cs="Times New Roman"/>
          <w:lang w:val="en-US" w:eastAsia="zh-CN"/>
        </w:rPr>
        <w:t>模型输入按工程来源归并为热源工况特征与设施构型及目标特征两类。热源工况特征描述外部热辐射的作用条件，包括入射强度、作用时间、累积剂量和入射方向；设施构型及目标特征描述设施自身的几何尺度、围护与开口条件以及内部可燃物和敏感目标的分布情况。两者共同决定同一设施在不同热源工况下的损伤响应。</w:t>
      </w:r>
    </w:p>
    <w:p w14:paraId="2F4A06F6">
      <w:pPr>
        <w:rPr>
          <w:rFonts w:hint="default" w:ascii="Times New Roman" w:hAnsi="Times New Roman" w:cs="Times New Roman"/>
          <w:lang w:val="en-US" w:eastAsia="zh-CN"/>
        </w:rPr>
      </w:pPr>
      <w:r>
        <w:rPr>
          <w:rFonts w:hint="default" w:ascii="Times New Roman" w:hAnsi="Times New Roman" w:cs="Times New Roman"/>
          <w:lang w:val="en-US" w:eastAsia="zh-CN"/>
        </w:rPr>
        <w:t>本报告对每个设施（或每个等效目标）分别训练专属代理模型，模型的输入特征只包含实际参与该设施训练的列。所有设施共用的基础特征为 11 项（见下表），涵盖热源工况与设施构型两类；个别设施根据其开口、门窗条件补充少量扩展特征（见 4.3 节）。由于每个设施使用自身 FDS 模型中的实际几何与目标参数，设施类别不再作为独立特征进入模型，而是通过"每设施一个模型"的结构体现设施间的差异。</w:t>
      </w:r>
    </w:p>
    <w:p w14:paraId="3592AB24">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eastAsia"/>
          <w:b/>
          <w:bCs/>
        </w:rPr>
        <w:t>模型输入特征与工程含义</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5B6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vAlign w:val="top"/>
          </w:tcPr>
          <w:p w14:paraId="072DD999">
            <w:pPr>
              <w:pStyle w:val="54"/>
              <w:bidi w:val="0"/>
              <w:rPr>
                <w:rFonts w:hint="default"/>
                <w:b w:val="0"/>
              </w:rPr>
            </w:pPr>
            <w:r>
              <w:rPr>
                <w:rFonts w:hint="eastAsia"/>
                <w:b w:val="0"/>
              </w:rPr>
              <w:t>特征类别</w:t>
            </w:r>
          </w:p>
        </w:tc>
        <w:tc>
          <w:tcPr>
            <w:tcW w:w="2769" w:type="dxa"/>
            <w:tcBorders>
              <w:top w:val="single" w:color="000000" w:sz="12" w:space="0"/>
              <w:left w:val="nil"/>
              <w:bottom w:val="single" w:color="000000" w:sz="4" w:space="0"/>
              <w:right w:val="nil"/>
            </w:tcBorders>
            <w:shd w:val="clear" w:color="auto" w:fill="FFFFFF"/>
            <w:vAlign w:val="top"/>
          </w:tcPr>
          <w:p w14:paraId="26D4F6D9">
            <w:pPr>
              <w:pStyle w:val="54"/>
              <w:bidi w:val="0"/>
              <w:rPr>
                <w:rFonts w:hint="default"/>
                <w:b w:val="0"/>
              </w:rPr>
            </w:pPr>
            <w:r>
              <w:rPr>
                <w:rFonts w:hint="eastAsia"/>
                <w:b w:val="0"/>
              </w:rPr>
              <w:t>输入特征</w:t>
            </w:r>
          </w:p>
        </w:tc>
        <w:tc>
          <w:tcPr>
            <w:tcW w:w="2769" w:type="dxa"/>
            <w:tcBorders>
              <w:top w:val="single" w:color="000000" w:sz="12" w:space="0"/>
              <w:left w:val="nil"/>
              <w:bottom w:val="single" w:color="000000" w:sz="4" w:space="0"/>
              <w:right w:val="nil"/>
            </w:tcBorders>
            <w:shd w:val="clear" w:color="auto" w:fill="FFFFFF"/>
            <w:vAlign w:val="top"/>
          </w:tcPr>
          <w:p w14:paraId="45E2A0A7">
            <w:pPr>
              <w:pStyle w:val="54"/>
              <w:bidi w:val="0"/>
              <w:rPr>
                <w:rFonts w:hint="default"/>
                <w:b w:val="0"/>
              </w:rPr>
            </w:pPr>
            <w:r>
              <w:rPr>
                <w:rFonts w:hint="eastAsia"/>
                <w:b w:val="0"/>
              </w:rPr>
              <w:t>工程含义</w:t>
            </w:r>
          </w:p>
        </w:tc>
      </w:tr>
      <w:tr w14:paraId="4A39E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A7C4A8A">
            <w:pPr>
              <w:pStyle w:val="54"/>
              <w:bidi w:val="0"/>
              <w:rPr>
                <w:rFonts w:hint="default"/>
                <w:b w:val="0"/>
              </w:rPr>
            </w:pPr>
            <w:r>
              <w:rPr>
                <w:rFonts w:hint="eastAsia"/>
                <w:b w:val="0"/>
              </w:rPr>
              <w:t>热源工况特征</w:t>
            </w:r>
          </w:p>
        </w:tc>
        <w:tc>
          <w:tcPr>
            <w:tcW w:w="2769" w:type="dxa"/>
            <w:tcBorders>
              <w:top w:val="single" w:color="000000" w:sz="4" w:space="0"/>
              <w:left w:val="nil"/>
              <w:bottom w:val="nil"/>
              <w:right w:val="nil"/>
            </w:tcBorders>
            <w:shd w:val="clear" w:color="auto" w:fill="FFFFFF"/>
            <w:vAlign w:val="top"/>
          </w:tcPr>
          <w:p w14:paraId="063150FA">
            <w:pPr>
              <w:pStyle w:val="54"/>
              <w:bidi w:val="0"/>
              <w:rPr>
                <w:rFonts w:hint="default"/>
                <w:b w:val="0"/>
              </w:rPr>
            </w:pPr>
            <w:r>
              <w:rPr>
                <w:rFonts w:hint="eastAsia"/>
                <w:b w:val="0"/>
              </w:rPr>
              <w:t>热通量（对数）</w:t>
            </w:r>
          </w:p>
        </w:tc>
        <w:tc>
          <w:tcPr>
            <w:tcW w:w="2769" w:type="dxa"/>
            <w:tcBorders>
              <w:top w:val="single" w:color="000000" w:sz="4" w:space="0"/>
              <w:left w:val="nil"/>
              <w:bottom w:val="nil"/>
              <w:right w:val="nil"/>
            </w:tcBorders>
            <w:shd w:val="clear" w:color="auto" w:fill="FFFFFF"/>
            <w:vAlign w:val="top"/>
          </w:tcPr>
          <w:p w14:paraId="6758CEF8">
            <w:pPr>
              <w:pStyle w:val="54"/>
              <w:bidi w:val="0"/>
              <w:rPr>
                <w:rFonts w:hint="default"/>
                <w:b w:val="0"/>
              </w:rPr>
            </w:pPr>
            <w:r>
              <w:rPr>
                <w:rFonts w:hint="eastAsia"/>
                <w:b w:val="0"/>
              </w:rPr>
              <w:t>外部入射热辐射强度的对数形式，降低高低通量数值跨度</w:t>
            </w:r>
          </w:p>
        </w:tc>
      </w:tr>
      <w:tr w14:paraId="3BD99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36BF959">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6B5E9AFD">
            <w:pPr>
              <w:pStyle w:val="54"/>
              <w:bidi w:val="0"/>
              <w:rPr>
                <w:rFonts w:hint="default"/>
                <w:b w:val="0"/>
              </w:rPr>
            </w:pPr>
            <w:r>
              <w:rPr>
                <w:rFonts w:hint="eastAsia"/>
                <w:b w:val="0"/>
              </w:rPr>
              <w:t>辐射持续时间</w:t>
            </w:r>
          </w:p>
        </w:tc>
        <w:tc>
          <w:tcPr>
            <w:tcW w:w="2769" w:type="dxa"/>
            <w:tcBorders>
              <w:top w:val="nil"/>
              <w:left w:val="nil"/>
              <w:bottom w:val="nil"/>
              <w:right w:val="nil"/>
            </w:tcBorders>
            <w:shd w:val="clear" w:color="auto" w:fill="FFFFFF"/>
            <w:vAlign w:val="top"/>
          </w:tcPr>
          <w:p w14:paraId="693AE346">
            <w:pPr>
              <w:pStyle w:val="54"/>
              <w:bidi w:val="0"/>
              <w:rPr>
                <w:rFonts w:hint="default"/>
                <w:b w:val="0"/>
              </w:rPr>
            </w:pPr>
            <w:r>
              <w:rPr>
                <w:rFonts w:hint="eastAsia"/>
                <w:b w:val="0"/>
              </w:rPr>
              <w:t>热辐射作用时间（秒），同时保留离散持续时间档位</w:t>
            </w:r>
          </w:p>
        </w:tc>
      </w:tr>
      <w:tr w14:paraId="59144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5BBB6C7E">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C51C4AA">
            <w:pPr>
              <w:pStyle w:val="54"/>
              <w:bidi w:val="0"/>
              <w:rPr>
                <w:rFonts w:hint="default"/>
                <w:b w:val="0"/>
              </w:rPr>
            </w:pPr>
            <w:r>
              <w:rPr>
                <w:rFonts w:hint="eastAsia"/>
                <w:b w:val="0"/>
              </w:rPr>
              <w:t>热剂量（对数）</w:t>
            </w:r>
          </w:p>
        </w:tc>
        <w:tc>
          <w:tcPr>
            <w:tcW w:w="2769" w:type="dxa"/>
            <w:tcBorders>
              <w:top w:val="nil"/>
              <w:left w:val="nil"/>
              <w:bottom w:val="nil"/>
              <w:right w:val="nil"/>
            </w:tcBorders>
            <w:shd w:val="clear" w:color="auto" w:fill="FFFFFF"/>
            <w:vAlign w:val="top"/>
          </w:tcPr>
          <w:p w14:paraId="6A94E7F7">
            <w:pPr>
              <w:pStyle w:val="54"/>
              <w:bidi w:val="0"/>
              <w:rPr>
                <w:rFonts w:hint="default"/>
                <w:b w:val="0"/>
              </w:rPr>
            </w:pPr>
            <w:r>
              <w:rPr>
                <w:rFonts w:hint="eastAsia"/>
                <w:b w:val="0"/>
              </w:rPr>
              <w:t>热通量与持续时间的乘积，表示累积能量输入</w:t>
            </w:r>
          </w:p>
        </w:tc>
      </w:tr>
      <w:tr w14:paraId="7398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12A46B5">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3C6FD4D4">
            <w:pPr>
              <w:pStyle w:val="54"/>
              <w:bidi w:val="0"/>
              <w:rPr>
                <w:rFonts w:hint="default"/>
                <w:b w:val="0"/>
              </w:rPr>
            </w:pPr>
            <w:r>
              <w:rPr>
                <w:rFonts w:hint="eastAsia"/>
                <w:b w:val="0"/>
              </w:rPr>
              <w:t>方位角正弦项、余弦项</w:t>
            </w:r>
          </w:p>
        </w:tc>
        <w:tc>
          <w:tcPr>
            <w:tcW w:w="2769" w:type="dxa"/>
            <w:tcBorders>
              <w:top w:val="nil"/>
              <w:left w:val="nil"/>
              <w:bottom w:val="nil"/>
              <w:right w:val="nil"/>
            </w:tcBorders>
            <w:shd w:val="clear" w:color="auto" w:fill="FFFFFF"/>
            <w:vAlign w:val="top"/>
          </w:tcPr>
          <w:p w14:paraId="27E5E4A7">
            <w:pPr>
              <w:pStyle w:val="54"/>
              <w:bidi w:val="0"/>
              <w:rPr>
                <w:rFonts w:hint="default"/>
                <w:b w:val="0"/>
              </w:rPr>
            </w:pPr>
            <w:r>
              <w:rPr>
                <w:rFonts w:hint="eastAsia"/>
                <w:b w:val="0"/>
              </w:rPr>
              <w:t>水平入射方向的正弦、余弦编码，保持</w:t>
            </w:r>
            <w:r>
              <w:rPr>
                <w:b w:val="0"/>
              </w:rPr>
              <w:t xml:space="preserve"> </w:t>
            </w:r>
            <w:r>
              <w:rPr>
                <w:rFonts w:hint="eastAsia"/>
                <w:b w:val="0"/>
              </w:rPr>
              <w:t>0°与</w:t>
            </w:r>
            <w:r>
              <w:rPr>
                <w:b w:val="0"/>
              </w:rPr>
              <w:t xml:space="preserve"> </w:t>
            </w:r>
            <w:r>
              <w:rPr>
                <w:rFonts w:hint="eastAsia"/>
                <w:b w:val="0"/>
              </w:rPr>
              <w:t>360°连续</w:t>
            </w:r>
          </w:p>
        </w:tc>
      </w:tr>
      <w:tr w14:paraId="02039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609A8E1">
            <w:pPr>
              <w:pStyle w:val="54"/>
              <w:bidi w:val="0"/>
              <w:rPr>
                <w:rFonts w:hint="default"/>
                <w:b w:val="0"/>
              </w:rPr>
            </w:pPr>
            <w:r>
              <w:rPr>
                <w:rFonts w:hint="eastAsia"/>
                <w:b w:val="0"/>
              </w:rPr>
              <w:t>热源工况特征</w:t>
            </w:r>
          </w:p>
        </w:tc>
        <w:tc>
          <w:tcPr>
            <w:tcW w:w="2769" w:type="dxa"/>
            <w:tcBorders>
              <w:top w:val="nil"/>
              <w:left w:val="nil"/>
              <w:bottom w:val="nil"/>
              <w:right w:val="nil"/>
            </w:tcBorders>
            <w:shd w:val="clear" w:color="auto" w:fill="FFFFFF"/>
            <w:vAlign w:val="top"/>
          </w:tcPr>
          <w:p w14:paraId="5B45527A">
            <w:pPr>
              <w:pStyle w:val="54"/>
              <w:bidi w:val="0"/>
              <w:rPr>
                <w:rFonts w:hint="default"/>
                <w:b w:val="0"/>
              </w:rPr>
            </w:pPr>
            <w:r>
              <w:rPr>
                <w:rFonts w:hint="eastAsia"/>
                <w:b w:val="0"/>
              </w:rPr>
              <w:t>俯仰角</w:t>
            </w:r>
          </w:p>
        </w:tc>
        <w:tc>
          <w:tcPr>
            <w:tcW w:w="2769" w:type="dxa"/>
            <w:tcBorders>
              <w:top w:val="nil"/>
              <w:left w:val="nil"/>
              <w:bottom w:val="nil"/>
              <w:right w:val="nil"/>
            </w:tcBorders>
            <w:shd w:val="clear" w:color="auto" w:fill="FFFFFF"/>
            <w:vAlign w:val="top"/>
          </w:tcPr>
          <w:p w14:paraId="783FE944">
            <w:pPr>
              <w:pStyle w:val="54"/>
              <w:bidi w:val="0"/>
              <w:rPr>
                <w:rFonts w:hint="default"/>
                <w:b w:val="0"/>
              </w:rPr>
            </w:pPr>
            <w:r>
              <w:rPr>
                <w:rFonts w:hint="eastAsia"/>
                <w:b w:val="0"/>
              </w:rPr>
              <w:t>垂向入射角度，并采用正弦变换表示垂向分量</w:t>
            </w:r>
          </w:p>
        </w:tc>
      </w:tr>
      <w:tr w14:paraId="21FA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25E772D">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4DE7F369">
            <w:pPr>
              <w:pStyle w:val="54"/>
              <w:bidi w:val="0"/>
              <w:rPr>
                <w:rFonts w:hint="default"/>
                <w:b w:val="0"/>
              </w:rPr>
            </w:pPr>
            <w:r>
              <w:rPr>
                <w:rFonts w:hint="eastAsia"/>
                <w:b w:val="0"/>
              </w:rPr>
              <w:t>迎火侧墙面面积（对数）</w:t>
            </w:r>
          </w:p>
        </w:tc>
        <w:tc>
          <w:tcPr>
            <w:tcW w:w="2769" w:type="dxa"/>
            <w:tcBorders>
              <w:top w:val="nil"/>
              <w:left w:val="nil"/>
              <w:bottom w:val="nil"/>
              <w:right w:val="nil"/>
            </w:tcBorders>
            <w:shd w:val="clear" w:color="auto" w:fill="FFFFFF"/>
            <w:vAlign w:val="top"/>
          </w:tcPr>
          <w:p w14:paraId="185E47CD">
            <w:pPr>
              <w:pStyle w:val="54"/>
              <w:bidi w:val="0"/>
              <w:rPr>
                <w:rFonts w:hint="default"/>
                <w:b w:val="0"/>
              </w:rPr>
            </w:pPr>
            <w:r>
              <w:rPr>
                <w:rFonts w:hint="eastAsia"/>
                <w:b w:val="0"/>
              </w:rPr>
              <w:t>当前入射方向对应的受热外墙规模</w:t>
            </w:r>
          </w:p>
        </w:tc>
      </w:tr>
      <w:tr w14:paraId="7E1E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2F037FD6">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042C840E">
            <w:pPr>
              <w:pStyle w:val="54"/>
              <w:bidi w:val="0"/>
              <w:rPr>
                <w:rFonts w:hint="default"/>
                <w:b w:val="0"/>
              </w:rPr>
            </w:pPr>
            <w:r>
              <w:rPr>
                <w:rFonts w:hint="eastAsia"/>
                <w:b w:val="0"/>
              </w:rPr>
              <w:t>迎火侧门窗数量</w:t>
            </w:r>
          </w:p>
        </w:tc>
        <w:tc>
          <w:tcPr>
            <w:tcW w:w="2769" w:type="dxa"/>
            <w:tcBorders>
              <w:top w:val="nil"/>
              <w:left w:val="nil"/>
              <w:bottom w:val="nil"/>
              <w:right w:val="nil"/>
            </w:tcBorders>
            <w:shd w:val="clear" w:color="auto" w:fill="FFFFFF"/>
            <w:vAlign w:val="top"/>
          </w:tcPr>
          <w:p w14:paraId="644A5BDB">
            <w:pPr>
              <w:pStyle w:val="54"/>
              <w:bidi w:val="0"/>
              <w:rPr>
                <w:rFonts w:hint="default"/>
                <w:b w:val="0"/>
              </w:rPr>
            </w:pPr>
            <w:r>
              <w:rPr>
                <w:rFonts w:hint="eastAsia"/>
                <w:b w:val="0"/>
              </w:rPr>
              <w:t>热辐射可能进入设施内部的门窗条件</w:t>
            </w:r>
          </w:p>
        </w:tc>
      </w:tr>
      <w:tr w14:paraId="2BC8C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3985547E">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5F8B8ABD">
            <w:pPr>
              <w:pStyle w:val="54"/>
              <w:bidi w:val="0"/>
              <w:rPr>
                <w:rFonts w:hint="default"/>
                <w:b w:val="0"/>
              </w:rPr>
            </w:pPr>
            <w:r>
              <w:rPr>
                <w:rFonts w:hint="eastAsia"/>
                <w:b w:val="0"/>
              </w:rPr>
              <w:t>迎火侧门窗面积比</w:t>
            </w:r>
          </w:p>
        </w:tc>
        <w:tc>
          <w:tcPr>
            <w:tcW w:w="2769" w:type="dxa"/>
            <w:tcBorders>
              <w:top w:val="nil"/>
              <w:left w:val="nil"/>
              <w:bottom w:val="nil"/>
              <w:right w:val="nil"/>
            </w:tcBorders>
            <w:shd w:val="clear" w:color="auto" w:fill="FFFFFF"/>
            <w:vAlign w:val="top"/>
          </w:tcPr>
          <w:p w14:paraId="24DF64BB">
            <w:pPr>
              <w:pStyle w:val="54"/>
              <w:bidi w:val="0"/>
              <w:rPr>
                <w:rFonts w:hint="default"/>
                <w:b w:val="0"/>
              </w:rPr>
            </w:pPr>
            <w:r>
              <w:rPr>
                <w:rFonts w:hint="eastAsia"/>
                <w:b w:val="0"/>
              </w:rPr>
              <w:t>门窗相对受热墙面的开放程度</w:t>
            </w:r>
          </w:p>
        </w:tc>
      </w:tr>
      <w:tr w14:paraId="79DB0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7BF4ED45">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3806A7C0">
            <w:pPr>
              <w:pStyle w:val="54"/>
              <w:bidi w:val="0"/>
              <w:rPr>
                <w:rFonts w:hint="default"/>
                <w:b w:val="0"/>
              </w:rPr>
            </w:pPr>
            <w:r>
              <w:rPr>
                <w:rFonts w:hint="eastAsia"/>
                <w:b w:val="0"/>
              </w:rPr>
              <w:t>迎火侧总开口比例</w:t>
            </w:r>
          </w:p>
        </w:tc>
        <w:tc>
          <w:tcPr>
            <w:tcW w:w="2769" w:type="dxa"/>
            <w:tcBorders>
              <w:top w:val="nil"/>
              <w:left w:val="nil"/>
              <w:bottom w:val="nil"/>
              <w:right w:val="nil"/>
            </w:tcBorders>
            <w:shd w:val="clear" w:color="auto" w:fill="FFFFFF"/>
            <w:vAlign w:val="top"/>
          </w:tcPr>
          <w:p w14:paraId="1E99FD76">
            <w:pPr>
              <w:pStyle w:val="54"/>
              <w:bidi w:val="0"/>
              <w:rPr>
                <w:rFonts w:hint="default"/>
                <w:b w:val="0"/>
              </w:rPr>
            </w:pPr>
            <w:r>
              <w:rPr>
                <w:rFonts w:hint="eastAsia"/>
                <w:b w:val="0"/>
              </w:rPr>
              <w:t>门窗与通风口综合的迎火侧开放程度</w:t>
            </w:r>
          </w:p>
        </w:tc>
      </w:tr>
      <w:tr w14:paraId="1D8C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006BF857">
            <w:pPr>
              <w:pStyle w:val="54"/>
              <w:bidi w:val="0"/>
              <w:rPr>
                <w:rFonts w:hint="default"/>
                <w:b w:val="0"/>
              </w:rPr>
            </w:pPr>
            <w:r>
              <w:rPr>
                <w:rFonts w:hint="eastAsia"/>
                <w:b w:val="0"/>
              </w:rPr>
              <w:t>设施构型及目标特征</w:t>
            </w:r>
          </w:p>
        </w:tc>
        <w:tc>
          <w:tcPr>
            <w:tcW w:w="2769" w:type="dxa"/>
            <w:tcBorders>
              <w:top w:val="nil"/>
              <w:left w:val="nil"/>
              <w:bottom w:val="nil"/>
              <w:right w:val="nil"/>
            </w:tcBorders>
            <w:shd w:val="clear" w:color="auto" w:fill="FFFFFF"/>
            <w:vAlign w:val="top"/>
          </w:tcPr>
          <w:p w14:paraId="28ABA43F">
            <w:pPr>
              <w:pStyle w:val="54"/>
              <w:bidi w:val="0"/>
              <w:rPr>
                <w:rFonts w:hint="default"/>
                <w:b w:val="0"/>
              </w:rPr>
            </w:pPr>
            <w:r>
              <w:rPr>
                <w:rFonts w:hint="eastAsia"/>
                <w:b w:val="0"/>
              </w:rPr>
              <w:t>可燃物/敏感目标密度</w:t>
            </w:r>
          </w:p>
        </w:tc>
        <w:tc>
          <w:tcPr>
            <w:tcW w:w="2769" w:type="dxa"/>
            <w:tcBorders>
              <w:top w:val="nil"/>
              <w:left w:val="nil"/>
              <w:bottom w:val="nil"/>
              <w:right w:val="nil"/>
            </w:tcBorders>
            <w:shd w:val="clear" w:color="auto" w:fill="FFFFFF"/>
            <w:vAlign w:val="top"/>
          </w:tcPr>
          <w:p w14:paraId="0B261599">
            <w:pPr>
              <w:pStyle w:val="54"/>
              <w:bidi w:val="0"/>
              <w:rPr>
                <w:rFonts w:hint="default"/>
                <w:b w:val="0"/>
              </w:rPr>
            </w:pPr>
            <w:r>
              <w:rPr>
                <w:rFonts w:hint="eastAsia"/>
                <w:b w:val="0"/>
              </w:rPr>
              <w:t>单位平面面积内可能形成损伤的目标数量</w:t>
            </w:r>
          </w:p>
        </w:tc>
      </w:tr>
      <w:tr w14:paraId="0514D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7EB976C6">
            <w:pPr>
              <w:pStyle w:val="54"/>
              <w:bidi w:val="0"/>
              <w:rPr>
                <w:rFonts w:hint="default"/>
                <w:b w:val="0"/>
              </w:rPr>
            </w:pPr>
            <w:r>
              <w:rPr>
                <w:rFonts w:hint="eastAsia"/>
                <w:b w:val="0"/>
              </w:rPr>
              <w:t>设施构型及目标特征</w:t>
            </w:r>
          </w:p>
        </w:tc>
        <w:tc>
          <w:tcPr>
            <w:tcW w:w="2769" w:type="dxa"/>
            <w:tcBorders>
              <w:top w:val="nil"/>
              <w:left w:val="nil"/>
              <w:bottom w:val="single" w:color="000000" w:sz="12" w:space="0"/>
              <w:right w:val="nil"/>
            </w:tcBorders>
            <w:shd w:val="clear" w:color="auto" w:fill="FFFFFF"/>
            <w:vAlign w:val="top"/>
          </w:tcPr>
          <w:p w14:paraId="43398C9B">
            <w:pPr>
              <w:pStyle w:val="54"/>
              <w:bidi w:val="0"/>
              <w:rPr>
                <w:rFonts w:hint="default"/>
                <w:b w:val="0"/>
              </w:rPr>
            </w:pPr>
            <w:r>
              <w:rPr>
                <w:rFonts w:hint="eastAsia"/>
                <w:b w:val="0"/>
              </w:rPr>
              <w:t>迎火侧可燃物/敏感目标比例</w:t>
            </w:r>
          </w:p>
        </w:tc>
        <w:tc>
          <w:tcPr>
            <w:tcW w:w="2769" w:type="dxa"/>
            <w:tcBorders>
              <w:top w:val="nil"/>
              <w:left w:val="nil"/>
              <w:bottom w:val="single" w:color="000000" w:sz="12" w:space="0"/>
              <w:right w:val="nil"/>
            </w:tcBorders>
            <w:shd w:val="clear" w:color="auto" w:fill="FFFFFF"/>
            <w:vAlign w:val="top"/>
          </w:tcPr>
          <w:p w14:paraId="4BD0A8C3">
            <w:pPr>
              <w:pStyle w:val="54"/>
              <w:bidi w:val="0"/>
              <w:rPr>
                <w:rFonts w:hint="default"/>
                <w:b w:val="0"/>
              </w:rPr>
            </w:pPr>
            <w:r>
              <w:rPr>
                <w:rFonts w:hint="eastAsia"/>
                <w:b w:val="0"/>
              </w:rPr>
              <w:t>直接处于受热方向的目标占比</w:t>
            </w:r>
          </w:p>
        </w:tc>
      </w:tr>
    </w:tbl>
    <w:p w14:paraId="081BAC08">
      <w:pPr>
        <w:rPr>
          <w:rFonts w:hint="default" w:ascii="Times New Roman" w:hAnsi="Times New Roman" w:cs="Times New Roman"/>
        </w:rPr>
      </w:pPr>
      <w:r>
        <w:rPr>
          <w:rFonts w:hint="default" w:ascii="Times New Roman" w:hAnsi="Times New Roman" w:cs="Times New Roman"/>
        </w:rPr>
        <w:t>表中前 6 项为所有设施共用的核心输入；迎火侧门窗数量与门窗面积比两项仅在该类参数随工况或方向存在变化的设施中启用，其余设施不纳入模型，避免把恒定参数误作驱动因素。各设施实际使用的输入特征列表在训练时固化于模型文件中，推理时按同一列表构造特征向量，保证训练与使用口径一致。</w:t>
      </w:r>
    </w:p>
    <w:p w14:paraId="37CFE32D">
      <w:pPr>
        <w:rPr>
          <w:rFonts w:hint="default" w:ascii="Times New Roman" w:hAnsi="Times New Roman" w:cs="Times New Roman"/>
        </w:rPr>
      </w:pPr>
      <w:r>
        <w:rPr>
          <w:rFonts w:hint="default" w:ascii="Times New Roman" w:hAnsi="Times New Roman" w:cs="Times New Roman"/>
        </w:rPr>
        <w:t>从参数构成看，热源工况特征刻画了能量输入的强度、时程与方向性，是设施级 Dk 随工况变化的主要驱动；设施构型及目标特征则刻画了设施自身的受热响应条件，包括空间体量对热量的稀释作用、围护与开口对热量进入路径的调节，以及内部目标数量和迎火暴露程度对损伤形成的放大作用。两类特征在模型中共同参与树节点划分，缺一不可：仅凭热源强度无法解释同热通量下不同设施、不同方向的预测差异，仅凭设施构型也无法刻画同一设施在不同工况下的损伤变化。两者结合，使模型能够在统一的特征空间内表达"外部能量输入—围护衰减—目标暴露—价值加权损伤"的完整响应链。</w:t>
      </w:r>
    </w:p>
    <w:p w14:paraId="4CA5E291">
      <w:pPr>
        <w:rPr>
          <w:rFonts w:hint="default" w:ascii="Times New Roman" w:hAnsi="Times New Roman" w:cs="Times New Roman"/>
        </w:rPr>
      </w:pPr>
      <w:r>
        <w:rPr>
          <w:rFonts w:hint="default" w:ascii="Times New Roman" w:hAnsi="Times New Roman" w:cs="Times New Roman"/>
        </w:rPr>
        <w:t>对冶金设施而言，设施构型及目标特征的工程含义尤为突出。电解厂房、精炼车间与专用电厂通常具有较大的围护体量和连续的工艺设备布置，高温熔融、金属材料与电气设备构成价值高度集中的敏感目标；迎火侧开口与目标比例决定了外部辐射进入设施内部并作用于高价值资产的路径。这些差异无法用单一热源参数表达，必须由设施构型及目标特征承担。</w:t>
      </w:r>
    </w:p>
    <w:p w14:paraId="1E1529D7">
      <w:pPr>
        <w:rPr>
          <w:rFonts w:hint="default" w:ascii="Times New Roman" w:hAnsi="Times New Roman" w:cs="Times New Roman"/>
        </w:rPr>
      </w:pPr>
    </w:p>
    <w:p w14:paraId="39808CD4">
      <w:pPr>
        <w:pStyle w:val="3"/>
        <w:rPr>
          <w:rFonts w:hint="default" w:ascii="Times New Roman" w:hAnsi="Times New Roman" w:cs="Times New Roman"/>
        </w:rPr>
      </w:pPr>
      <w:bookmarkStart w:id="13" w:name="_Toc11721"/>
      <w:r>
        <w:rPr>
          <w:rFonts w:hint="default" w:ascii="Times New Roman" w:hAnsi="Times New Roman" w:cs="Times New Roman"/>
          <w:lang w:val="en-US" w:eastAsia="zh-CN"/>
        </w:rPr>
        <w:t>特征处理</w:t>
      </w:r>
      <w:bookmarkEnd w:id="13"/>
    </w:p>
    <w:p w14:paraId="1378EA3B">
      <w:pPr>
        <w:rPr>
          <w:rFonts w:hint="default" w:ascii="Times New Roman" w:hAnsi="Times New Roman" w:cs="Times New Roman"/>
        </w:rPr>
      </w:pPr>
      <w:r>
        <w:rPr>
          <w:rFonts w:hint="default" w:ascii="Times New Roman" w:hAnsi="Times New Roman" w:cs="Times New Roman"/>
        </w:rPr>
        <w:t>热通量采用以 10 为底的对数变换，热剂量按热通量与持续时间的乘积构造，以减小高低热通量之间的数值跨度。方位角采用正弦和余弦联合编码，使 0°和 360°在特征空间中保持连续。迎火侧墙面面积采用对数表达，使不同规模设施能够在同一数值范围内参与树节点划分。</w:t>
      </w:r>
    </w:p>
    <w:p w14:paraId="62661702">
      <w:pPr>
        <w:rPr>
          <w:rFonts w:hint="default" w:ascii="Times New Roman" w:hAnsi="Times New Roman" w:cs="Times New Roman"/>
        </w:rPr>
      </w:pPr>
      <w:r>
        <w:rPr>
          <w:rFonts w:hint="default" w:ascii="Times New Roman" w:hAnsi="Times New Roman" w:cs="Times New Roman"/>
        </w:rPr>
        <w:t>迎火侧特征根据方位角动态选取。当热源方向改变时，模型同步更新受热墙面面积、门窗与总开口比例以及迎火侧敏感目标比例。因此，同一热通量下不同方向的预测差异具有明确的工程参数来源：方位角决定哪一面墙成为迎火侧，俯仰角决定辐射作用于墙面、屋面还是内部目标的分布，持续时间则通过热剂量累积放大或缩小损伤程度。</w:t>
      </w:r>
    </w:p>
    <w:p w14:paraId="142E9CB9">
      <w:pPr>
        <w:rPr>
          <w:rFonts w:hint="default" w:ascii="Times New Roman" w:hAnsi="Times New Roman" w:cs="Times New Roman"/>
        </w:rPr>
      </w:pPr>
      <w:r>
        <w:rPr>
          <w:rFonts w:hint="default" w:ascii="Times New Roman" w:hAnsi="Times New Roman" w:cs="Times New Roman"/>
        </w:rPr>
        <w:t>为兼顾模型对连续工况的插值能力和对离散工况的刻画能力，热源参数同时保留连续数值与离散标识两种表达：连续数值用于树节点按阈值精细分裂，离散标识（如特定俯仰角、特定持续时间档位）则帮助模型记忆工况网格中实际存在的作用条件。设施侧参数全部以连续量形式进入模型，其中迎火侧开口、门窗和敏感目标比例在方向上动态投影，使建筑朝向与热源方向的关系被显式编码，避免模型将不同方向的差异简单归因于热通量大小。</w:t>
      </w:r>
    </w:p>
    <w:p w14:paraId="753CBE49">
      <w:pPr>
        <w:rPr>
          <w:rFonts w:hint="default" w:ascii="Times New Roman" w:hAnsi="Times New Roman" w:cs="Times New Roman"/>
        </w:rPr>
      </w:pPr>
    </w:p>
    <w:p w14:paraId="405BF9F6">
      <w:pPr>
        <w:pStyle w:val="3"/>
        <w:rPr>
          <w:rFonts w:hint="default" w:ascii="Times New Roman" w:hAnsi="Times New Roman" w:cs="Times New Roman"/>
        </w:rPr>
      </w:pPr>
      <w:bookmarkStart w:id="14" w:name="_Toc31485"/>
      <w:r>
        <w:rPr>
          <w:rFonts w:hint="default" w:ascii="Times New Roman" w:hAnsi="Times New Roman" w:cs="Times New Roman"/>
        </w:rPr>
        <w:t>特征重要性分析</w:t>
      </w:r>
      <w:bookmarkEnd w:id="14"/>
    </w:p>
    <w:p w14:paraId="58599EC3">
      <w:pPr>
        <w:rPr>
          <w:rFonts w:hint="default" w:ascii="Times New Roman" w:hAnsi="Times New Roman" w:cs="Times New Roman"/>
        </w:rPr>
      </w:pPr>
      <w:r>
        <w:rPr>
          <w:rFonts w:hint="default" w:ascii="Times New Roman" w:hAnsi="Times New Roman" w:cs="Times New Roman"/>
        </w:rPr>
        <w:t>为分析逐设施模型在冶金设施上的实际使用特征，在五折交叉验证框架下进行重复置换重要性分析：对某个输入特征，在各折测试集上随机打乱该特征取值后重新预测，记录等级准确率的下降量。下降量越大，说明模型在冶金子集上对该特征越敏感。该分析只针对所有冶金设施共用的核心输入特征，用于解释模型预测和等级分布，不将重要性数值解释为单一物理因果比例。</w:t>
      </w:r>
    </w:p>
    <w:p w14:paraId="77A173DC">
      <w:pPr>
        <w:pStyle w:val="54"/>
        <w:bidi w:val="0"/>
        <w:rPr>
          <w:rFonts w:hint="default" w:ascii="Times New Roman" w:hAnsi="Times New Roman" w:cs="Times New Roman"/>
        </w:rPr>
      </w:pPr>
      <w:r>
        <w:drawing>
          <wp:inline distT="0" distB="0" distL="114300" distR="114300">
            <wp:extent cx="5270500" cy="3220720"/>
            <wp:effectExtent l="0" t="0" r="6350" b="17780"/>
            <wp:docPr id="58" name="Picture" descr="图 1 冶金设施专项因素置换重要性"/>
            <wp:cNvGraphicFramePr>
              <a:graphicFrameLocks noChangeAspect="1"/>
            </wp:cNvGraphicFramePr>
            <a:graphic>
              <a:graphicData uri="http://schemas.openxmlformats.org/drawingml/2006/picture">
                <pic:pic>
                  <pic:nvPicPr>
                    <pic:cNvPr id="58" name="Picture" descr="图 1 冶金设施专项因素置换重要性"/>
                    <pic:cNvPicPr>
                      <a:picLocks noChangeAspect="1" noChangeArrowheads="1"/>
                    </pic:cNvPicPr>
                  </pic:nvPicPr>
                  <pic:blipFill>
                    <a:blip r:embed="rId12"/>
                    <a:stretch>
                      <a:fillRect/>
                    </a:stretch>
                  </pic:blipFill>
                  <pic:spPr>
                    <a:xfrm>
                      <a:off x="0" y="0"/>
                      <a:ext cx="5270500" cy="3220861"/>
                    </a:xfrm>
                    <a:prstGeom prst="rect">
                      <a:avLst/>
                    </a:prstGeom>
                    <a:noFill/>
                    <a:ln w="9525">
                      <a:noFill/>
                    </a:ln>
                  </pic:spPr>
                </pic:pic>
              </a:graphicData>
            </a:graphic>
          </wp:inline>
        </w:drawing>
      </w:r>
    </w:p>
    <w:p w14:paraId="1FFD284D">
      <w:pPr>
        <w:pStyle w:val="16"/>
        <w:bidi w:val="0"/>
        <w:rPr>
          <w:rFonts w:hint="default" w:ascii="Times New Roman" w:hAnsi="Times New Roman" w:eastAsia="宋体" w:cs="Times New Roman"/>
          <w:lang w:val="en-US" w:eastAsia="zh-CN"/>
        </w:rPr>
      </w:pPr>
      <w:r>
        <w:t xml:space="preserve">图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特征重要性分析</w:t>
      </w:r>
    </w:p>
    <w:p w14:paraId="766244A7">
      <w:pPr>
        <w:rPr>
          <w:rFonts w:hint="default" w:ascii="Times New Roman" w:hAnsi="Times New Roman" w:cs="Times New Roman"/>
          <w:lang w:val="en-US" w:eastAsia="zh-CN"/>
        </w:rPr>
      </w:pPr>
    </w:p>
    <w:p w14:paraId="7AA56E44">
      <w:pPr>
        <w:pStyle w:val="16"/>
        <w:bidi w:val="0"/>
        <w:jc w:val="center"/>
        <w:rPr>
          <w:rFonts w:hint="default" w:ascii="Times New Roman" w:hAnsi="Times New Roman" w:cs="Times New Roman"/>
        </w:rPr>
      </w:pPr>
      <w:r>
        <w:t xml:space="preserve">表 </w:t>
      </w:r>
      <w:r>
        <w:fldChar w:fldCharType="begin"/>
      </w:r>
      <w:r>
        <w:instrText xml:space="preserve"> STYLEREF 1 \s </w:instrText>
      </w:r>
      <w:r>
        <w:fldChar w:fldCharType="separate"/>
      </w:r>
      <w:r>
        <w:t>3</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lang w:val="en-US" w:eastAsia="zh-CN"/>
        </w:rPr>
        <w:t xml:space="preserve"> </w:t>
      </w:r>
      <w:r>
        <w:rPr>
          <w:rFonts w:hint="eastAsia" w:ascii="Times New Roman" w:hAnsi="Times New Roman" w:cs="Times New Roman"/>
          <w:lang w:eastAsia="zh-CN"/>
        </w:rPr>
        <w:t>机械制造</w:t>
      </w:r>
      <w:r>
        <w:rPr>
          <w:rFonts w:hint="default" w:ascii="Times New Roman" w:hAnsi="Times New Roman" w:cs="Times New Roman"/>
        </w:rPr>
        <w:t>与主要工程因素及其阈值影响</w:t>
      </w:r>
    </w:p>
    <w:tbl>
      <w:tblPr>
        <w:tblStyle w:val="2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3543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12" w:space="0"/>
              <w:left w:val="nil"/>
              <w:bottom w:val="single" w:color="000000" w:sz="4" w:space="0"/>
              <w:right w:val="nil"/>
              <w:tl2br w:val="nil"/>
            </w:tcBorders>
            <w:shd w:val="clear" w:color="auto" w:fill="FFFFFF"/>
            <w:vAlign w:val="top"/>
          </w:tcPr>
          <w:p w14:paraId="4FC6A1B2">
            <w:pPr>
              <w:pStyle w:val="54"/>
              <w:bidi w:val="0"/>
              <w:rPr>
                <w:rFonts w:hint="default"/>
              </w:rPr>
            </w:pPr>
            <w:r>
              <w:rPr>
                <w:rFonts w:hint="eastAsia"/>
              </w:rPr>
              <w:t>排序</w:t>
            </w:r>
          </w:p>
        </w:tc>
        <w:tc>
          <w:tcPr>
            <w:tcW w:w="2840" w:type="dxa"/>
            <w:tcBorders>
              <w:top w:val="single" w:color="000000" w:sz="12" w:space="0"/>
              <w:left w:val="nil"/>
              <w:bottom w:val="single" w:color="000000" w:sz="4" w:space="0"/>
              <w:right w:val="nil"/>
            </w:tcBorders>
            <w:shd w:val="clear" w:color="auto" w:fill="FFFFFF"/>
            <w:vAlign w:val="top"/>
          </w:tcPr>
          <w:p w14:paraId="157729A1">
            <w:pPr>
              <w:pStyle w:val="54"/>
              <w:bidi w:val="0"/>
              <w:rPr>
                <w:rFonts w:hint="default"/>
              </w:rPr>
            </w:pPr>
            <w:r>
              <w:rPr>
                <w:rFonts w:hint="eastAsia"/>
              </w:rPr>
              <w:t>输入特征</w:t>
            </w:r>
          </w:p>
        </w:tc>
        <w:tc>
          <w:tcPr>
            <w:tcW w:w="2840" w:type="dxa"/>
            <w:tcBorders>
              <w:top w:val="single" w:color="000000" w:sz="12" w:space="0"/>
              <w:left w:val="nil"/>
              <w:bottom w:val="single" w:color="000000" w:sz="4" w:space="0"/>
              <w:right w:val="nil"/>
            </w:tcBorders>
            <w:shd w:val="clear" w:color="auto" w:fill="FFFFFF"/>
            <w:vAlign w:val="top"/>
          </w:tcPr>
          <w:p w14:paraId="38150801">
            <w:pPr>
              <w:pStyle w:val="54"/>
              <w:bidi w:val="0"/>
              <w:rPr>
                <w:rFonts w:hint="default"/>
              </w:rPr>
            </w:pPr>
            <w:r>
              <w:rPr>
                <w:rFonts w:hint="eastAsia"/>
              </w:rPr>
              <w:t>置换后等级准确率下降</w:t>
            </w:r>
          </w:p>
        </w:tc>
      </w:tr>
      <w:tr w14:paraId="06F6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single" w:color="000000" w:sz="4" w:space="0"/>
              <w:left w:val="nil"/>
              <w:bottom w:val="nil"/>
              <w:right w:val="nil"/>
            </w:tcBorders>
            <w:shd w:val="clear" w:color="auto" w:fill="FFFFFF"/>
            <w:vAlign w:val="top"/>
          </w:tcPr>
          <w:p w14:paraId="461EDC94">
            <w:pPr>
              <w:pStyle w:val="54"/>
              <w:bidi w:val="0"/>
              <w:rPr>
                <w:rFonts w:hint="default"/>
              </w:rPr>
            </w:pPr>
            <w:r>
              <w:t>1</w:t>
            </w:r>
          </w:p>
        </w:tc>
        <w:tc>
          <w:tcPr>
            <w:tcW w:w="2840" w:type="dxa"/>
            <w:tcBorders>
              <w:top w:val="single" w:color="000000" w:sz="4" w:space="0"/>
              <w:left w:val="nil"/>
              <w:bottom w:val="nil"/>
              <w:right w:val="nil"/>
            </w:tcBorders>
            <w:shd w:val="clear" w:color="auto" w:fill="FFFFFF"/>
            <w:vAlign w:val="top"/>
          </w:tcPr>
          <w:p w14:paraId="5276382B">
            <w:pPr>
              <w:pStyle w:val="54"/>
              <w:bidi w:val="0"/>
              <w:rPr>
                <w:rFonts w:hint="default"/>
              </w:rPr>
            </w:pPr>
            <w:r>
              <w:rPr>
                <w:rFonts w:hint="eastAsia"/>
              </w:rPr>
              <w:t>热通量（对数）</w:t>
            </w:r>
          </w:p>
        </w:tc>
        <w:tc>
          <w:tcPr>
            <w:tcW w:w="2840" w:type="dxa"/>
            <w:tcBorders>
              <w:top w:val="single" w:color="000000" w:sz="4" w:space="0"/>
              <w:left w:val="nil"/>
              <w:bottom w:val="nil"/>
              <w:right w:val="nil"/>
            </w:tcBorders>
            <w:shd w:val="clear" w:color="auto" w:fill="FFFFFF"/>
            <w:vAlign w:val="top"/>
          </w:tcPr>
          <w:p w14:paraId="7393E07B">
            <w:pPr>
              <w:pStyle w:val="54"/>
              <w:bidi w:val="0"/>
              <w:rPr>
                <w:rFonts w:hint="default"/>
              </w:rPr>
            </w:pPr>
            <w:r>
              <w:t>0.0322</w:t>
            </w:r>
          </w:p>
        </w:tc>
      </w:tr>
      <w:tr w14:paraId="6AB50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029AEDD">
            <w:pPr>
              <w:pStyle w:val="54"/>
              <w:bidi w:val="0"/>
              <w:rPr>
                <w:rFonts w:hint="default"/>
              </w:rPr>
            </w:pPr>
            <w:r>
              <w:t>2</w:t>
            </w:r>
          </w:p>
        </w:tc>
        <w:tc>
          <w:tcPr>
            <w:tcW w:w="2840" w:type="dxa"/>
            <w:tcBorders>
              <w:top w:val="nil"/>
              <w:left w:val="nil"/>
              <w:bottom w:val="nil"/>
              <w:right w:val="nil"/>
            </w:tcBorders>
            <w:shd w:val="clear" w:color="auto" w:fill="FFFFFF"/>
            <w:vAlign w:val="top"/>
          </w:tcPr>
          <w:p w14:paraId="1192AC3C">
            <w:pPr>
              <w:pStyle w:val="54"/>
              <w:bidi w:val="0"/>
              <w:rPr>
                <w:rFonts w:hint="default"/>
              </w:rPr>
            </w:pPr>
            <w:r>
              <w:rPr>
                <w:rFonts w:hint="eastAsia"/>
              </w:rPr>
              <w:t>方位角正弦项</w:t>
            </w:r>
          </w:p>
        </w:tc>
        <w:tc>
          <w:tcPr>
            <w:tcW w:w="2840" w:type="dxa"/>
            <w:tcBorders>
              <w:top w:val="nil"/>
              <w:left w:val="nil"/>
              <w:bottom w:val="nil"/>
              <w:right w:val="nil"/>
            </w:tcBorders>
            <w:shd w:val="clear" w:color="auto" w:fill="FFFFFF"/>
            <w:vAlign w:val="top"/>
          </w:tcPr>
          <w:p w14:paraId="650E1647">
            <w:pPr>
              <w:pStyle w:val="54"/>
              <w:bidi w:val="0"/>
              <w:rPr>
                <w:rFonts w:hint="default"/>
              </w:rPr>
            </w:pPr>
            <w:r>
              <w:t>0.0094</w:t>
            </w:r>
          </w:p>
        </w:tc>
      </w:tr>
      <w:tr w14:paraId="12BD9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0E9A312C">
            <w:pPr>
              <w:pStyle w:val="54"/>
              <w:bidi w:val="0"/>
              <w:rPr>
                <w:rFonts w:hint="default"/>
              </w:rPr>
            </w:pPr>
            <w:r>
              <w:t>3</w:t>
            </w:r>
          </w:p>
        </w:tc>
        <w:tc>
          <w:tcPr>
            <w:tcW w:w="2840" w:type="dxa"/>
            <w:tcBorders>
              <w:top w:val="nil"/>
              <w:left w:val="nil"/>
              <w:bottom w:val="nil"/>
              <w:right w:val="nil"/>
            </w:tcBorders>
            <w:shd w:val="clear" w:color="auto" w:fill="FFFFFF"/>
            <w:vAlign w:val="top"/>
          </w:tcPr>
          <w:p w14:paraId="65256597">
            <w:pPr>
              <w:pStyle w:val="54"/>
              <w:bidi w:val="0"/>
              <w:rPr>
                <w:rFonts w:hint="default"/>
              </w:rPr>
            </w:pPr>
            <w:r>
              <w:rPr>
                <w:rFonts w:hint="eastAsia"/>
              </w:rPr>
              <w:t>方位角余弦项</w:t>
            </w:r>
          </w:p>
        </w:tc>
        <w:tc>
          <w:tcPr>
            <w:tcW w:w="2840" w:type="dxa"/>
            <w:tcBorders>
              <w:top w:val="nil"/>
              <w:left w:val="nil"/>
              <w:bottom w:val="nil"/>
              <w:right w:val="nil"/>
            </w:tcBorders>
            <w:shd w:val="clear" w:color="auto" w:fill="FFFFFF"/>
            <w:vAlign w:val="top"/>
          </w:tcPr>
          <w:p w14:paraId="5E9946C7">
            <w:pPr>
              <w:pStyle w:val="54"/>
              <w:bidi w:val="0"/>
              <w:rPr>
                <w:rFonts w:hint="default"/>
              </w:rPr>
            </w:pPr>
            <w:r>
              <w:t>0.0063</w:t>
            </w:r>
          </w:p>
        </w:tc>
      </w:tr>
      <w:tr w14:paraId="286F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7393CB1F">
            <w:pPr>
              <w:pStyle w:val="54"/>
              <w:bidi w:val="0"/>
              <w:rPr>
                <w:rFonts w:hint="default"/>
              </w:rPr>
            </w:pPr>
            <w:r>
              <w:t>4</w:t>
            </w:r>
          </w:p>
        </w:tc>
        <w:tc>
          <w:tcPr>
            <w:tcW w:w="2840" w:type="dxa"/>
            <w:tcBorders>
              <w:top w:val="nil"/>
              <w:left w:val="nil"/>
              <w:bottom w:val="nil"/>
              <w:right w:val="nil"/>
            </w:tcBorders>
            <w:shd w:val="clear" w:color="auto" w:fill="FFFFFF"/>
            <w:vAlign w:val="top"/>
          </w:tcPr>
          <w:p w14:paraId="3F89D1B5">
            <w:pPr>
              <w:pStyle w:val="54"/>
              <w:bidi w:val="0"/>
              <w:rPr>
                <w:rFonts w:hint="default"/>
              </w:rPr>
            </w:pPr>
            <w:r>
              <w:rPr>
                <w:rFonts w:hint="eastAsia"/>
              </w:rPr>
              <w:t>迎火侧可燃物/敏感目标比例</w:t>
            </w:r>
          </w:p>
        </w:tc>
        <w:tc>
          <w:tcPr>
            <w:tcW w:w="2840" w:type="dxa"/>
            <w:tcBorders>
              <w:top w:val="nil"/>
              <w:left w:val="nil"/>
              <w:bottom w:val="nil"/>
              <w:right w:val="nil"/>
            </w:tcBorders>
            <w:shd w:val="clear" w:color="auto" w:fill="FFFFFF"/>
            <w:vAlign w:val="top"/>
          </w:tcPr>
          <w:p w14:paraId="0E9360FA">
            <w:pPr>
              <w:pStyle w:val="54"/>
              <w:bidi w:val="0"/>
              <w:rPr>
                <w:rFonts w:hint="default"/>
              </w:rPr>
            </w:pPr>
            <w:r>
              <w:t>0.0060</w:t>
            </w:r>
          </w:p>
        </w:tc>
      </w:tr>
      <w:tr w14:paraId="529B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4DDF7835">
            <w:pPr>
              <w:pStyle w:val="54"/>
              <w:bidi w:val="0"/>
              <w:rPr>
                <w:rFonts w:hint="default"/>
              </w:rPr>
            </w:pPr>
            <w:r>
              <w:t>5</w:t>
            </w:r>
          </w:p>
        </w:tc>
        <w:tc>
          <w:tcPr>
            <w:tcW w:w="2840" w:type="dxa"/>
            <w:tcBorders>
              <w:top w:val="nil"/>
              <w:left w:val="nil"/>
              <w:bottom w:val="nil"/>
              <w:right w:val="nil"/>
            </w:tcBorders>
            <w:shd w:val="clear" w:color="auto" w:fill="FFFFFF"/>
            <w:vAlign w:val="top"/>
          </w:tcPr>
          <w:p w14:paraId="583A5089">
            <w:pPr>
              <w:pStyle w:val="54"/>
              <w:bidi w:val="0"/>
              <w:rPr>
                <w:rFonts w:hint="default"/>
              </w:rPr>
            </w:pPr>
            <w:r>
              <w:rPr>
                <w:rFonts w:hint="eastAsia"/>
              </w:rPr>
              <w:t>辐射持续时间</w:t>
            </w:r>
          </w:p>
        </w:tc>
        <w:tc>
          <w:tcPr>
            <w:tcW w:w="2840" w:type="dxa"/>
            <w:tcBorders>
              <w:top w:val="nil"/>
              <w:left w:val="nil"/>
              <w:bottom w:val="nil"/>
              <w:right w:val="nil"/>
            </w:tcBorders>
            <w:shd w:val="clear" w:color="auto" w:fill="FFFFFF"/>
            <w:vAlign w:val="top"/>
          </w:tcPr>
          <w:p w14:paraId="425AE8B5">
            <w:pPr>
              <w:pStyle w:val="54"/>
              <w:bidi w:val="0"/>
              <w:rPr>
                <w:rFonts w:hint="default"/>
              </w:rPr>
            </w:pPr>
            <w:r>
              <w:t>0.0059</w:t>
            </w:r>
          </w:p>
        </w:tc>
      </w:tr>
      <w:tr w14:paraId="6060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nil"/>
              <w:right w:val="nil"/>
            </w:tcBorders>
            <w:shd w:val="clear" w:color="auto" w:fill="FFFFFF"/>
            <w:vAlign w:val="top"/>
          </w:tcPr>
          <w:p w14:paraId="0B2B1505">
            <w:pPr>
              <w:pStyle w:val="54"/>
              <w:bidi w:val="0"/>
              <w:rPr>
                <w:rFonts w:hint="default"/>
              </w:rPr>
            </w:pPr>
            <w:r>
              <w:t>6</w:t>
            </w:r>
          </w:p>
        </w:tc>
        <w:tc>
          <w:tcPr>
            <w:tcW w:w="2840" w:type="dxa"/>
            <w:tcBorders>
              <w:top w:val="nil"/>
              <w:left w:val="nil"/>
              <w:bottom w:val="nil"/>
              <w:right w:val="nil"/>
            </w:tcBorders>
            <w:shd w:val="clear" w:color="auto" w:fill="FFFFFF"/>
            <w:vAlign w:val="top"/>
          </w:tcPr>
          <w:p w14:paraId="6E734248">
            <w:pPr>
              <w:pStyle w:val="54"/>
              <w:bidi w:val="0"/>
              <w:rPr>
                <w:rFonts w:hint="default"/>
              </w:rPr>
            </w:pPr>
            <w:r>
              <w:rPr>
                <w:rFonts w:hint="eastAsia"/>
              </w:rPr>
              <w:t>迎火侧总开口比例</w:t>
            </w:r>
          </w:p>
        </w:tc>
        <w:tc>
          <w:tcPr>
            <w:tcW w:w="2840" w:type="dxa"/>
            <w:tcBorders>
              <w:top w:val="nil"/>
              <w:left w:val="nil"/>
              <w:bottom w:val="nil"/>
              <w:right w:val="nil"/>
            </w:tcBorders>
            <w:shd w:val="clear" w:color="auto" w:fill="FFFFFF"/>
            <w:vAlign w:val="top"/>
          </w:tcPr>
          <w:p w14:paraId="669F1A9F">
            <w:pPr>
              <w:pStyle w:val="54"/>
              <w:bidi w:val="0"/>
              <w:rPr>
                <w:rFonts w:hint="default"/>
              </w:rPr>
            </w:pPr>
            <w:r>
              <w:t>0.0051</w:t>
            </w:r>
          </w:p>
        </w:tc>
      </w:tr>
      <w:tr w14:paraId="7FE4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39" w:type="dxa"/>
            <w:tcBorders>
              <w:top w:val="nil"/>
              <w:left w:val="nil"/>
              <w:bottom w:val="nil"/>
              <w:right w:val="nil"/>
            </w:tcBorders>
            <w:shd w:val="clear" w:color="auto" w:fill="FFFFFF"/>
            <w:vAlign w:val="top"/>
          </w:tcPr>
          <w:p w14:paraId="1F60FEE1">
            <w:pPr>
              <w:pStyle w:val="54"/>
              <w:bidi w:val="0"/>
              <w:rPr>
                <w:rFonts w:hint="default"/>
              </w:rPr>
            </w:pPr>
            <w:r>
              <w:t>7</w:t>
            </w:r>
          </w:p>
        </w:tc>
        <w:tc>
          <w:tcPr>
            <w:tcW w:w="2840" w:type="dxa"/>
            <w:tcBorders>
              <w:top w:val="nil"/>
              <w:left w:val="nil"/>
              <w:bottom w:val="nil"/>
              <w:right w:val="nil"/>
            </w:tcBorders>
            <w:shd w:val="clear" w:color="auto" w:fill="FFFFFF"/>
            <w:vAlign w:val="top"/>
          </w:tcPr>
          <w:p w14:paraId="78C540B4">
            <w:pPr>
              <w:pStyle w:val="54"/>
              <w:bidi w:val="0"/>
              <w:rPr>
                <w:rFonts w:hint="default"/>
              </w:rPr>
            </w:pPr>
            <w:r>
              <w:rPr>
                <w:rFonts w:hint="eastAsia"/>
              </w:rPr>
              <w:t>俯仰角</w:t>
            </w:r>
          </w:p>
        </w:tc>
        <w:tc>
          <w:tcPr>
            <w:tcW w:w="2840" w:type="dxa"/>
            <w:tcBorders>
              <w:top w:val="nil"/>
              <w:left w:val="nil"/>
              <w:bottom w:val="nil"/>
              <w:right w:val="nil"/>
            </w:tcBorders>
            <w:shd w:val="clear" w:color="auto" w:fill="FFFFFF"/>
            <w:vAlign w:val="top"/>
          </w:tcPr>
          <w:p w14:paraId="20051B17">
            <w:pPr>
              <w:pStyle w:val="54"/>
              <w:bidi w:val="0"/>
              <w:rPr>
                <w:rFonts w:hint="default"/>
              </w:rPr>
            </w:pPr>
            <w:r>
              <w:t>0.0047</w:t>
            </w:r>
          </w:p>
        </w:tc>
      </w:tr>
      <w:tr w14:paraId="02FDB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9" w:type="dxa"/>
            <w:tcBorders>
              <w:top w:val="nil"/>
              <w:left w:val="nil"/>
              <w:bottom w:val="single" w:color="000000" w:sz="12" w:space="0"/>
              <w:right w:val="nil"/>
            </w:tcBorders>
            <w:shd w:val="clear" w:color="auto" w:fill="FFFFFF"/>
            <w:vAlign w:val="top"/>
          </w:tcPr>
          <w:p w14:paraId="390B0EE6">
            <w:pPr>
              <w:pStyle w:val="54"/>
              <w:bidi w:val="0"/>
              <w:rPr>
                <w:rFonts w:hint="default"/>
              </w:rPr>
            </w:pPr>
            <w:r>
              <w:t>8</w:t>
            </w:r>
          </w:p>
        </w:tc>
        <w:tc>
          <w:tcPr>
            <w:tcW w:w="2840" w:type="dxa"/>
            <w:tcBorders>
              <w:top w:val="nil"/>
              <w:left w:val="nil"/>
              <w:bottom w:val="single" w:color="000000" w:sz="12" w:space="0"/>
              <w:right w:val="nil"/>
            </w:tcBorders>
            <w:shd w:val="clear" w:color="auto" w:fill="FFFFFF"/>
            <w:vAlign w:val="top"/>
          </w:tcPr>
          <w:p w14:paraId="406CE806">
            <w:pPr>
              <w:pStyle w:val="54"/>
              <w:bidi w:val="0"/>
              <w:rPr>
                <w:rFonts w:hint="default"/>
              </w:rPr>
            </w:pPr>
            <w:r>
              <w:rPr>
                <w:rFonts w:hint="eastAsia"/>
              </w:rPr>
              <w:t>迎火侧墙面面积（对数）</w:t>
            </w:r>
          </w:p>
        </w:tc>
        <w:tc>
          <w:tcPr>
            <w:tcW w:w="2840" w:type="dxa"/>
            <w:tcBorders>
              <w:top w:val="nil"/>
              <w:left w:val="nil"/>
              <w:bottom w:val="single" w:color="000000" w:sz="12" w:space="0"/>
              <w:right w:val="nil"/>
            </w:tcBorders>
            <w:shd w:val="clear" w:color="auto" w:fill="FFFFFF"/>
            <w:vAlign w:val="top"/>
          </w:tcPr>
          <w:p w14:paraId="1C9BAC91">
            <w:pPr>
              <w:pStyle w:val="54"/>
              <w:bidi w:val="0"/>
              <w:rPr>
                <w:rFonts w:hint="default"/>
              </w:rPr>
            </w:pPr>
            <w:r>
              <w:t>0.0026</w:t>
            </w:r>
          </w:p>
        </w:tc>
      </w:tr>
    </w:tbl>
    <w:p w14:paraId="01551E46">
      <w:pPr>
        <w:pStyle w:val="54"/>
        <w:bidi w:val="0"/>
        <w:rPr>
          <w:rFonts w:hint="default" w:ascii="Times New Roman" w:hAnsi="Times New Roman" w:cs="Times New Roman"/>
          <w:lang w:val="en-US" w:eastAsia="zh-CN"/>
        </w:rPr>
      </w:pPr>
    </w:p>
    <w:p w14:paraId="4E2334A3">
      <w:pPr>
        <w:rPr>
          <w:rFonts w:hint="default" w:ascii="Times New Roman" w:hAnsi="Times New Roman" w:cs="Times New Roman"/>
          <w:lang w:val="en-US" w:eastAsia="zh-CN"/>
        </w:rPr>
      </w:pPr>
      <w:r>
        <w:rPr>
          <w:rFonts w:hint="default" w:ascii="Times New Roman" w:hAnsi="Times New Roman" w:cs="Times New Roman"/>
          <w:lang w:val="en-US" w:eastAsia="zh-CN"/>
        </w:rPr>
        <w:t>置换结果显示，热通量是冶金设施等级判断最主要的驱动因素，直接控制损伤水平和各等级阈值位置；方位角通过迎火侧墙面与开口比例改变方向响应，可燃物/敏感目标比例和迎火侧总开口比例则反映高价值目标暴露与热量进入路径。细分结果进一步表明，热通量决定等级总体水平，方位角、俯仰角、迎火侧开口和敏感目标比例共同决定同一设施在不同方向上的等级变化。除上述共用特征外，个别冶金设施（如大型冶金等效设施）还补充了方位角象限标识等扩展特征，以刻画其特有的方向响应。</w:t>
      </w:r>
    </w:p>
    <w:p w14:paraId="4BB92ED0">
      <w:pPr>
        <w:spacing w:line="360" w:lineRule="auto"/>
        <w:jc w:val="left"/>
        <w:rPr>
          <w:rStyle w:val="23"/>
          <w:rFonts w:hint="default" w:ascii="Times New Roman" w:hAnsi="Times New Roman" w:cs="Times New Roman"/>
          <w:b/>
          <w:sz w:val="32"/>
          <w:szCs w:val="32"/>
          <w:lang w:val="en-US" w:eastAsia="zh-CN"/>
        </w:rPr>
      </w:pPr>
    </w:p>
    <w:p w14:paraId="4A70250A">
      <w:pPr>
        <w:pStyle w:val="15"/>
        <w:outlineLvl w:val="0"/>
        <w:rPr>
          <w:rStyle w:val="23"/>
          <w:rFonts w:hint="default" w:ascii="Times New Roman" w:hAnsi="Times New Roman" w:cs="Times New Roman"/>
          <w:b/>
          <w:sz w:val="32"/>
          <w:szCs w:val="32"/>
          <w:lang w:val="en-US" w:eastAsia="zh-CN"/>
        </w:rPr>
        <w:sectPr>
          <w:pgSz w:w="11906" w:h="16838"/>
          <w:pgMar w:top="1440" w:right="1800" w:bottom="1440" w:left="1800" w:header="851" w:footer="992" w:gutter="0"/>
          <w:pgNumType w:fmt="decimal"/>
          <w:cols w:space="720" w:num="1"/>
          <w:docGrid w:type="lines" w:linePitch="326" w:charSpace="0"/>
        </w:sectPr>
      </w:pPr>
    </w:p>
    <w:p w14:paraId="505C8542">
      <w:pPr>
        <w:pStyle w:val="2"/>
        <w:bidi w:val="0"/>
        <w:rPr>
          <w:rFonts w:hint="default" w:ascii="Times New Roman" w:hAnsi="Times New Roman" w:cs="Times New Roman"/>
          <w:lang w:val="en-US" w:eastAsia="zh-CN"/>
        </w:rPr>
      </w:pPr>
      <w:bookmarkStart w:id="15" w:name="_Toc22218"/>
      <w:r>
        <w:rPr>
          <w:rFonts w:hint="default" w:ascii="Times New Roman" w:hAnsi="Times New Roman" w:cs="Times New Roman"/>
          <w:lang w:val="en-US" w:eastAsia="zh-CN"/>
        </w:rPr>
        <w:t>代理模型架构设计</w:t>
      </w:r>
      <w:bookmarkEnd w:id="15"/>
    </w:p>
    <w:p w14:paraId="3603004F">
      <w:pPr>
        <w:pStyle w:val="3"/>
        <w:bidi w:val="0"/>
        <w:rPr>
          <w:rFonts w:hint="default" w:ascii="Times New Roman" w:hAnsi="Times New Roman" w:cs="Times New Roman"/>
          <w:lang w:val="en-US" w:eastAsia="zh-CN"/>
        </w:rPr>
      </w:pPr>
      <w:bookmarkStart w:id="16" w:name="_Toc3156"/>
      <w:r>
        <w:rPr>
          <w:rFonts w:hint="default" w:ascii="Times New Roman" w:hAnsi="Times New Roman" w:cs="Times New Roman"/>
        </w:rPr>
        <w:t>ExtraTrees 建模原理</w:t>
      </w:r>
      <w:bookmarkEnd w:id="16"/>
    </w:p>
    <w:p w14:paraId="005859FB">
      <w:pPr>
        <w:rPr>
          <w:rFonts w:hint="default" w:ascii="Times New Roman" w:hAnsi="Times New Roman" w:cs="Times New Roman"/>
        </w:rPr>
      </w:pPr>
      <w:r>
        <w:rPr>
          <w:rFonts w:hint="default" w:ascii="Times New Roman" w:hAnsi="Times New Roman" w:cs="Times New Roman"/>
        </w:rPr>
        <w:t>ExtraTrees 由多棵极端随机决策树组成。每棵树在节点分裂时从候选特征和随机切分阈值中选择较优分裂，从而形成结构不同的树。多树集成可以降低单棵树对局部样本的依赖，并表达热通量、方向、建筑和敏感目标之间的非线性交互。</w:t>
      </w:r>
    </w:p>
    <w:p w14:paraId="76346E8C">
      <w:pPr>
        <w:rPr>
          <w:rFonts w:hint="default" w:ascii="Times New Roman" w:hAnsi="Times New Roman" w:cs="Times New Roman"/>
          <w:lang w:val="en-US" w:eastAsia="zh-CN"/>
        </w:rPr>
      </w:pPr>
      <w:r>
        <w:rPr>
          <w:rFonts w:hint="default" w:ascii="Times New Roman" w:hAnsi="Times New Roman" w:cs="Times New Roman"/>
        </w:rPr>
        <w:t>本模型设置两个并行任务。回归森林学习连续 Dk，分类森林学习四级HS。两个任务使用同一组输入，但分别针对连续量级和工程等级优化。</w:t>
      </w:r>
    </w:p>
    <w:p w14:paraId="1722BE62">
      <w:pPr>
        <w:pStyle w:val="3"/>
        <w:rPr>
          <w:rFonts w:hint="default" w:ascii="Times New Roman" w:hAnsi="Times New Roman" w:cs="Times New Roman"/>
        </w:rPr>
      </w:pPr>
      <w:bookmarkStart w:id="17" w:name="_Toc5977"/>
      <w:r>
        <w:rPr>
          <w:rFonts w:hint="default" w:ascii="Times New Roman" w:hAnsi="Times New Roman" w:cs="Times New Roman"/>
        </w:rPr>
        <w:t>连续 Dk 回归</w:t>
      </w:r>
      <w:bookmarkEnd w:id="17"/>
    </w:p>
    <w:p w14:paraId="474EE7F8">
      <w:pPr>
        <w:rPr>
          <w:rFonts w:hint="default" w:ascii="Times New Roman" w:hAnsi="Times New Roman" w:cs="Times New Roman"/>
        </w:rPr>
      </w:pPr>
      <w:r>
        <w:rPr>
          <w:rFonts w:hint="default" w:ascii="Times New Roman" w:hAnsi="Times New Roman" w:cs="Times New Roman"/>
        </w:rPr>
        <w:t>设输入特征为：</w:t>
      </w:r>
    </w:p>
    <w:p w14:paraId="6455D7C6">
      <w:pPr>
        <w:ind w:firstLine="480"/>
        <w:rPr>
          <w:rFonts w:hint="default" w:ascii="Times New Roman" w:hAnsi="Times New Roman" w:cs="Times New Roman"/>
        </w:rPr>
      </w:pPr>
      <ns8:oMathPara>
        <ns8:oMath>
          <ns8:r>
            <ns8:rPr>
              <ns8:nor/>
            </ns8:rPr>
            <w:rPr>
              <w:rFonts w:hint="default" w:ascii="Times New Roman" w:hAnsi="Times New Roman" w:cs="Times New Roman"/>
              <w:i/>
              <w:sz w:val="24"/>
              <w:u w:val="none"/>
            </w:rPr>
            <ns8:t>x</ns8:t>
          </ns8:r>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H</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B</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C</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oMath>
      </ns8:oMathPara>
    </w:p>
    <w:p w14:paraId="77A0F4DD">
      <w:pPr>
        <w:rPr>
          <w:rFonts w:hint="default" w:ascii="Times New Roman" w:hAnsi="Times New Roman" w:cs="Times New Roman"/>
        </w:rPr>
      </w:pPr>
      <w:r>
        <w:rPr>
          <w:rFonts w:hint="default" w:ascii="Times New Roman" w:hAnsi="Times New Roman" w:cs="Times New Roman"/>
        </w:rPr>
        <w:t>其中，</w:t>
      </w:r>
      <ns8:oMath>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H</ns8:t>
            </ns8:r>
            <ns8:ctrlPr>
              <w:rPr>
                <w:rFonts w:hint="default" w:ascii="Cambria Math" w:hAnsi="Cambria Math" w:cs="Times New Roman"/>
                <w:sz w:val="24"/>
                <w:u w:val="none"/>
              </w:rPr>
            </ns8:ctrlPr>
          </ns8:sub>
        </ns8:sSub>
      </ns8:oMath>
      <w:r>
        <w:rPr>
          <w:rFonts w:hint="default" w:ascii="Times New Roman" w:hAnsi="Times New Roman" w:cs="Times New Roman"/>
        </w:rPr>
        <w:t xml:space="preserve"> 为热源特征，</w:t>
      </w:r>
      <ns8:oMath>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B</ns8:t>
            </ns8:r>
            <ns8:ctrlPr>
              <w:rPr>
                <w:rFonts w:hint="default" w:ascii="Cambria Math" w:hAnsi="Cambria Math" w:cs="Times New Roman"/>
                <w:sz w:val="24"/>
                <w:u w:val="none"/>
              </w:rPr>
            </ns8:ctrlPr>
          </ns8:sub>
        </ns8:sSub>
      </ns8:oMath>
      <w:r>
        <w:rPr>
          <w:rFonts w:hint="default" w:ascii="Times New Roman" w:hAnsi="Times New Roman" w:cs="Times New Roman"/>
        </w:rPr>
        <w:t xml:space="preserve"> 为建筑特征（包括设施类别），</w:t>
      </w:r>
      <ns8:oMath>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x</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C</ns8:t>
            </ns8:r>
            <ns8:ctrlPr>
              <w:rPr>
                <w:rFonts w:hint="default" w:ascii="Cambria Math" w:hAnsi="Cambria Math" w:cs="Times New Roman"/>
                <w:sz w:val="24"/>
                <w:u w:val="none"/>
              </w:rPr>
            </ns8:ctrlPr>
          </ns8:sub>
        </ns8:sSub>
      </ns8:oMath>
      <w:r>
        <w:rPr>
          <w:rFonts w:hint="default" w:ascii="Times New Roman" w:hAnsi="Times New Roman" w:cs="Times New Roman"/>
        </w:rPr>
        <w:t xml:space="preserve"> 为可燃物与敏感目标特征。对于包含 </w:t>
      </w:r>
      <ns8:oMath>
        <ns8:r>
          <ns8:rPr>
            <ns8:nor/>
          </ns8:rPr>
          <w:rPr>
            <w:rFonts w:hint="default" w:ascii="Times New Roman" w:hAnsi="Times New Roman" w:cs="Times New Roman"/>
            <w:i/>
            <w:sz w:val="24"/>
            <w:u w:val="none"/>
          </w:rPr>
          <ns8:t>T</ns8:t>
        </ns8:r>
      </ns8:oMath>
      <w:r>
        <w:rPr>
          <w:rFonts w:hint="default" w:ascii="Times New Roman" w:hAnsi="Times New Roman" w:cs="Times New Roman"/>
        </w:rPr>
        <w:t xml:space="preserve"> 棵树的回归森林，第 </w:t>
      </w:r>
      <ns8:oMath>
        <ns8:r>
          <ns8:rPr>
            <ns8:nor/>
          </ns8:rPr>
          <w:rPr>
            <w:rFonts w:hint="default" w:ascii="Times New Roman" w:hAnsi="Times New Roman" w:cs="Times New Roman"/>
            <w:i/>
            <w:sz w:val="24"/>
            <w:u w:val="none"/>
          </w:rPr>
          <ns8:t>t</ns8:t>
        </ns8:r>
      </ns8:oMath>
      <w:r>
        <w:rPr>
          <w:rFonts w:hint="default" w:ascii="Times New Roman" w:hAnsi="Times New Roman" w:cs="Times New Roman"/>
        </w:rPr>
        <w:t xml:space="preserve"> 棵树的输出记为 </w:t>
      </w:r>
      <ns8:oMath>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f</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r>
          <ns8:rPr>
            <ns8:nor/>
            <ns8:sty ns8:val="bi"/>
          </ns8:rPr>
          <w:rPr>
            <w:rFonts w:hint="default" w:ascii="Times New Roman" w:hAnsi="Times New Roman" w:cs="Times New Roman"/>
            <w:b/>
            <w:i/>
            <w:sz w:val="24"/>
            <w:u w:val="none"/>
          </w:rPr>
          <ns8:t>x</ns8:t>
        </ns8:r>
        <ns8:r>
          <ns8:rPr>
            <ns8:nor/>
            <ns8:sty ns8:val="p"/>
          </ns8:rPr>
          <w:rPr>
            <w:rFonts w:hint="default" w:ascii="Times New Roman" w:hAnsi="Times New Roman" w:cs="Times New Roman"/>
            <w:b w:val="0"/>
            <w:i w:val="0"/>
            <w:sz w:val="24"/>
            <w:u w:val="none"/>
          </w:rPr>
          <ns8:t>)</ns8:t>
        </ns8:r>
      </ns8:oMath>
      <w:r>
        <w:rPr>
          <w:rFonts w:hint="default" w:ascii="Times New Roman" w:hAnsi="Times New Roman" w:cs="Times New Roman"/>
        </w:rPr>
        <w:t>，连续预测值为：</w:t>
      </w:r>
    </w:p>
    <w:p w14:paraId="5B4CE497">
      <w:pPr>
        <w:ind w:firstLine="480"/>
        <w:rPr>
          <w:rFonts w:hint="default" w:ascii="Times New Roman" w:hAnsi="Times New Roman" w:cs="Times New Roman"/>
          <w:i w:val="0"/>
          <w:color w:val="000000"/>
          <w:kern w:val="2"/>
          <w:sz w:val="24"/>
          <w:szCs w:val="24"/>
          <w:u w:val="none"/>
          <w:lang w:val="en-US" w:bidi="ar-SA"/>
        </w:rPr>
      </w:pPr>
      <ns8:oMathPara>
        <ns8:oMath>
          <ns8:sSubSup>
            <ns8:sSubSupPr>
              <ns8:ctrlPr>
                <w:rPr>
                  <w:rFonts w:hint="default" w:ascii="Cambria Math" w:hAnsi="Cambria Math" w:cs="Times New Roman"/>
                  <w:sz w:val="24"/>
                  <w:u w:val="none"/>
                </w:rPr>
              </ns8:ctrlPr>
            </ns8:sSubSupPr>
            <ns8:e>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ctrlPr>
                <w:rPr>
                  <w:rFonts w:hint="default" w:ascii="Cambria Math" w:hAnsi="Cambria Math" w:cs="Times New Roman"/>
                  <w:sz w:val="24"/>
                  <w:u w:val="none"/>
                </w:rPr>
              </ns8:ctrlPr>
            </ns8:sub>
            <ns8:sup>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R</ns8:t>
              </ns8:r>
              <ns8:r>
                <ns8:rPr>
                  <ns8:nor/>
                  <ns8:sty ns8:val="p"/>
                </ns8:rPr>
                <w:rPr>
                  <w:rFonts w:hint="default" w:ascii="Times New Roman" w:hAnsi="Times New Roman" w:cs="Times New Roman"/>
                  <w:b w:val="0"/>
                  <w:i w:val="0"/>
                  <w:sz w:val="24"/>
                  <w:u w:val="none"/>
                </w:rPr>
                <ns8:t>)</ns8:t>
              </ns8:r>
              <ns8:ctrlPr>
                <w:rPr>
                  <w:rFonts w:hint="default" w:ascii="Cambria Math" w:hAnsi="Cambria Math" w:cs="Times New Roman"/>
                  <w:sz w:val="24"/>
                  <w:u w:val="none"/>
                </w:rPr>
              </ns8:ctrlPr>
            </ns8:sup>
          </ns8:sSubSup>
          <ns8:r>
            <ns8:rPr>
              <ns8:nor/>
              <ns8:sty ns8:val="p"/>
            </ns8:rPr>
            <w:rPr>
              <w:rFonts w:hint="default" w:ascii="Times New Roman" w:hAnsi="Times New Roman" w:cs="Times New Roman"/>
              <w:b w:val="0"/>
              <w:i w:val="0"/>
              <w:sz w:val="24"/>
              <w:u w:val="none"/>
            </w:rPr>
            <ns8:t>=</ns8:t>
          </ns8:r>
          <ns8:f>
            <ns8:fPr>
              <ns8:ctrlPr>
                <w:rPr>
                  <w:rFonts w:hint="default" w:ascii="Cambria Math" w:hAnsi="Cambria Math" w:cs="Times New Roman"/>
                  <w:i/>
                  <w:sz w:val="24"/>
                  <w:u w:val="none"/>
                </w:rPr>
              </ns8:ctrlPr>
            </ns8:fPr>
            <ns8:num>
              <ns8:r>
                <ns8:rPr>
                  <ns8:nor/>
                  <ns8:sty ns8:val="p"/>
                </ns8:rPr>
                <w:rPr>
                  <w:rFonts w:hint="default" w:ascii="Times New Roman" w:hAnsi="Times New Roman" w:cs="Times New Roman"/>
                  <w:b w:val="0"/>
                  <w:i w:val="0"/>
                  <w:sz w:val="24"/>
                  <w:u w:val="none"/>
                </w:rPr>
                <ns8:t>1</ns8:t>
              </ns8:r>
              <ns8:ctrlPr>
                <w:rPr>
                  <w:rFonts w:hint="default" w:ascii="Cambria Math" w:hAnsi="Cambria Math" w:cs="Times New Roman"/>
                  <w:sz w:val="24"/>
                  <w:u w:val="none"/>
                </w:rPr>
              </ns8:ctrlPr>
            </ns8:num>
            <ns8:den>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den>
          </ns8:f>
          <ns8:nary>
            <ns8:naryPr>
              <ns8:chr ns8:val="∑"/>
              <ns8:limLoc ns8:val="undOvr"/>
              <ns8:ctrlPr>
                <w:rPr>
                  <w:rFonts w:hint="default" w:ascii="Cambria Math" w:hAnsi="Cambria Math" w:cs="Times New Roman"/>
                  <w:i/>
                  <w:sz w:val="24"/>
                  <w:u w:val="none"/>
                </w:rPr>
              </ns8:ctrlPr>
            </ns8:naryPr>
            <ns8:sub>
              <ns8:r>
                <ns8:rPr>
                  <ns8:nor/>
                </ns8:rPr>
                <w:rPr>
                  <w:rFonts w:hint="default" w:ascii="Times New Roman" w:hAnsi="Times New Roman" w:cs="Times New Roman"/>
                  <w:i/>
                  <w:sz w:val="24"/>
                  <w:u w:val="none"/>
                </w:rPr>
                <ns8:t>t</ns8:t>
              </ns8:r>
              <ns8:r>
                <ns8:rPr>
                  <ns8:nor/>
                  <ns8:sty ns8:val="p"/>
                </ns8:rPr>
                <w:rPr>
                  <w:rFonts w:hint="default" w:ascii="Times New Roman" w:hAnsi="Times New Roman" w:cs="Times New Roman"/>
                  <w:b w:val="0"/>
                  <w:i w:val="0"/>
                  <w:sz w:val="24"/>
                  <w:u w:val="none"/>
                </w:rPr>
                <ns8:t>=1</ns8:t>
              </ns8:r>
              <ns8:ctrlPr>
                <w:rPr>
                  <w:rFonts w:hint="default" w:ascii="Cambria Math" w:hAnsi="Cambria Math" w:cs="Times New Roman"/>
                  <w:sz w:val="24"/>
                  <w:u w:val="none"/>
                </w:rPr>
              </ns8:ctrlPr>
            </ns8:sub>
            <ns8:sup>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sup>
            <ns8:e>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f</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sub>
              </ns8:sSub>
              <ns8:ctrlPr>
                <w:rPr>
                  <w:rFonts w:hint="default" w:ascii="Cambria Math" w:hAnsi="Cambria Math" w:cs="Times New Roman"/>
                  <w:sz w:val="24"/>
                  <w:u w:val="none"/>
                </w:rPr>
              </ns8:ctrlPr>
            </ns8:e>
          </ns8:nary>
          <ns8:r>
            <ns8:rPr>
              <ns8:nor/>
              <ns8:sty ns8:val="p"/>
            </ns8:rPr>
            <w:rPr>
              <w:rFonts w:hint="default" w:ascii="Times New Roman" w:hAnsi="Times New Roman" w:cs="Times New Roman"/>
              <w:b w:val="0"/>
              <w:i w:val="0"/>
              <w:sz w:val="24"/>
              <w:u w:val="none"/>
            </w:rPr>
            <ns8:t>(</ns8:t>
          </ns8:r>
          <ns8:r>
            <ns8:rPr>
              <ns8:nor/>
              <ns8:sty ns8:val="bi"/>
            </ns8:rPr>
            <w:rPr>
              <w:rFonts w:hint="default" w:ascii="Times New Roman" w:hAnsi="Times New Roman" w:cs="Times New Roman"/>
              <w:b/>
              <w:i/>
              <w:sz w:val="24"/>
              <w:u w:val="none"/>
            </w:rPr>
            <ns8:t>x</ns8:t>
          </ns8:r>
          <ns8:r>
            <ns8:rPr>
              <ns8:nor/>
              <ns8:sty ns8:val="p"/>
            </ns8:rPr>
            <w:rPr>
              <w:rFonts w:hint="default" w:ascii="Times New Roman" w:hAnsi="Times New Roman" w:cs="Times New Roman"/>
              <w:b w:val="0"/>
              <w:i w:val="0"/>
              <w:sz w:val="24"/>
              <w:u w:val="none"/>
            </w:rPr>
            <ns8:t>)</ns8:t>
          </ns8:r>
        </ns8:oMath>
      </ns8:oMathPara>
    </w:p>
    <w:p w14:paraId="72D26352">
      <w:pPr>
        <w:ind w:firstLine="480"/>
        <w:rPr>
          <w:rFonts w:hint="default" w:ascii="Times New Roman" w:hAnsi="Times New Roman" w:cs="Times New Roman"/>
        </w:rPr>
      </w:pPr>
      <w:r>
        <w:rPr>
          <w:rFonts w:hint="default" w:ascii="Times New Roman" w:hAnsi="Times New Roman" w:cs="Times New Roman"/>
        </w:rPr>
        <w:t>回归结果限制在 [0,1] 范围内，以保持 Dk 的取值约束。</w:t>
      </w:r>
    </w:p>
    <w:p w14:paraId="2C8CE53A">
      <w:pPr>
        <w:pStyle w:val="3"/>
        <w:rPr>
          <w:rFonts w:hint="default" w:ascii="Times New Roman" w:hAnsi="Times New Roman" w:cs="Times New Roman"/>
        </w:rPr>
      </w:pPr>
      <w:bookmarkStart w:id="18" w:name="_Toc8206"/>
      <w:r>
        <w:rPr>
          <w:rFonts w:hint="default" w:ascii="Times New Roman" w:hAnsi="Times New Roman" w:cs="Times New Roman"/>
          <w:lang w:eastAsia="zh-CN"/>
        </w:rPr>
        <w:t>HS</w:t>
      </w:r>
      <w:r>
        <w:rPr>
          <w:rFonts w:hint="default" w:ascii="Times New Roman" w:hAnsi="Times New Roman" w:cs="Times New Roman"/>
        </w:rPr>
        <w:t>分类</w:t>
      </w:r>
      <w:bookmarkEnd w:id="18"/>
    </w:p>
    <w:p w14:paraId="682DDFDD">
      <w:pPr>
        <w:ind w:firstLine="480"/>
        <w:rPr>
          <w:rFonts w:hint="default" w:ascii="Times New Roman" w:hAnsi="Times New Roman" w:cs="Times New Roman"/>
        </w:rPr>
      </w:pPr>
      <w:r>
        <w:rPr>
          <w:rFonts w:hint="default" w:ascii="Times New Roman" w:hAnsi="Times New Roman" w:cs="Times New Roman"/>
        </w:rPr>
        <w:t>分类森林直接学习四个</w:t>
      </w:r>
      <w:r>
        <w:rPr>
          <w:rFonts w:hint="default" w:ascii="Times New Roman" w:hAnsi="Times New Roman" w:cs="Times New Roman"/>
          <w:lang w:eastAsia="zh-CN"/>
        </w:rPr>
        <w:t>HS</w:t>
      </w:r>
      <w:r>
        <w:rPr>
          <w:rFonts w:hint="default" w:ascii="Times New Roman" w:hAnsi="Times New Roman" w:cs="Times New Roman"/>
        </w:rPr>
        <w:t xml:space="preserve">等级。第 </w:t>
      </w:r>
      <ns8:oMath>
        <ns8:r>
          <ns8:rPr>
            <ns8:nor/>
          </ns8:rPr>
          <w:rPr>
            <w:rFonts w:hint="default" w:ascii="Times New Roman" w:hAnsi="Times New Roman" w:cs="Times New Roman"/>
            <w:i/>
            <w:sz w:val="24"/>
            <w:u w:val="none"/>
          </w:rPr>
          <ns8:t>t</ns8:t>
        </ns8:r>
      </ns8:oMath>
      <w:r>
        <w:rPr>
          <w:rFonts w:hint="default" w:ascii="Times New Roman" w:hAnsi="Times New Roman" w:cs="Times New Roman"/>
        </w:rPr>
        <w:t xml:space="preserve"> 棵分类树的输出记为 </w:t>
      </w:r>
      <ns8:oMath>
        <ns8:sSub>
          <ns8:sSubPr>
            <ns8:ctrlPr>
              <w:rPr>
                <w:rFonts w:hint="default" w:ascii="Cambria Math" w:hAnsi="Cambria Math" w:cs="Times New Roman"/>
                <w:sz w:val="24"/>
                <w:u w:val="none"/>
              </w:rPr>
            </ns8:ctrlPr>
          </ns8:sSubPr>
          <ns8:e>
            <ns8:r>
              <ns8:rPr>
                <ns8:nor/>
                <ns8:sty ns8:val="p"/>
              </ns8:rPr>
              <w:rPr>
                <w:rFonts w:hint="default" w:ascii="Times New Roman" w:hAnsi="Times New Roman" w:cs="Times New Roman"/>
                <w:b w:val="0"/>
                <w:i w:val="0"/>
                <w:sz w:val="24"/>
                <w:u w:val="none"/>
              </w:rPr>
              <ns8:t>h</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x</ns8:t>
        </ns8:r>
        <ns8:r>
          <ns8:rPr>
            <ns8:nor/>
            <ns8:sty ns8:val="p"/>
          </ns8:rPr>
          <w:rPr>
            <w:rFonts w:hint="default" w:ascii="Times New Roman" w:hAnsi="Times New Roman" w:cs="Times New Roman"/>
            <w:b w:val="0"/>
            <w:i w:val="0"/>
            <w:sz w:val="24"/>
            <w:u w:val="none"/>
          </w:rPr>
          <ns8:t>)</ns8:t>
        </ns8:r>
      </ns8:oMath>
      <w:r>
        <w:rPr>
          <w:rFonts w:hint="default" w:ascii="Times New Roman" w:hAnsi="Times New Roman" w:cs="Times New Roman"/>
        </w:rPr>
        <w:t>，最终等级由多树投票确定：</w:t>
      </w:r>
    </w:p>
    <w:p w14:paraId="4EA9EFCE">
      <w:pPr>
        <w:ind w:firstLine="480"/>
        <w:rPr>
          <w:rFonts w:hint="default" w:ascii="Times New Roman" w:hAnsi="Times New Roman" w:cs="Times New Roman"/>
        </w:rPr>
      </w:pPr>
      <ns8:oMathPara>
        <ns8:oMath>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r>
            <ns8:rPr>
              <ns8:nor/>
              <ns8:sty ns8:val="p"/>
            </ns8:rPr>
            <w:rPr>
              <w:rFonts w:hint="default" w:ascii="Times New Roman" w:hAnsi="Times New Roman" w:cs="Times New Roman"/>
              <w:b w:val="0"/>
              <w:i w:val="0"/>
              <w:sz w:val="24"/>
              <w:u w:val="none"/>
            </w:rPr>
            <ns8:t>=</ns8:t>
          </ns8:r>
          <ns8:func>
            <ns8:funcPr>
              <ns8:ctrlPr>
                <w:rPr>
                  <w:rFonts w:hint="default" w:ascii="Cambria Math" w:hAnsi="Cambria Math" w:cs="Times New Roman"/>
                  <w:sz w:val="24"/>
                  <w:u w:val="none"/>
                </w:rPr>
              </ns8:ctrlPr>
            </ns8:funcPr>
            <ns8:fName>
              <ns8:r>
                <ns8:rPr>
                  <ns8:nor/>
                </ns8:rPr>
                <w:rPr>
                  <w:rFonts w:hint="default" w:ascii="Times New Roman" w:hAnsi="Times New Roman" w:cs="Times New Roman"/>
                  <w:i/>
                  <w:sz w:val="24"/>
                  <w:u w:val="none"/>
                </w:rPr>
                <ns8:t>arg</ns8:t>
              </ns8:r>
              <ns8:ctrlPr>
                <w:rPr>
                  <w:rFonts w:hint="default" w:ascii="Cambria Math" w:hAnsi="Cambria Math" w:cs="Times New Roman"/>
                  <w:sz w:val="24"/>
                  <w:u w:val="none"/>
                </w:rPr>
              </ns8:ctrlPr>
            </ns8:fName>
            <ns8:e>
              <ns8:func>
                <ns8:funcPr>
                  <ns8:ctrlPr>
                    <w:rPr>
                      <w:rFonts w:hint="default" w:ascii="Cambria Math" w:hAnsi="Cambria Math" w:cs="Times New Roman"/>
                      <w:sz w:val="24"/>
                      <w:u w:val="none"/>
                    </w:rPr>
                  </ns8:ctrlPr>
                </ns8:funcPr>
                <ns8:fName>
                  <ns8:limLow>
                    <ns8:limLowPr>
                      <ns8:ctrlPr>
                        <w:rPr>
                          <w:rFonts w:hint="default" w:ascii="Cambria Math" w:hAnsi="Cambria Math" w:cs="Times New Roman"/>
                          <w:sz w:val="24"/>
                          <w:u w:val="none"/>
                        </w:rPr>
                      </ns8:ctrlPr>
                    </ns8:limLowPr>
                    <ns8:e>
                      <ns8:r>
                        <ns8:rPr>
                          <ns8:nor/>
                          <ns8:sty ns8:val="p"/>
                        </ns8:rPr>
                        <w:rPr>
                          <w:rFonts w:hint="default" w:ascii="Times New Roman" w:hAnsi="Times New Roman" w:cs="Times New Roman"/>
                          <w:b w:val="0"/>
                          <w:i w:val="0"/>
                          <w:sz w:val="24"/>
                          <w:u w:val="none"/>
                        </w:rPr>
                        <ns8:t>max</ns8:t>
                      </ns8:r>
                      <ns8:ctrlPr>
                        <w:rPr>
                          <w:rFonts w:hint="default" w:ascii="Cambria Math" w:hAnsi="Cambria Math" w:cs="Times New Roman"/>
                          <w:sz w:val="24"/>
                          <w:u w:val="none"/>
                        </w:rPr>
                      </ns8:ctrlPr>
                    </ns8:e>
                    <ns8:lim>
                      <ns8:r>
                        <ns8:rPr>
                          <ns8:nor/>
                        </ns8:rPr>
                        <w:rPr>
                          <w:rFonts w:hint="default" w:ascii="Times New Roman" w:hAnsi="Times New Roman" w:cs="Times New Roman"/>
                          <w:i/>
                          <w:sz w:val="24"/>
                          <w:u w:val="none"/>
                        </w:rPr>
                        <ns8:t>c</ns8:t>
                      </ns8:r>
                      <ns8:r>
                        <ns8:rPr>
                          <ns8:nor/>
                          <ns8:sty ns8:val="p"/>
                        </ns8:rPr>
                        <w:rPr>
                          <w:rFonts w:hint="default" w:ascii="Times New Roman" w:hAnsi="Times New Roman" w:cs="Times New Roman"/>
                          <w:b w:val="0"/>
                          <w:i w:val="0"/>
                          <w:sz w:val="24"/>
                          <w:u w:val="none"/>
                        </w:rPr>
                        <ns8:t>∈{0,1,2,3}</ns8:t>
                      </ns8:r>
                      <ns8:ctrlPr>
                        <w:rPr>
                          <w:rFonts w:hint="default" w:ascii="Cambria Math" w:hAnsi="Cambria Math" w:cs="Times New Roman"/>
                          <w:sz w:val="24"/>
                          <w:u w:val="none"/>
                        </w:rPr>
                      </ns8:ctrlPr>
                    </ns8:lim>
                  </ns8:limLow>
                  <ns8:ctrlPr>
                    <w:rPr>
                      <w:rFonts w:hint="default" w:ascii="Cambria Math" w:hAnsi="Cambria Math" w:cs="Times New Roman"/>
                      <w:sz w:val="24"/>
                      <w:u w:val="none"/>
                    </w:rPr>
                  </ns8:ctrlPr>
                </ns8:fName>
                <ns8:e>
                  <ns8:nary>
                    <ns8:naryPr>
                      <ns8:chr ns8:val="∑"/>
                      <ns8:limLoc ns8:val="undOvr"/>
                      <ns8:ctrlPr>
                        <w:rPr>
                          <w:rFonts w:hint="default" w:ascii="Cambria Math" w:hAnsi="Cambria Math" w:cs="Times New Roman"/>
                          <w:i/>
                          <w:sz w:val="24"/>
                          <w:u w:val="none"/>
                        </w:rPr>
                      </ns8:ctrlPr>
                    </ns8:naryPr>
                    <ns8:sub>
                      <ns8:r>
                        <ns8:rPr>
                          <ns8:nor/>
                        </ns8:rPr>
                        <w:rPr>
                          <w:rFonts w:hint="default" w:ascii="Times New Roman" w:hAnsi="Times New Roman" w:cs="Times New Roman"/>
                          <w:i/>
                          <w:sz w:val="24"/>
                          <w:u w:val="none"/>
                        </w:rPr>
                        <ns8:t>t</ns8:t>
                      </ns8:r>
                      <ns8:r>
                        <ns8:rPr>
                          <ns8:nor/>
                          <ns8:sty ns8:val="p"/>
                        </ns8:rPr>
                        <w:rPr>
                          <w:rFonts w:hint="default" w:ascii="Times New Roman" w:hAnsi="Times New Roman" w:cs="Times New Roman"/>
                          <w:b w:val="0"/>
                          <w:i w:val="0"/>
                          <w:sz w:val="24"/>
                          <w:u w:val="none"/>
                        </w:rPr>
                        <ns8:t>=1</ns8:t>
                      </ns8:r>
                      <ns8:ctrlPr>
                        <w:rPr>
                          <w:rFonts w:hint="default" w:ascii="Cambria Math" w:hAnsi="Cambria Math" w:cs="Times New Roman"/>
                          <w:sz w:val="24"/>
                          <w:u w:val="none"/>
                        </w:rPr>
                      </ns8:ctrlPr>
                    </ns8:sub>
                    <ns8:sup>
                      <ns8:r>
                        <ns8:rPr>
                          <ns8:nor/>
                        </ns8:rPr>
                        <w:rPr>
                          <w:rFonts w:hint="default" w:ascii="Times New Roman" w:hAnsi="Times New Roman" w:cs="Times New Roman"/>
                          <w:i/>
                          <w:sz w:val="24"/>
                          <w:u w:val="none"/>
                        </w:rPr>
                        <ns8:t>T</ns8:t>
                      </ns8:r>
                      <ns8:ctrlPr>
                        <w:rPr>
                          <w:rFonts w:hint="default" w:ascii="Cambria Math" w:hAnsi="Cambria Math" w:cs="Times New Roman"/>
                          <w:sz w:val="24"/>
                          <w:u w:val="none"/>
                        </w:rPr>
                      </ns8:ctrlPr>
                    </ns8:sup>
                    <ns8:e>
                      <ns8:r>
                        <ns8:rPr>
                          <ns8:nor/>
                          <ns8:sty ns8:val="b"/>
                        </ns8:rPr>
                        <w:rPr>
                          <w:rFonts w:hint="default" w:ascii="Times New Roman" w:hAnsi="Times New Roman" w:cs="Times New Roman"/>
                          <w:b/>
                          <w:i w:val="0"/>
                          <w:sz w:val="24"/>
                          <w:u w:val="none"/>
                        </w:rPr>
                        <ns8:t>1</ns8:t>
                      </ns8:r>
                      <ns8:ctrlPr>
                        <w:rPr>
                          <w:rFonts w:hint="default" w:ascii="Cambria Math" w:hAnsi="Cambria Math" w:cs="Times New Roman"/>
                          <w:sz w:val="24"/>
                          <w:u w:val="none"/>
                        </w:rPr>
                      </ns8:ctrlPr>
                    </ns8:e>
                  </ns8:nary>
                  <ns8:ctrlPr>
                    <w:rPr>
                      <w:rFonts w:hint="default" w:ascii="Cambria Math" w:hAnsi="Cambria Math" w:cs="Times New Roman"/>
                      <w:i/>
                      <w:sz w:val="24"/>
                      <w:u w:val="none"/>
                    </w:rPr>
                  </ns8:ctrlPr>
                </ns8:e>
              </ns8:func>
              <ns8:ctrlPr>
                <w:rPr>
                  <w:rFonts w:hint="default" w:ascii="Cambria Math" w:hAnsi="Cambria Math" w:cs="Times New Roman"/>
                  <w:sz w:val="24"/>
                  <w:u w:val="none"/>
                </w:rPr>
              </ns8:ctrlPr>
            </ns8:e>
          </ns8:func>
          <ns8:d>
            <ns8:dPr>
              <ns8:begChr ns8:val="["/>
              <ns8:endChr ns8:val="]"/>
              <ns8:ctrlPr>
                <w:rPr>
                  <w:rFonts w:hint="default" w:ascii="Cambria Math" w:hAnsi="Cambria Math" w:cs="Times New Roman"/>
                  <w:i/>
                  <w:sz w:val="24"/>
                  <w:u w:val="none"/>
                </w:rPr>
              </ns8:ctrlPr>
            </ns8:dPr>
            <ns8:e>
              <ns8:sSub>
                <ns8:sSubPr>
                  <ns8:ctrlPr>
                    <w:rPr>
                      <w:rFonts w:hint="default" w:ascii="Cambria Math" w:hAnsi="Cambria Math" w:cs="Times New Roman"/>
                      <w:sz w:val="24"/>
                      <w:u w:val="none"/>
                    </w:rPr>
                  </ns8:ctrlPr>
                </ns8:sSubPr>
                <ns8:e>
                  <ns8:r>
                    <ns8:rPr>
                      <ns8:nor/>
                      <ns8:sty ns8:val="p"/>
                    </ns8:rPr>
                    <w:rPr>
                      <w:rFonts w:hint="default" w:ascii="Times New Roman" w:hAnsi="Times New Roman" w:cs="Times New Roman"/>
                      <w:b w:val="0"/>
                      <w:i w:val="0"/>
                      <w:sz w:val="24"/>
                      <w:u w:val="none"/>
                    </w:rPr>
                    <ns8:t>h</ns8:t>
                  </ns8:r>
                  <ns8:ctrlPr>
                    <w:rPr>
                      <w:rFonts w:hint="default" w:ascii="Cambria Math" w:hAnsi="Cambria Math" w:cs="Times New Roman"/>
                      <w:i/>
                      <w:sz w:val="24"/>
                      <w:u w:val="none"/>
                    </w:rPr>
                  </ns8:ctrlPr>
                </ns8:e>
                <ns8:sub>
                  <ns8:r>
                    <ns8:rPr>
                      <ns8:nor/>
                    </ns8:rPr>
                    <w:rPr>
                      <w:rFonts w:hint="default" w:ascii="Times New Roman" w:hAnsi="Times New Roman" w:cs="Times New Roman"/>
                      <w:i/>
                      <w:sz w:val="24"/>
                      <w:u w:val="none"/>
                    </w:rPr>
                    <ns8:t>t</ns8:t>
                  </ns8:r>
                  <ns8:ctrlPr>
                    <w:rPr>
                      <w:rFonts w:hint="default" w:ascii="Cambria Math" w:hAnsi="Cambria Math" w:cs="Times New Roman"/>
                      <w:i/>
                      <w:sz w:val="24"/>
                      <w:u w:val="none"/>
                    </w:rPr>
                  </ns8:ctrlPr>
                </ns8:sub>
              </ns8:sSub>
              <ns8:r>
                <ns8:rPr>
                  <ns8:nor/>
                  <ns8:sty ns8:val="p"/>
                </ns8:rPr>
                <w:rPr>
                  <w:rFonts w:hint="default" w:ascii="Times New Roman" w:hAnsi="Times New Roman" w:cs="Times New Roman"/>
                  <w:b w:val="0"/>
                  <w:i w:val="0"/>
                  <w:sz w:val="24"/>
                  <w:u w:val="none"/>
                </w:rPr>
                <ns8:t>(</ns8:t>
              </ns8:r>
              <ns8:r>
                <ns8:rPr>
                  <ns8:nor/>
                  <ns8:sty ns8:val="bi"/>
                </ns8:rPr>
                <w:rPr>
                  <w:rFonts w:hint="default" w:ascii="Times New Roman" w:hAnsi="Times New Roman" w:cs="Times New Roman"/>
                  <w:b/>
                  <w:i/>
                  <w:sz w:val="24"/>
                  <w:u w:val="none"/>
                </w:rPr>
                <ns8:t>x</ns8:t>
              </ns8:r>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c</ns8:t>
              </ns8:r>
              <ns8:ctrlPr>
                <w:rPr>
                  <w:rFonts w:hint="default" w:ascii="Cambria Math" w:hAnsi="Cambria Math" w:cs="Times New Roman"/>
                  <w:sz w:val="24"/>
                  <w:u w:val="none"/>
                </w:rPr>
              </ns8:ctrlPr>
            </ns8:e>
          </ns8:d>
        </ns8:oMath>
      </ns8:oMathPara>
    </w:p>
    <w:p w14:paraId="320320B7">
      <w:pPr>
        <w:rPr>
          <w:rFonts w:hint="default" w:ascii="Times New Roman" w:hAnsi="Times New Roman" w:cs="Times New Roman"/>
        </w:rPr>
      </w:pPr>
      <w:r>
        <w:rPr>
          <w:rFonts w:hint="default" w:ascii="Times New Roman" w:hAnsi="Times New Roman" w:cs="Times New Roman"/>
        </w:rPr>
        <w:t>分类任务采用信息熵作为节点分裂准则，并根据四个等级的样本数量进行类别平衡，使轻微破坏和严重破坏样本能够参与有效分裂。</w:t>
      </w:r>
    </w:p>
    <w:p w14:paraId="5231E54A">
      <w:pPr>
        <w:pStyle w:val="3"/>
        <w:rPr>
          <w:rFonts w:hint="default" w:ascii="Times New Roman" w:hAnsi="Times New Roman" w:cs="Times New Roman"/>
        </w:rPr>
      </w:pPr>
      <w:bookmarkStart w:id="19" w:name="_Toc17040"/>
      <w:r>
        <w:rPr>
          <w:rFonts w:hint="default" w:ascii="Times New Roman" w:hAnsi="Times New Roman" w:cs="Times New Roman"/>
        </w:rPr>
        <w:t>等级一致性约束</w:t>
      </w:r>
      <w:bookmarkEnd w:id="19"/>
    </w:p>
    <w:p w14:paraId="77CD6916">
      <w:pPr>
        <w:rPr>
          <w:rFonts w:hint="default" w:ascii="Times New Roman" w:hAnsi="Times New Roman" w:cs="Times New Roman"/>
        </w:rPr>
      </w:pPr>
      <w:r>
        <w:rPr>
          <w:rFonts w:hint="default" w:ascii="Times New Roman" w:hAnsi="Times New Roman" w:cs="Times New Roman"/>
        </w:rPr>
        <w:t xml:space="preserve">设分类结果 </w:t>
      </w:r>
      <ns8:oMath>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oMath>
      <w:r>
        <w:rPr>
          <w:rFonts w:hint="default" w:ascii="Times New Roman" w:hAnsi="Times New Roman" w:cs="Times New Roman"/>
        </w:rPr>
        <w:t xml:space="preserve"> 对应的 Dk 合法区间为 </w:t>
      </w:r>
      <ns8:oMath>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L</ns8:t>
            </ns8:r>
            <ns8:ctrlPr>
              <w:rPr>
                <w:rFonts w:hint="default" w:ascii="Cambria Math" w:hAnsi="Cambria Math" w:cs="Times New Roman"/>
                <w:sz w:val="24"/>
                <w:u w:val="none"/>
              </w:rPr>
            </ns8:ctrlPr>
          </ns8:e>
          <ns8:sub>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U</ns8:t>
            </ns8:r>
            <ns8:ctrlPr>
              <w:rPr>
                <w:rFonts w:hint="default" w:ascii="Cambria Math" w:hAnsi="Cambria Math" w:cs="Times New Roman"/>
                <w:sz w:val="24"/>
                <w:u w:val="none"/>
              </w:rPr>
            </ns8:ctrlPr>
          </ns8:e>
          <ns8:sub>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oMath>
      <w:r>
        <w:rPr>
          <w:rFonts w:hint="default" w:ascii="Times New Roman" w:hAnsi="Times New Roman" w:cs="Times New Roman"/>
        </w:rPr>
        <w:t>，最终连续值为：</w:t>
      </w:r>
    </w:p>
    <w:p w14:paraId="31A2B4B7">
      <w:pPr>
        <w:rPr>
          <w:rFonts w:hint="default" w:ascii="Times New Roman" w:hAnsi="Times New Roman" w:cs="Times New Roman"/>
        </w:rPr>
      </w:pPr>
      <ns8:oMathPara>
        <ns8:oMath>
          <ns8:sSub>
            <ns8:sSubPr>
              <ns8:ctrlPr>
                <w:rPr>
                  <w:rFonts w:hint="default" w:ascii="Cambria Math" w:hAnsi="Cambria Math" w:cs="Times New Roman"/>
                  <w:sz w:val="24"/>
                  <w:u w:val="none"/>
                </w:rPr>
              </ns8:ctrlPr>
            </ns8:sSubPr>
            <ns8:e>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func>
            <ns8:funcPr>
              <ns8:ctrlPr>
                <w:rPr>
                  <w:rFonts w:hint="default" w:ascii="Cambria Math" w:hAnsi="Cambria Math" w:cs="Times New Roman"/>
                  <w:sz w:val="24"/>
                  <w:u w:val="none"/>
                </w:rPr>
              </ns8:ctrlPr>
            </ns8:funcPr>
            <ns8:fName>
              <ns8:r>
                <ns8:rPr>
                  <ns8:nor/>
                  <ns8:sty ns8:val="p"/>
                </ns8:rPr>
                <w:rPr>
                  <w:rFonts w:hint="default" w:ascii="Times New Roman" w:hAnsi="Times New Roman" w:cs="Times New Roman"/>
                  <w:b w:val="0"/>
                  <w:i w:val="0"/>
                  <w:sz w:val="24"/>
                  <w:u w:val="none"/>
                </w:rPr>
                <ns8:t>min</ns8:t>
              </ns8:r>
              <ns8:ctrlPr>
                <w:rPr>
                  <w:rFonts w:hint="default" w:ascii="Cambria Math" w:hAnsi="Cambria Math" w:cs="Times New Roman"/>
                  <w:sz w:val="24"/>
                  <w:u w:val="none"/>
                </w:rPr>
              </ns8:ctrlPr>
            </ns8:fName>
            <ns8:e>
              <ns8:d>
                <ns8:dPr>
                  <ns8:ctrlPr>
                    <w:rPr>
                      <w:rFonts w:hint="default" w:ascii="Cambria Math" w:hAnsi="Cambria Math" w:cs="Times New Roman"/>
                      <w:i/>
                      <w:sz w:val="24"/>
                      <w:u w:val="none"/>
                    </w:rPr>
                  </ns8:ctrlPr>
                </ns8:dPr>
                <ns8:e>
                  <ns8:func>
                    <ns8:funcPr>
                      <ns8:ctrlPr>
                        <w:rPr>
                          <w:rFonts w:hint="default" w:ascii="Cambria Math" w:hAnsi="Cambria Math" w:cs="Times New Roman"/>
                          <w:sz w:val="24"/>
                          <w:u w:val="none"/>
                        </w:rPr>
                      </ns8:ctrlPr>
                    </ns8:funcPr>
                    <ns8:fName>
                      <ns8:r>
                        <ns8:rPr>
                          <ns8:nor/>
                          <ns8:sty ns8:val="p"/>
                        </ns8:rPr>
                        <w:rPr>
                          <w:rFonts w:hint="default" w:ascii="Times New Roman" w:hAnsi="Times New Roman" w:cs="Times New Roman"/>
                          <w:b w:val="0"/>
                          <w:i w:val="0"/>
                          <w:sz w:val="24"/>
                          <w:u w:val="none"/>
                        </w:rPr>
                        <ns8:t>max</ns8:t>
                      </ns8:r>
                      <ns8:ctrlPr>
                        <w:rPr>
                          <w:rFonts w:hint="default" w:ascii="Cambria Math" w:hAnsi="Cambria Math" w:cs="Times New Roman"/>
                          <w:sz w:val="24"/>
                          <w:u w:val="none"/>
                        </w:rPr>
                      </ns8:ctrlPr>
                    </ns8:fName>
                    <ns8:e>
                      <ns8:d>
                        <ns8:dPr>
                          <ns8:ctrlPr>
                            <w:rPr>
                              <w:rFonts w:hint="default" w:ascii="Cambria Math" w:hAnsi="Cambria Math" w:cs="Times New Roman"/>
                              <w:i/>
                              <w:sz w:val="24"/>
                              <w:u w:val="none"/>
                            </w:rPr>
                          </ns8:ctrlPr>
                        </ns8:dPr>
                        <ns8:e>
                          <ns8:sSubSup>
                            <ns8:sSubSupPr>
                              <ns8:ctrlPr>
                                <w:rPr>
                                  <w:rFonts w:hint="default" w:ascii="Cambria Math" w:hAnsi="Cambria Math" w:cs="Times New Roman"/>
                                  <w:sz w:val="24"/>
                                  <w:u w:val="none"/>
                                </w:rPr>
                              </ns8:ctrlPr>
                            </ns8:sSubSupPr>
                            <ns8:e>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ctrlPr>
                                <w:rPr>
                                  <w:rFonts w:hint="default" w:ascii="Cambria Math" w:hAnsi="Cambria Math" w:cs="Times New Roman"/>
                                  <w:sz w:val="24"/>
                                  <w:u w:val="none"/>
                                </w:rPr>
                              </ns8:ctrlPr>
                            </ns8:sub>
                            <ns8:sup>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R</ns8:t>
                              </ns8:r>
                              <ns8:r>
                                <ns8:rPr>
                                  <ns8:nor/>
                                  <ns8:sty ns8:val="p"/>
                                </ns8:rPr>
                                <w:rPr>
                                  <w:rFonts w:hint="default" w:ascii="Times New Roman" w:hAnsi="Times New Roman" w:cs="Times New Roman"/>
                                  <w:b w:val="0"/>
                                  <w:i w:val="0"/>
                                  <w:sz w:val="24"/>
                                  <w:u w:val="none"/>
                                </w:rPr>
                                <ns8:t>)</ns8:t>
                              </ns8:r>
                              <ns8:ctrlPr>
                                <w:rPr>
                                  <w:rFonts w:hint="default" w:ascii="Cambria Math" w:hAnsi="Cambria Math" w:cs="Times New Roman"/>
                                  <w:sz w:val="24"/>
                                  <w:u w:val="none"/>
                                </w:rPr>
                              </ns8:ctrlPr>
                            </ns8:sup>
                          </ns8:sSubSup>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L</ns8:t>
                              </ns8:r>
                              <ns8:ctrlPr>
                                <w:rPr>
                                  <w:rFonts w:hint="default" w:ascii="Cambria Math" w:hAnsi="Cambria Math" w:cs="Times New Roman"/>
                                  <w:sz w:val="24"/>
                                  <w:u w:val="none"/>
                                </w:rPr>
                              </ns8:ctrlPr>
                            </ns8:e>
                            <ns8:sub>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sub>
                          </ns8:sSub>
                          <ns8:ctrlPr>
                            <w:rPr>
                              <w:rFonts w:hint="default" w:ascii="Cambria Math" w:hAnsi="Cambria Math" w:cs="Times New Roman"/>
                              <w:sz w:val="24"/>
                              <w:u w:val="none"/>
                            </w:rPr>
                          </ns8:ctrlPr>
                        </ns8:e>
                      </ns8:d>
                      <ns8:ctrlPr>
                        <w:rPr>
                          <w:rFonts w:hint="default" w:ascii="Cambria Math" w:hAnsi="Cambria Math" w:cs="Times New Roman"/>
                          <w:i/>
                          <w:sz w:val="24"/>
                          <w:u w:val="none"/>
                        </w:rPr>
                      </ns8:ctrlPr>
                    </ns8:e>
                  </ns8:func>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U</ns8:t>
                      </ns8:r>
                      <ns8:ctrlPr>
                        <w:rPr>
                          <w:rFonts w:hint="default" w:ascii="Cambria Math" w:hAnsi="Cambria Math" w:cs="Times New Roman"/>
                          <w:i/>
                          <w:sz w:val="24"/>
                          <w:u w:val="none"/>
                        </w:rPr>
                      </ns8:ctrlPr>
                    </ns8:e>
                    <ns8:sub>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g</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sub>
                  </ns8:sSub>
                  <ns8:ctrlPr>
                    <w:rPr>
                      <w:rFonts w:hint="default" w:ascii="Cambria Math" w:hAnsi="Cambria Math" w:cs="Times New Roman"/>
                      <w:sz w:val="24"/>
                      <w:u w:val="none"/>
                    </w:rPr>
                  </ns8:ctrlPr>
                </ns8:e>
              </ns8:d>
              <ns8:ctrlPr>
                <w:rPr>
                  <w:rFonts w:hint="default" w:ascii="Cambria Math" w:hAnsi="Cambria Math" w:cs="Times New Roman"/>
                  <w:i/>
                  <w:sz w:val="24"/>
                  <w:u w:val="none"/>
                </w:rPr>
              </ns8:ctrlPr>
            </ns8:e>
          </ns8:func>
        </ns8:oMath>
      </ns8:oMathPara>
    </w:p>
    <w:p w14:paraId="36A697C9">
      <w:pPr>
        <w:rPr>
          <w:rFonts w:hint="default" w:ascii="Times New Roman" w:hAnsi="Times New Roman" w:cs="Times New Roman"/>
        </w:rPr>
      </w:pPr>
      <w:r>
        <w:rPr>
          <w:rFonts w:hint="default" w:ascii="Times New Roman" w:hAnsi="Times New Roman" w:cs="Times New Roman"/>
        </w:rPr>
        <w:t>该过程保留回归结果在等级区间内的连续差异，同时确保最终 Dk 与四级HS结果一致。例如分类森林判断为中等破坏时，最终 Dk 位于 [0.10,0.40)。</w:t>
      </w:r>
    </w:p>
    <w:p w14:paraId="561EB5D8">
      <w:pPr>
        <w:pStyle w:val="3"/>
        <w:rPr>
          <w:rFonts w:hint="default" w:ascii="Times New Roman" w:hAnsi="Times New Roman" w:cs="Times New Roman"/>
        </w:rPr>
      </w:pPr>
      <w:bookmarkStart w:id="20" w:name="_Toc14172"/>
      <w:r>
        <w:rPr>
          <w:rFonts w:hint="default" w:ascii="Times New Roman" w:hAnsi="Times New Roman" w:cs="Times New Roman"/>
        </w:rPr>
        <w:t>模型</w:t>
      </w:r>
      <w:r>
        <w:rPr>
          <w:rFonts w:hint="default" w:ascii="Times New Roman" w:hAnsi="Times New Roman" w:cs="Times New Roman"/>
          <w:lang w:val="en-US" w:eastAsia="zh-CN"/>
        </w:rPr>
        <w:t>参数与树数选择</w:t>
      </w:r>
      <w:bookmarkEnd w:id="20"/>
    </w:p>
    <w:p w14:paraId="231C3910">
      <w:pPr>
        <w:rPr>
          <w:rFonts w:hint="default" w:ascii="Times New Roman" w:hAnsi="Times New Roman" w:cs="Times New Roman"/>
        </w:rPr>
      </w:pPr>
      <w:r>
        <w:rPr>
          <w:rFonts w:hint="default" w:ascii="Times New Roman" w:hAnsi="Times New Roman" w:cs="Times New Roman"/>
        </w:rPr>
        <w:t>为直观展示四种模型的结构差异，以下表格从网络类型、层数、参数量、特性四个维度进行对比分析。</w:t>
      </w:r>
    </w:p>
    <w:p w14:paraId="23335385">
      <w:pPr>
        <w:pStyle w:val="16"/>
        <w:bidi w:val="0"/>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w:t>
      </w:r>
      <w:r>
        <w:rPr>
          <w:rFonts w:hint="default" w:ascii="Times New Roman" w:hAnsi="Times New Roman" w:cs="Times New Roman"/>
          <w:lang w:val="en-US" w:eastAsia="zh-CN"/>
        </w:rPr>
        <w:t>模型参数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002D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5359E1D">
            <w:pPr>
              <w:pStyle w:val="54"/>
              <w:bidi w:val="0"/>
              <w:rPr>
                <w:rFonts w:hint="default" w:ascii="Times New Roman" w:hAnsi="Times New Roman" w:cs="Times New Roman"/>
                <w:b w:val="0"/>
              </w:rPr>
            </w:pPr>
            <w:r>
              <w:rPr>
                <w:rFonts w:hint="default" w:ascii="Times New Roman" w:hAnsi="Times New Roman" w:cs="Times New Roman"/>
                <w:b w:val="0"/>
              </w:rPr>
              <w:t>参数</w:t>
            </w:r>
          </w:p>
        </w:tc>
        <w:tc>
          <w:tcPr>
            <w:tcW w:w="2769" w:type="dxa"/>
            <w:tcBorders>
              <w:top w:val="single" w:color="000000" w:sz="12" w:space="0"/>
              <w:left w:val="nil"/>
              <w:bottom w:val="single" w:color="000000" w:sz="4" w:space="0"/>
              <w:right w:val="nil"/>
            </w:tcBorders>
            <w:shd w:val="clear" w:color="auto" w:fill="FFFFFF"/>
          </w:tcPr>
          <w:p w14:paraId="31838FA7">
            <w:pPr>
              <w:pStyle w:val="54"/>
              <w:bidi w:val="0"/>
              <w:rPr>
                <w:rFonts w:hint="default" w:ascii="Times New Roman" w:hAnsi="Times New Roman" w:cs="Times New Roman"/>
                <w:b w:val="0"/>
              </w:rPr>
            </w:pPr>
            <w:r>
              <w:rPr>
                <w:rFonts w:hint="default" w:ascii="Times New Roman" w:hAnsi="Times New Roman" w:cs="Times New Roman"/>
                <w:b w:val="0"/>
              </w:rPr>
              <w:t>Dk 回归森林</w:t>
            </w:r>
          </w:p>
        </w:tc>
        <w:tc>
          <w:tcPr>
            <w:tcW w:w="2769" w:type="dxa"/>
            <w:tcBorders>
              <w:top w:val="single" w:color="000000" w:sz="12" w:space="0"/>
              <w:left w:val="nil"/>
              <w:bottom w:val="single" w:color="000000" w:sz="4" w:space="0"/>
              <w:right w:val="nil"/>
            </w:tcBorders>
            <w:shd w:val="clear" w:color="auto" w:fill="FFFFFF"/>
          </w:tcPr>
          <w:p w14:paraId="0A0D5724">
            <w:pPr>
              <w:pStyle w:val="54"/>
              <w:bidi w:val="0"/>
              <w:rPr>
                <w:rFonts w:hint="default" w:ascii="Times New Roman" w:hAnsi="Times New Roman" w:cs="Times New Roman"/>
                <w:b w:val="0"/>
              </w:rPr>
            </w:pPr>
            <w:r>
              <w:rPr>
                <w:rFonts w:hint="default" w:ascii="Times New Roman" w:hAnsi="Times New Roman" w:cs="Times New Roman"/>
                <w:b w:val="0"/>
              </w:rPr>
              <w:t>等级分类森林</w:t>
            </w:r>
          </w:p>
        </w:tc>
      </w:tr>
      <w:tr w14:paraId="2A4A7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05DF757D">
            <w:pPr>
              <w:pStyle w:val="54"/>
              <w:bidi w:val="0"/>
              <w:rPr>
                <w:rFonts w:hint="default" w:ascii="Times New Roman" w:hAnsi="Times New Roman" w:cs="Times New Roman"/>
                <w:b w:val="0"/>
              </w:rPr>
            </w:pPr>
            <w:r>
              <w:rPr>
                <w:rFonts w:hint="default" w:ascii="Times New Roman" w:hAnsi="Times New Roman" w:cs="Times New Roman"/>
                <w:b w:val="0"/>
              </w:rPr>
              <w:t>树数</w:t>
            </w:r>
          </w:p>
        </w:tc>
        <w:tc>
          <w:tcPr>
            <w:tcW w:w="2769" w:type="dxa"/>
            <w:tcBorders>
              <w:top w:val="single" w:color="000000" w:sz="4" w:space="0"/>
              <w:left w:val="nil"/>
              <w:bottom w:val="nil"/>
              <w:right w:val="nil"/>
            </w:tcBorders>
            <w:shd w:val="clear" w:color="auto" w:fill="FFFFFF"/>
            <w:vAlign w:val="top"/>
          </w:tcPr>
          <w:p w14:paraId="67A22239">
            <w:pPr>
              <w:pStyle w:val="54"/>
              <w:bidi w:val="0"/>
              <w:rPr>
                <w:rFonts w:hint="default"/>
              </w:rPr>
            </w:pPr>
            <w:r>
              <w:t>50</w:t>
            </w:r>
          </w:p>
        </w:tc>
        <w:tc>
          <w:tcPr>
            <w:tcW w:w="2769" w:type="dxa"/>
            <w:tcBorders>
              <w:top w:val="single" w:color="000000" w:sz="4" w:space="0"/>
              <w:left w:val="nil"/>
              <w:bottom w:val="nil"/>
              <w:right w:val="nil"/>
            </w:tcBorders>
            <w:shd w:val="clear" w:color="auto" w:fill="FFFFFF"/>
            <w:vAlign w:val="top"/>
          </w:tcPr>
          <w:p w14:paraId="523E4BD2">
            <w:pPr>
              <w:pStyle w:val="54"/>
              <w:bidi w:val="0"/>
              <w:rPr>
                <w:rFonts w:hint="default"/>
              </w:rPr>
            </w:pPr>
            <w:r>
              <w:t>50</w:t>
            </w:r>
          </w:p>
        </w:tc>
      </w:tr>
      <w:tr w14:paraId="713E2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1744A75">
            <w:pPr>
              <w:pStyle w:val="54"/>
              <w:bidi w:val="0"/>
              <w:rPr>
                <w:rFonts w:hint="default" w:ascii="Times New Roman" w:hAnsi="Times New Roman" w:cs="Times New Roman"/>
                <w:b w:val="0"/>
              </w:rPr>
            </w:pPr>
            <w:r>
              <w:rPr>
                <w:rFonts w:hint="default" w:ascii="Times New Roman" w:hAnsi="Times New Roman" w:cs="Times New Roman"/>
                <w:b w:val="0"/>
              </w:rPr>
              <w:t>分裂准则</w:t>
            </w:r>
          </w:p>
        </w:tc>
        <w:tc>
          <w:tcPr>
            <w:tcW w:w="2769" w:type="dxa"/>
            <w:tcBorders>
              <w:top w:val="nil"/>
              <w:left w:val="nil"/>
              <w:bottom w:val="nil"/>
              <w:right w:val="nil"/>
            </w:tcBorders>
            <w:shd w:val="clear" w:color="auto" w:fill="FFFFFF"/>
          </w:tcPr>
          <w:p w14:paraId="3896498B">
            <w:pPr>
              <w:pStyle w:val="54"/>
              <w:bidi w:val="0"/>
              <w:rPr>
                <w:rFonts w:hint="default" w:ascii="Times New Roman" w:hAnsi="Times New Roman" w:cs="Times New Roman"/>
                <w:b w:val="0"/>
              </w:rPr>
            </w:pPr>
            <w:r>
              <w:rPr>
                <w:rFonts w:hint="default" w:ascii="Times New Roman" w:hAnsi="Times New Roman" w:cs="Times New Roman"/>
                <w:b w:val="0"/>
              </w:rPr>
              <w:t>平方误差</w:t>
            </w:r>
          </w:p>
        </w:tc>
        <w:tc>
          <w:tcPr>
            <w:tcW w:w="2769" w:type="dxa"/>
            <w:tcBorders>
              <w:top w:val="nil"/>
              <w:left w:val="nil"/>
              <w:bottom w:val="nil"/>
              <w:right w:val="nil"/>
            </w:tcBorders>
            <w:shd w:val="clear" w:color="auto" w:fill="FFFFFF"/>
          </w:tcPr>
          <w:p w14:paraId="4BCA2CBB">
            <w:pPr>
              <w:pStyle w:val="54"/>
              <w:bidi w:val="0"/>
              <w:rPr>
                <w:rFonts w:hint="default" w:ascii="Times New Roman" w:hAnsi="Times New Roman" w:cs="Times New Roman"/>
                <w:b w:val="0"/>
              </w:rPr>
            </w:pPr>
            <w:r>
              <w:rPr>
                <w:rFonts w:hint="default" w:ascii="Times New Roman" w:hAnsi="Times New Roman" w:cs="Times New Roman"/>
                <w:b w:val="0"/>
              </w:rPr>
              <w:t>信息熵</w:t>
            </w:r>
          </w:p>
        </w:tc>
      </w:tr>
      <w:tr w14:paraId="66E8A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tcPr>
          <w:p w14:paraId="6AA2259B">
            <w:pPr>
              <w:pStyle w:val="54"/>
              <w:bidi w:val="0"/>
              <w:rPr>
                <w:rFonts w:hint="default" w:ascii="Times New Roman" w:hAnsi="Times New Roman" w:cs="Times New Roman"/>
                <w:b w:val="0"/>
              </w:rPr>
            </w:pPr>
            <w:r>
              <w:rPr>
                <w:rFonts w:hint="default" w:ascii="Times New Roman" w:hAnsi="Times New Roman" w:cs="Times New Roman"/>
                <w:b w:val="0"/>
              </w:rPr>
              <w:t>最大特征比例</w:t>
            </w:r>
          </w:p>
        </w:tc>
        <w:tc>
          <w:tcPr>
            <w:tcW w:w="2769" w:type="dxa"/>
            <w:tcBorders>
              <w:top w:val="nil"/>
              <w:left w:val="nil"/>
              <w:bottom w:val="nil"/>
              <w:right w:val="nil"/>
            </w:tcBorders>
            <w:shd w:val="clear" w:color="auto" w:fill="FFFFFF"/>
          </w:tcPr>
          <w:p w14:paraId="72A799CF">
            <w:pPr>
              <w:pStyle w:val="54"/>
              <w:bidi w:val="0"/>
              <w:rPr>
                <w:rFonts w:hint="default" w:ascii="Times New Roman" w:hAnsi="Times New Roman" w:cs="Times New Roman"/>
                <w:b w:val="0"/>
              </w:rPr>
            </w:pPr>
            <w:r>
              <w:rPr>
                <w:rFonts w:hint="default" w:ascii="Times New Roman" w:hAnsi="Times New Roman" w:cs="Times New Roman"/>
                <w:b w:val="0"/>
              </w:rPr>
              <w:t>1.0</w:t>
            </w:r>
          </w:p>
        </w:tc>
        <w:tc>
          <w:tcPr>
            <w:tcW w:w="2769" w:type="dxa"/>
            <w:tcBorders>
              <w:top w:val="nil"/>
              <w:left w:val="nil"/>
              <w:bottom w:val="nil"/>
              <w:right w:val="nil"/>
            </w:tcBorders>
            <w:shd w:val="clear" w:color="auto" w:fill="FFFFFF"/>
          </w:tcPr>
          <w:p w14:paraId="2520828D">
            <w:pPr>
              <w:pStyle w:val="54"/>
              <w:bidi w:val="0"/>
              <w:rPr>
                <w:rFonts w:hint="default" w:ascii="Times New Roman" w:hAnsi="Times New Roman" w:cs="Times New Roman"/>
                <w:b w:val="0"/>
              </w:rPr>
            </w:pPr>
            <w:r>
              <w:rPr>
                <w:rFonts w:hint="default" w:ascii="Times New Roman" w:hAnsi="Times New Roman" w:cs="Times New Roman"/>
                <w:b w:val="0"/>
              </w:rPr>
              <w:t>1.0</w:t>
            </w:r>
          </w:p>
        </w:tc>
      </w:tr>
      <w:tr w14:paraId="6686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5C4404BC">
            <w:pPr>
              <w:pStyle w:val="54"/>
              <w:bidi w:val="0"/>
              <w:rPr>
                <w:rFonts w:hint="default" w:ascii="Times New Roman" w:hAnsi="Times New Roman" w:cs="Times New Roman"/>
                <w:b w:val="0"/>
              </w:rPr>
            </w:pPr>
            <w:r>
              <w:rPr>
                <w:rFonts w:hint="default" w:ascii="Times New Roman" w:hAnsi="Times New Roman" w:cs="Times New Roman"/>
                <w:b w:val="0"/>
              </w:rPr>
              <w:t>最小叶节点样本数</w:t>
            </w:r>
          </w:p>
        </w:tc>
        <w:tc>
          <w:tcPr>
            <w:tcW w:w="2769" w:type="dxa"/>
            <w:tcBorders>
              <w:top w:val="nil"/>
              <w:left w:val="nil"/>
              <w:bottom w:val="nil"/>
              <w:right w:val="nil"/>
            </w:tcBorders>
            <w:shd w:val="clear" w:color="auto" w:fill="FFFFFF"/>
          </w:tcPr>
          <w:p w14:paraId="2C26BA33">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2769" w:type="dxa"/>
            <w:tcBorders>
              <w:top w:val="nil"/>
              <w:left w:val="nil"/>
              <w:bottom w:val="nil"/>
              <w:right w:val="nil"/>
            </w:tcBorders>
            <w:shd w:val="clear" w:color="auto" w:fill="FFFFFF"/>
          </w:tcPr>
          <w:p w14:paraId="15F9DF70">
            <w:pPr>
              <w:pStyle w:val="54"/>
              <w:bidi w:val="0"/>
              <w:rPr>
                <w:rFonts w:hint="default" w:ascii="Times New Roman" w:hAnsi="Times New Roman" w:cs="Times New Roman"/>
                <w:b w:val="0"/>
              </w:rPr>
            </w:pPr>
            <w:r>
              <w:rPr>
                <w:rFonts w:hint="default" w:ascii="Times New Roman" w:hAnsi="Times New Roman" w:cs="Times New Roman"/>
                <w:b w:val="0"/>
              </w:rPr>
              <w:t>1</w:t>
            </w:r>
          </w:p>
        </w:tc>
      </w:tr>
      <w:tr w14:paraId="70D1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single" w:color="000000" w:sz="12" w:space="0"/>
              <w:right w:val="nil"/>
            </w:tcBorders>
            <w:shd w:val="clear" w:color="auto" w:fill="FFFFFF"/>
            <w:vAlign w:val="top"/>
          </w:tcPr>
          <w:p w14:paraId="346B456F">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类别平衡</w:t>
            </w:r>
          </w:p>
        </w:tc>
        <w:tc>
          <w:tcPr>
            <w:tcW w:w="2769" w:type="dxa"/>
            <w:tcBorders>
              <w:top w:val="nil"/>
              <w:left w:val="nil"/>
              <w:bottom w:val="single" w:color="000000" w:sz="12" w:space="0"/>
              <w:right w:val="nil"/>
            </w:tcBorders>
            <w:shd w:val="clear" w:color="auto" w:fill="FFFFFF"/>
            <w:vAlign w:val="top"/>
          </w:tcPr>
          <w:p w14:paraId="05ED7D79">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w:t>
            </w:r>
          </w:p>
        </w:tc>
        <w:tc>
          <w:tcPr>
            <w:tcW w:w="2769" w:type="dxa"/>
            <w:tcBorders>
              <w:top w:val="nil"/>
              <w:left w:val="nil"/>
              <w:bottom w:val="single" w:color="000000" w:sz="12" w:space="0"/>
              <w:right w:val="nil"/>
            </w:tcBorders>
            <w:shd w:val="clear" w:color="auto" w:fill="FFFFFF"/>
            <w:vAlign w:val="top"/>
          </w:tcPr>
          <w:p w14:paraId="50343AF4">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平衡权重</w:t>
            </w:r>
          </w:p>
        </w:tc>
      </w:tr>
    </w:tbl>
    <w:p w14:paraId="597FA0D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r>
        <w:rPr>
          <w:rFonts w:hint="default" w:ascii="Times New Roman" w:hAnsi="Times New Roman" w:eastAsia="宋体" w:cs="Times New Roman"/>
          <w:color w:val="000000"/>
          <w:kern w:val="2"/>
          <w:sz w:val="24"/>
          <w:szCs w:val="24"/>
          <w:u w:val="none"/>
          <w:lang w:val="en-US" w:eastAsia="zh-CN" w:bidi="ar-SA"/>
        </w:rPr>
        <w:t>考虑到每个设施模型的输入特征为 11～23 列，树数试验范围设置为 10～100 棵。比较时保持数据划分、输入参数和分类准则一致，以五折等级准确率为主要指标，并结合独立测试结果和模型规模进行选择。</w:t>
      </w:r>
    </w:p>
    <w:p w14:paraId="1D3B6D5E">
      <w:pPr>
        <w:pStyle w:val="16"/>
        <w:bidi w:val="0"/>
        <w:rPr>
          <w:rFonts w:hint="default" w:ascii="Times New Roman" w:hAnsi="Times New Roman" w:cs="Times New Roman"/>
          <w:lang w:val="en-US" w:eastAsia="zh-CN"/>
        </w:rPr>
      </w:pPr>
      <w:r>
        <w:t xml:space="preserve">表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eastAsia"/>
          <w:lang w:val="en-US" w:eastAsia="zh-CN"/>
        </w:rPr>
        <w:t xml:space="preserve"> </w:t>
      </w:r>
      <w:r>
        <w:rPr>
          <w:rFonts w:hint="default" w:ascii="Times New Roman" w:hAnsi="Times New Roman" w:cs="Times New Roman"/>
          <w:lang w:val="en-US" w:eastAsia="zh-CN"/>
        </w:rPr>
        <w:t>不同树数的模型表现</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777C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3CE17D94">
            <w:pPr>
              <w:pStyle w:val="54"/>
              <w:bidi w:val="0"/>
              <w:rPr>
                <w:rFonts w:hint="default" w:ascii="Times New Roman" w:hAnsi="Times New Roman" w:cs="Times New Roman"/>
                <w:b w:val="0"/>
              </w:rPr>
            </w:pPr>
            <w:r>
              <w:rPr>
                <w:rFonts w:hint="default" w:ascii="Times New Roman" w:hAnsi="Times New Roman" w:cs="Times New Roman"/>
                <w:b w:val="0"/>
              </w:rPr>
              <w:t>每个任务的树数</w:t>
            </w:r>
          </w:p>
        </w:tc>
        <w:tc>
          <w:tcPr>
            <w:tcW w:w="2769" w:type="dxa"/>
            <w:tcBorders>
              <w:top w:val="single" w:color="000000" w:sz="12" w:space="0"/>
              <w:left w:val="nil"/>
              <w:bottom w:val="single" w:color="000000" w:sz="4" w:space="0"/>
              <w:right w:val="nil"/>
            </w:tcBorders>
            <w:shd w:val="clear" w:color="auto" w:fill="FFFFFF"/>
          </w:tcPr>
          <w:p w14:paraId="521927B8">
            <w:pPr>
              <w:pStyle w:val="54"/>
              <w:bidi w:val="0"/>
              <w:rPr>
                <w:rFonts w:hint="default" w:ascii="Times New Roman" w:hAnsi="Times New Roman" w:cs="Times New Roman"/>
                <w:b w:val="0"/>
              </w:rPr>
            </w:pPr>
            <w:r>
              <w:rPr>
                <w:rFonts w:hint="default" w:ascii="Times New Roman" w:hAnsi="Times New Roman" w:cs="Times New Roman"/>
                <w:b w:val="0"/>
              </w:rPr>
              <w:t>五折等级准确率</w:t>
            </w:r>
          </w:p>
        </w:tc>
        <w:tc>
          <w:tcPr>
            <w:tcW w:w="2769" w:type="dxa"/>
            <w:tcBorders>
              <w:top w:val="single" w:color="000000" w:sz="12" w:space="0"/>
              <w:left w:val="nil"/>
              <w:bottom w:val="single" w:color="000000" w:sz="4" w:space="0"/>
              <w:right w:val="nil"/>
            </w:tcBorders>
            <w:shd w:val="clear" w:color="auto" w:fill="FFFFFF"/>
          </w:tcPr>
          <w:p w14:paraId="7B6757D5">
            <w:pPr>
              <w:pStyle w:val="54"/>
              <w:bidi w:val="0"/>
              <w:rPr>
                <w:rFonts w:hint="default" w:ascii="Times New Roman" w:hAnsi="Times New Roman" w:cs="Times New Roman"/>
                <w:b w:val="0"/>
              </w:rPr>
            </w:pPr>
            <w:r>
              <w:rPr>
                <w:rFonts w:hint="default" w:ascii="Times New Roman" w:hAnsi="Times New Roman" w:cs="Times New Roman"/>
                <w:b w:val="0"/>
              </w:rPr>
              <w:t>独立测试等级准确率</w:t>
            </w:r>
          </w:p>
        </w:tc>
      </w:tr>
      <w:tr w14:paraId="7EF46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vAlign w:val="top"/>
          </w:tcPr>
          <w:p w14:paraId="10C4C14E">
            <w:pPr>
              <w:pStyle w:val="54"/>
              <w:bidi w:val="0"/>
              <w:rPr>
                <w:rFonts w:hint="default"/>
              </w:rPr>
            </w:pPr>
            <w:r>
              <w:t>10</w:t>
            </w:r>
          </w:p>
        </w:tc>
        <w:tc>
          <w:tcPr>
            <w:tcW w:w="2769" w:type="dxa"/>
            <w:tcBorders>
              <w:top w:val="single" w:color="000000" w:sz="4" w:space="0"/>
              <w:left w:val="nil"/>
              <w:bottom w:val="nil"/>
              <w:right w:val="nil"/>
            </w:tcBorders>
            <w:shd w:val="clear" w:color="auto" w:fill="FFFFFF"/>
            <w:vAlign w:val="top"/>
          </w:tcPr>
          <w:p>
            <w:r>
              <w:t>95.6389%</w:t>
            </w:r>
          </w:p>
        </w:tc>
        <w:tc>
          <w:tcPr>
            <w:tcW w:w="2769" w:type="dxa"/>
            <w:tcBorders>
              <w:top w:val="single" w:color="000000" w:sz="4" w:space="0"/>
              <w:left w:val="nil"/>
              <w:bottom w:val="nil"/>
              <w:right w:val="nil"/>
            </w:tcBorders>
            <w:shd w:val="clear" w:color="auto" w:fill="FFFFFF"/>
            <w:vAlign w:val="top"/>
          </w:tcPr>
          <w:p>
            <w:r>
              <w:t>96.7547%</w:t>
            </w:r>
          </w:p>
        </w:tc>
      </w:tr>
      <w:tr w14:paraId="6DAA6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6A84E7A">
            <w:pPr>
              <w:pStyle w:val="54"/>
              <w:bidi w:val="0"/>
              <w:rPr>
                <w:rFonts w:hint="default"/>
              </w:rPr>
            </w:pPr>
            <w:r>
              <w:t>30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04326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nil"/>
              <w:right w:val="nil"/>
            </w:tcBorders>
            <w:shd w:val="clear" w:color="auto" w:fill="FFFFFF"/>
            <w:vAlign w:val="top"/>
          </w:tcPr>
          <w:p w14:paraId="4DEA4864">
            <w:pPr>
              <w:pStyle w:val="54"/>
              <w:bidi w:val="0"/>
              <w:rPr>
                <w:rFonts w:hint="default"/>
                <w:b/>
                <w:bCs w:val="0"/>
              </w:rPr>
            </w:pPr>
            <w:r>
              <w:rPr>
                <w:b/>
                <w:bCs w:val="0"/>
              </w:rPr>
              <w:t>50</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97.2075%</w:t>
            </w:r>
          </w:p>
        </w:tc>
      </w:tr>
      <w:tr w14:paraId="616D4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50CA9031">
            <w:pPr>
              <w:pStyle w:val="54"/>
              <w:bidi w:val="0"/>
              <w:rPr>
                <w:rFonts w:hint="default"/>
              </w:rPr>
            </w:pPr>
            <w:r>
              <w:t>60</w:t>
            </w:r>
          </w:p>
        </w:tc>
        <w:tc>
          <w:tcPr>
            <w:tcW w:w="2769" w:type="dxa"/>
            <w:tcBorders>
              <w:top w:val="nil"/>
              <w:left w:val="nil"/>
              <w:bottom w:val="nil"/>
              <w:right w:val="nil"/>
            </w:tcBorders>
            <w:shd w:val="clear" w:color="auto" w:fill="FFFFFF"/>
            <w:vAlign w:val="top"/>
          </w:tcPr>
          <w:p>
            <w:r>
              <w:t>95.9134%</w:t>
            </w:r>
          </w:p>
        </w:tc>
        <w:tc>
          <w:tcPr>
            <w:tcW w:w="2769" w:type="dxa"/>
            <w:tcBorders>
              <w:top w:val="nil"/>
              <w:left w:val="nil"/>
              <w:bottom w:val="nil"/>
              <w:right w:val="nil"/>
            </w:tcBorders>
            <w:shd w:val="clear" w:color="auto" w:fill="FFFFFF"/>
            <w:vAlign w:val="top"/>
          </w:tcPr>
          <w:p>
            <w:r>
              <w:t>97.1321%</w:t>
            </w:r>
          </w:p>
        </w:tc>
      </w:tr>
      <w:tr w14:paraId="08EF2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4C180B24">
            <w:pPr>
              <w:pStyle w:val="54"/>
              <w:bidi w:val="0"/>
              <w:rPr>
                <w:rFonts w:hint="default"/>
              </w:rPr>
            </w:pPr>
            <w:r>
              <w:t>75</w:t>
            </w:r>
          </w:p>
        </w:tc>
        <w:tc>
          <w:tcPr>
            <w:tcW w:w="2769" w:type="dxa"/>
            <w:tcBorders>
              <w:top w:val="nil"/>
              <w:left w:val="nil"/>
              <w:bottom w:val="nil"/>
              <w:right w:val="nil"/>
            </w:tcBorders>
            <w:shd w:val="clear" w:color="auto" w:fill="FFFFFF"/>
            <w:vAlign w:val="top"/>
          </w:tcPr>
          <w:p>
            <w:r>
              <w:t>95.9591%</w:t>
            </w:r>
          </w:p>
        </w:tc>
        <w:tc>
          <w:tcPr>
            <w:tcW w:w="2769" w:type="dxa"/>
            <w:tcBorders>
              <w:top w:val="nil"/>
              <w:left w:val="nil"/>
              <w:bottom w:val="nil"/>
              <w:right w:val="nil"/>
            </w:tcBorders>
            <w:shd w:val="clear" w:color="auto" w:fill="FFFFFF"/>
            <w:vAlign w:val="top"/>
          </w:tcPr>
          <w:p>
            <w:r>
              <w:t>97.1321%</w:t>
            </w:r>
          </w:p>
        </w:tc>
      </w:tr>
      <w:tr w14:paraId="2A98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vAlign w:val="top"/>
          </w:tcPr>
          <w:p w14:paraId="2218D625">
            <w:pPr>
              <w:pStyle w:val="54"/>
              <w:bidi w:val="0"/>
              <w:rPr>
                <w:rFonts w:hint="default"/>
              </w:rPr>
            </w:pPr>
            <w:r>
              <w:t>90</w:t>
            </w:r>
          </w:p>
        </w:tc>
        <w:tc>
          <w:tcPr>
            <w:tcW w:w="2769" w:type="dxa"/>
            <w:tcBorders>
              <w:top w:val="nil"/>
              <w:left w:val="nil"/>
              <w:bottom w:val="nil"/>
              <w:right w:val="nil"/>
            </w:tcBorders>
            <w:shd w:val="clear" w:color="auto" w:fill="FFFFFF"/>
            <w:vAlign w:val="top"/>
          </w:tcPr>
          <w:p>
            <w:r>
              <w:t>95.8981%</w:t>
            </w:r>
          </w:p>
        </w:tc>
        <w:tc>
          <w:tcPr>
            <w:tcW w:w="2769" w:type="dxa"/>
            <w:tcBorders>
              <w:top w:val="nil"/>
              <w:left w:val="nil"/>
              <w:bottom w:val="nil"/>
              <w:right w:val="nil"/>
            </w:tcBorders>
            <w:shd w:val="clear" w:color="auto" w:fill="FFFFFF"/>
            <w:vAlign w:val="top"/>
          </w:tcPr>
          <w:p>
            <w:r>
              <w:t>97.2075%</w:t>
            </w:r>
          </w:p>
        </w:tc>
      </w:tr>
      <w:tr w14:paraId="113E7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vAlign w:val="top"/>
          </w:tcPr>
          <w:p w14:paraId="66F73F80">
            <w:pPr>
              <w:pStyle w:val="54"/>
              <w:bidi w:val="0"/>
              <w:rPr>
                <w:rFonts w:hint="default"/>
              </w:rPr>
            </w:pPr>
            <w:r>
              <w:t>99</w:t>
            </w:r>
          </w:p>
        </w:tc>
        <w:tc>
          <w:tcPr>
            <w:tcW w:w="2769" w:type="dxa"/>
            <w:tcBorders>
              <w:top w:val="nil"/>
              <w:left w:val="nil"/>
              <w:bottom w:val="single" w:color="000000" w:sz="12" w:space="0"/>
              <w:right w:val="nil"/>
            </w:tcBorders>
            <w:shd w:val="clear" w:color="auto" w:fill="FFFFFF"/>
            <w:vAlign w:val="top"/>
          </w:tcPr>
          <w:p>
            <w:r>
              <w:t>95.9134%</w:t>
            </w:r>
          </w:p>
        </w:tc>
        <w:tc>
          <w:tcPr>
            <w:tcW w:w="2769" w:type="dxa"/>
            <w:tcBorders>
              <w:top w:val="nil"/>
              <w:left w:val="nil"/>
              <w:bottom w:val="single" w:color="000000" w:sz="12" w:space="0"/>
              <w:right w:val="nil"/>
            </w:tcBorders>
            <w:shd w:val="clear" w:color="auto" w:fill="FFFFFF"/>
            <w:vAlign w:val="top"/>
          </w:tcPr>
          <w:p>
            <w:r>
              <w:t>97.0566%</w:t>
            </w:r>
          </w:p>
        </w:tc>
      </w:tr>
    </w:tbl>
    <w:p w14:paraId="50FA8C51">
      <w:pPr>
        <w:rPr>
          <w:rFonts w:hint="default" w:ascii="Times New Roman" w:hAnsi="Times New Roman" w:cs="Times New Roman"/>
          <w:lang w:val="en-US" w:eastAsia="zh-CN"/>
        </w:rPr>
      </w:pPr>
      <w:r>
        <w:rPr>
          <w:rFonts w:hint="default" w:ascii="Times New Roman" w:hAnsi="Times New Roman" w:cs="Times New Roman"/>
          <w:lang w:val="en-US" w:eastAsia="zh-CN"/>
        </w:rPr>
        <w:t>在逐设施训练口径下，50 棵方案的五折和独立测试等级准确率均达到最优水平，同时具有更紧凑的模型规模，因此最终确定回归森林和分类森林各采用 50 棵树。</w:t>
      </w:r>
    </w:p>
    <w:p w14:paraId="6E9B7EC6">
      <w:pPr>
        <w:pStyle w:val="47"/>
        <w:widowControl w:val="0"/>
        <w:autoSpaceDE/>
        <w:autoSpaceDN/>
        <w:snapToGrid w:val="0"/>
        <w:spacing w:line="640" w:lineRule="exact"/>
        <w:ind w:firstLine="560"/>
        <w:jc w:val="left"/>
        <w:rPr>
          <w:rFonts w:hint="default" w:ascii="Times New Roman" w:hAnsi="Times New Roman" w:eastAsia="宋体" w:cs="Times New Roman"/>
          <w:color w:val="000000"/>
          <w:kern w:val="2"/>
          <w:sz w:val="24"/>
          <w:szCs w:val="24"/>
          <w:u w:val="none"/>
          <w:lang w:val="en-US" w:eastAsia="zh-CN" w:bidi="ar-SA"/>
        </w:rPr>
      </w:pPr>
    </w:p>
    <w:p w14:paraId="2E43BF41">
      <w:pPr>
        <w:keepNext w:val="0"/>
        <w:keepLines w:val="0"/>
        <w:widowControl/>
        <w:suppressLineNumbers w:val="0"/>
        <w:ind w:left="0" w:leftChars="0" w:firstLine="0" w:firstLineChars="0"/>
        <w:jc w:val="left"/>
      </w:pPr>
      <w:r>
        <w:rPr>
          <w:rFonts w:ascii="宋体" w:hAnsi="宋体" w:eastAsia="宋体" w:cs="宋体"/>
          <w:color w:val="000000"/>
          <w:kern w:val="0"/>
          <w:sz w:val="24"/>
          <w:szCs w:val="24"/>
          <w:u w:val="none"/>
          <w:lang w:val="en-US" w:eastAsia="zh-CN" w:bidi="ar"/>
        </w:rPr>
        <w:drawing>
          <wp:inline distT="0" distB="0" distL="114300" distR="114300">
            <wp:extent cx="5361940" cy="1871345"/>
            <wp:effectExtent l="0" t="0" r="10160" b="14605"/>
            <wp:docPr id="7" name="图片 1" descr="IMG_256"/>
            <wp:cNvGraphicFramePr>
              <a:graphicFrameLocks noChangeAspect="1"/>
            </wp:cNvGraphicFramePr>
            <a:graphic>
              <a:graphicData uri="http://schemas.openxmlformats.org/drawingml/2006/picture">
                <pic:pic>
                  <pic:nvPicPr>
                    <pic:cNvPr id="7" name="图片 1" descr="IMG_256"/>
                    <pic:cNvPicPr>
                      <a:picLocks noChangeAspect="1"/>
                    </pic:cNvPicPr>
                  </pic:nvPicPr>
                  <pic:blipFill>
                    <a:blip r:embed="rId13"/>
                    <a:stretch>
                      <a:fillRect/>
                    </a:stretch>
                  </pic:blipFill>
                  <pic:spPr>
                    <a:xfrm>
                      <a:off x="0" y="0"/>
                      <a:ext cx="5361940" cy="1871345"/>
                    </a:xfrm>
                    <a:prstGeom prst="rect">
                      <a:avLst/>
                    </a:prstGeom>
                    <a:noFill/>
                    <a:ln w="9525">
                      <a:noFill/>
                    </a:ln>
                  </pic:spPr>
                </pic:pic>
              </a:graphicData>
            </a:graphic>
          </wp:inline>
        </w:drawing>
      </w:r>
    </w:p>
    <w:p w14:paraId="2A2080C7">
      <w:pPr>
        <w:pStyle w:val="16"/>
        <w:rPr>
          <w:rFonts w:hint="default" w:ascii="Times New Roman" w:hAnsi="Times New Roman" w:eastAsia="宋体" w:cs="Times New Roman"/>
          <w:sz w:val="28"/>
          <w:szCs w:val="28"/>
          <w:lang w:val="en-US" w:eastAsia="zh-CN"/>
        </w:rPr>
      </w:pPr>
      <w:r>
        <w:t xml:space="preserve">图 </w:t>
      </w:r>
      <w:r>
        <w:fldChar w:fldCharType="begin"/>
      </w:r>
      <w:r>
        <w:instrText xml:space="preserve"> STYLEREF 1 \s </w:instrText>
      </w:r>
      <w:r>
        <w:fldChar w:fldCharType="separate"/>
      </w:r>
      <w:r>
        <w:t>4</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b/>
          <w:sz w:val="24"/>
        </w:rPr>
        <w:t>等级约束 ExtraTrees 双任务代理模型架构</w:t>
      </w:r>
    </w:p>
    <w:p w14:paraId="6B5F6B4C">
      <w:pPr>
        <w:pStyle w:val="2"/>
        <w:bidi w:val="0"/>
        <w:rPr>
          <w:rFonts w:hint="default" w:ascii="Times New Roman" w:hAnsi="Times New Roman" w:cs="Times New Roman"/>
        </w:rPr>
      </w:pPr>
      <w:r>
        <w:rPr>
          <w:rFonts w:hint="default" w:ascii="Times New Roman" w:hAnsi="Times New Roman" w:cs="Times New Roman"/>
        </w:rPr>
        <w:br w:type="page"/>
      </w:r>
      <w:bookmarkStart w:id="21" w:name="_Toc19820"/>
      <w:bookmarkStart w:id="22" w:name="_Toc25254"/>
      <w:r>
        <w:rPr>
          <w:rFonts w:hint="default" w:ascii="Times New Roman" w:hAnsi="Times New Roman" w:cs="Times New Roman"/>
          <w:lang w:val="en-US" w:eastAsia="zh-CN"/>
        </w:rPr>
        <w:t>模型训练与验证</w:t>
      </w:r>
      <w:bookmarkEnd w:id="21"/>
    </w:p>
    <w:p w14:paraId="2CEA12F5">
      <w:pPr>
        <w:pStyle w:val="3"/>
        <w:rPr>
          <w:rFonts w:hint="default" w:ascii="Times New Roman" w:hAnsi="Times New Roman" w:cs="Times New Roman"/>
        </w:rPr>
      </w:pPr>
      <w:bookmarkStart w:id="23" w:name="_Toc20877"/>
      <w:r>
        <w:rPr>
          <w:rFonts w:hint="default" w:ascii="Times New Roman" w:hAnsi="Times New Roman" w:cs="Times New Roman"/>
          <w:lang w:val="en-US" w:eastAsia="zh-CN"/>
        </w:rPr>
        <w:t>数据划分</w:t>
      </w:r>
      <w:bookmarkEnd w:id="23"/>
    </w:p>
    <w:p w14:paraId="49F7F877">
      <w:pPr>
        <w:rPr>
          <w:rFonts w:hint="default" w:ascii="Times New Roman" w:hAnsi="Times New Roman" w:cs="Times New Roman"/>
        </w:rPr>
      </w:pPr>
      <w:r>
        <w:rPr>
          <w:rFonts w:hint="default" w:ascii="Times New Roman" w:hAnsi="Times New Roman" w:cs="Times New Roman"/>
        </w:rPr>
        <w:t>6558 条合格工况按损伤等级分层划分为训练集和独立测试集，其中独立测试集约占 20%，其余用于拟合模型参数；另以五折交叉验证评价模型在不同数据划分下的总体稳定性。训练集用于拟合模型参数，独立测试集仅用于最终性能评价。</w:t>
      </w:r>
    </w:p>
    <w:p w14:paraId="7A987DC4">
      <w:pPr>
        <w:rPr>
          <w:rFonts w:hint="default" w:ascii="Times New Roman" w:hAnsi="Times New Roman" w:cs="Times New Roman"/>
        </w:rPr>
      </w:pPr>
      <w:r>
        <w:rPr>
          <w:rFonts w:hint="default" w:ascii="Times New Roman" w:hAnsi="Times New Roman" w:cs="Times New Roman"/>
        </w:rPr>
        <w:t>五折交叉验证与独立测试具有不同作用。五折交叉验证将全部样本分为五个互斥子集，每次使用其中四折训练、一折验证，最终汇总五次未参与相应训练的预测结果，用于评价模型在不同数据划分下的总体稳定性。独立测试则在模型设置确定后，使用训练集拟合评估模型，并在固定的独立测试工况上评价，用于检验最终方案对未参与拟合工况的预测能力。</w:t>
      </w:r>
    </w:p>
    <w:p w14:paraId="6CF516F3">
      <w:pPr>
        <w:pStyle w:val="3"/>
        <w:rPr>
          <w:rFonts w:hint="default" w:ascii="Times New Roman" w:hAnsi="Times New Roman" w:cs="Times New Roman"/>
        </w:rPr>
      </w:pPr>
      <w:bookmarkStart w:id="24" w:name="_Toc18218"/>
      <w:r>
        <w:rPr>
          <w:rFonts w:hint="default" w:ascii="Times New Roman" w:hAnsi="Times New Roman" w:cs="Times New Roman"/>
          <w:lang w:val="en-US" w:eastAsia="zh-CN"/>
        </w:rPr>
        <w:t>评价指标</w:t>
      </w:r>
      <w:bookmarkEnd w:id="24"/>
    </w:p>
    <w:p w14:paraId="3EAA18BB">
      <w:pPr>
        <w:ind w:firstLine="480"/>
        <w:rPr>
          <w:rFonts w:hint="default" w:ascii="Times New Roman" w:hAnsi="Times New Roman" w:cs="Times New Roman"/>
        </w:rPr>
      </w:pPr>
      <w:r>
        <w:rPr>
          <w:rFonts w:hint="default" w:ascii="Times New Roman" w:hAnsi="Times New Roman" w:cs="Times New Roman"/>
        </w:rPr>
        <w:t>本报告</w:t>
      </w:r>
      <w:r>
        <w:rPr>
          <w:rFonts w:hint="default" w:ascii="Times New Roman" w:hAnsi="Times New Roman" w:cs="Times New Roman"/>
          <w:lang w:val="en-US" w:eastAsia="zh-CN"/>
        </w:rPr>
        <w:t>使用</w:t>
      </w:r>
      <w:r>
        <w:rPr>
          <w:rFonts w:hint="default" w:ascii="Times New Roman" w:hAnsi="Times New Roman" w:cs="Times New Roman"/>
        </w:rPr>
        <w:t xml:space="preserve"> MAE、RMSE 和等级准确率三个指标。</w:t>
      </w:r>
    </w:p>
    <w:p w14:paraId="674DCC99">
      <w:pPr>
        <w:pStyle w:val="16"/>
        <w:bidi w:val="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rPr>
        <w:t xml:space="preserve"> 模型评价指标说明</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9"/>
        <w:gridCol w:w="2769"/>
        <w:gridCol w:w="2769"/>
      </w:tblGrid>
      <w:tr w14:paraId="01766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12" w:space="0"/>
              <w:left w:val="nil"/>
              <w:bottom w:val="single" w:color="000000" w:sz="4" w:space="0"/>
              <w:right w:val="nil"/>
              <w:tl2br w:val="nil"/>
            </w:tcBorders>
            <w:shd w:val="clear" w:color="auto" w:fill="FFFFFF"/>
          </w:tcPr>
          <w:p w14:paraId="26E48667">
            <w:pPr>
              <w:pStyle w:val="54"/>
              <w:bidi w:val="0"/>
              <w:rPr>
                <w:rFonts w:hint="default" w:ascii="Times New Roman" w:hAnsi="Times New Roman" w:cs="Times New Roman"/>
                <w:b w:val="0"/>
              </w:rPr>
            </w:pPr>
            <w:r>
              <w:rPr>
                <w:rFonts w:hint="default" w:ascii="Times New Roman" w:hAnsi="Times New Roman" w:cs="Times New Roman"/>
                <w:b w:val="0"/>
              </w:rPr>
              <w:t>指标</w:t>
            </w:r>
          </w:p>
        </w:tc>
        <w:tc>
          <w:tcPr>
            <w:tcW w:w="2769" w:type="dxa"/>
            <w:tcBorders>
              <w:top w:val="single" w:color="000000" w:sz="12" w:space="0"/>
              <w:left w:val="nil"/>
              <w:bottom w:val="single" w:color="000000" w:sz="4" w:space="0"/>
              <w:right w:val="nil"/>
            </w:tcBorders>
            <w:shd w:val="clear" w:color="auto" w:fill="FFFFFF"/>
          </w:tcPr>
          <w:p w14:paraId="2B3800E8">
            <w:pPr>
              <w:pStyle w:val="54"/>
              <w:bidi w:val="0"/>
              <w:rPr>
                <w:rFonts w:hint="default" w:ascii="Times New Roman" w:hAnsi="Times New Roman" w:cs="Times New Roman"/>
                <w:b w:val="0"/>
              </w:rPr>
            </w:pPr>
            <w:r>
              <w:rPr>
                <w:rFonts w:hint="default" w:ascii="Times New Roman" w:hAnsi="Times New Roman" w:cs="Times New Roman"/>
                <w:b w:val="0"/>
              </w:rPr>
              <w:t>定义</w:t>
            </w:r>
          </w:p>
        </w:tc>
        <w:tc>
          <w:tcPr>
            <w:tcW w:w="2769" w:type="dxa"/>
            <w:tcBorders>
              <w:top w:val="single" w:color="000000" w:sz="12" w:space="0"/>
              <w:left w:val="nil"/>
              <w:bottom w:val="single" w:color="000000" w:sz="4" w:space="0"/>
              <w:right w:val="nil"/>
            </w:tcBorders>
            <w:shd w:val="clear" w:color="auto" w:fill="FFFFFF"/>
          </w:tcPr>
          <w:p w14:paraId="7647BC2D">
            <w:pPr>
              <w:pStyle w:val="54"/>
              <w:bidi w:val="0"/>
              <w:rPr>
                <w:rFonts w:hint="default" w:ascii="Times New Roman" w:hAnsi="Times New Roman" w:cs="Times New Roman"/>
                <w:b w:val="0"/>
              </w:rPr>
            </w:pPr>
            <w:r>
              <w:rPr>
                <w:rFonts w:hint="default" w:ascii="Times New Roman" w:hAnsi="Times New Roman" w:cs="Times New Roman"/>
                <w:b w:val="0"/>
              </w:rPr>
              <w:t>工程含义</w:t>
            </w:r>
          </w:p>
        </w:tc>
      </w:tr>
      <w:tr w14:paraId="1E33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single" w:color="000000" w:sz="4" w:space="0"/>
              <w:left w:val="nil"/>
              <w:bottom w:val="nil"/>
              <w:right w:val="nil"/>
            </w:tcBorders>
            <w:shd w:val="clear" w:color="auto" w:fill="FFFFFF"/>
          </w:tcPr>
          <w:p w14:paraId="248C4B08">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2769" w:type="dxa"/>
            <w:tcBorders>
              <w:top w:val="single" w:color="000000" w:sz="4" w:space="0"/>
              <w:left w:val="nil"/>
              <w:bottom w:val="nil"/>
              <w:right w:val="nil"/>
            </w:tcBorders>
            <w:shd w:val="clear" w:color="auto" w:fill="FFFFFF"/>
          </w:tcPr>
          <w:p w14:paraId="7C30299D">
            <w:pPr>
              <w:pStyle w:val="54"/>
              <w:bidi w:val="0"/>
              <w:rPr>
                <w:rFonts w:hint="default" w:ascii="Times New Roman" w:hAnsi="Times New Roman" w:cs="Times New Roman"/>
                <w:b w:val="0"/>
                <w:i w:val="0"/>
              </w:rPr>
            </w:pPr>
            <ns8:oMathPara>
              <ns8:oMath>
                <ns8:f>
                  <ns8:fPr>
                    <ns8:ctrlPr>
                      <w:rPr>
                        <w:rFonts w:hint="default" w:ascii="Cambria Math" w:hAnsi="Cambria Math" w:cs="Times New Roman"/>
                        <w:i/>
                        <w:sz w:val="24"/>
                        <w:u w:val="none"/>
                      </w:rPr>
                    </ns8:ctrlPr>
                  </ns8:fPr>
                  <ns8:num>
                    <ns8:r>
                      <ns8:rPr>
                        <ns8:nor/>
                        <ns8:sty ns8:val="p"/>
                      </ns8:rPr>
                      <w:rPr>
                        <w:rFonts w:hint="default" w:ascii="Times New Roman" w:hAnsi="Times New Roman" w:cs="Times New Roman"/>
                        <w:b w:val="0"/>
                        <w:i w:val="0"/>
                        <w:sz w:val="24"/>
                        <w:u w:val="none"/>
                      </w:rPr>
                      <ns8:t>1</ns8:t>
                    </ns8:r>
                    <ns8:ctrlPr>
                      <w:rPr>
                        <w:rFonts w:hint="default" w:ascii="Cambria Math" w:hAnsi="Cambria Math" w:cs="Times New Roman"/>
                        <w:sz w:val="24"/>
                        <w:u w:val="none"/>
                      </w:rPr>
                    </ns8:ctrlPr>
                  </ns8:num>
                  <ns8:den>
                    <ns8:r>
                      <ns8:rPr>
                        <ns8:nor/>
                      </ns8:rPr>
                      <w:rPr>
                        <w:rFonts w:hint="default" w:ascii="Times New Roman" w:hAnsi="Times New Roman" w:cs="Times New Roman"/>
                        <w:i/>
                        <w:sz w:val="24"/>
                        <w:u w:val="none"/>
                      </w:rPr>
                      <ns8:t>n</ns8:t>
                    </ns8:r>
                    <ns8:ctrlPr>
                      <w:rPr>
                        <w:rFonts w:hint="default" w:ascii="Cambria Math" w:hAnsi="Cambria Math" w:cs="Times New Roman"/>
                        <w:sz w:val="24"/>
                        <w:u w:val="none"/>
                      </w:rPr>
                    </ns8:ctrlPr>
                  </ns8:den>
                </ns8:f>
                <ns8:nary>
                  <ns8:naryPr>
                    <ns8:chr ns8:val="∑"/>
                    <ns8:limLoc ns8:val="undOvr"/>
                    <ns8:subHide ns8:val="1"/>
                    <ns8:supHide ns8:val="1"/>
                    <ns8:ctrlPr>
                      <w:rPr>
                        <w:rFonts w:hint="default" w:ascii="Cambria Math" w:hAnsi="Cambria Math" w:cs="Times New Roman"/>
                        <w:i/>
                        <w:sz w:val="24"/>
                        <w:u w:val="none"/>
                      </w:rPr>
                    </ns8:ctrlPr>
                  </ns8:naryPr>
                  <ns8:sub>
                    <ns8:ctrlPr>
                      <w:rPr>
                        <w:rFonts w:hint="default" w:ascii="Cambria Math" w:hAnsi="Cambria Math" w:cs="Times New Roman"/>
                        <w:sz w:val="24"/>
                        <w:u w:val="none"/>
                      </w:rPr>
                    </ns8:ctrlPr>
                  </ns8:sub>
                  <ns8:sup>
                    <ns8:ctrlPr>
                      <w:rPr>
                        <w:rFonts w:hint="default" w:ascii="Cambria Math" w:hAnsi="Cambria Math" w:cs="Times New Roman"/>
                        <w:sz w:val="24"/>
                        <w:u w:val="none"/>
                      </w:rPr>
                    </ns8:ctrlPr>
                  </ns8:sup>
                  <ns8:e>
                    <ns8:d>
                      <ns8:dPr>
                        <ns8:begChr ns8:val="|"/>
                        <ns8:endChr ns8:val="|"/>
                        <ns8:ctrlPr>
                          <w:rPr>
                            <w:rFonts w:hint="default" w:ascii="Cambria Math" w:hAnsi="Cambria Math" w:cs="Times New Roman"/>
                            <w:sz w:val="24"/>
                            <w:u w:val="none"/>
                          </w:rPr>
                        </ns8:ctrlPr>
                      </ns8:dPr>
                      <ns8:e>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i</ns8:t>
                            </ns8:r>
                            <ns8:ctrlPr>
                              <w:rPr>
                                <w:rFonts w:hint="default" w:ascii="Cambria Math" w:hAnsi="Cambria Math" w:cs="Times New Roman"/>
                                <w:sz w:val="24"/>
                                <w:u w:val="none"/>
                              </w:rPr>
                            </ns8:ctrlPr>
                          </ns8:sub>
                        </ns8:sSub>
                        <ns8:r>
                          <ns8:rPr>
                            <ns8:sty ns8:val="p"/>
                          </ns8:rPr>
                          <w:rPr>
                            <w:rFonts w:hint="default" w:ascii="Times New Roman" w:hAnsi="Times New Roman" w:cs="Times New Roman"/>
                            <w:sz w:val="24"/>
                            <w:u w:val="none"/>
                          </w:rPr>
                          <ns8:t>−</ns8:t>
                        </ns8:r>
                        <ns8:sSub>
                          <ns8:sSubPr>
                            <ns8:ctrlPr>
                              <w:rPr>
                                <w:rFonts w:hint="default" w:ascii="Cambria Math" w:hAnsi="Cambria Math" w:cs="Times New Roman"/>
                                <w:sz w:val="24"/>
                                <w:u w:val="none"/>
                              </w:rPr>
                            </ns8:ctrlPr>
                          </ns8:sSubPr>
                          <ns8:e>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i</ns8:t>
                            </ns8:r>
                            <ns8:ctrlPr>
                              <w:rPr>
                                <w:rFonts w:hint="default" w:ascii="Cambria Math" w:hAnsi="Cambria Math" w:cs="Times New Roman"/>
                                <w:sz w:val="24"/>
                                <w:u w:val="none"/>
                              </w:rPr>
                            </ns8:ctrlPr>
                          </ns8:sub>
                        </ns8:sSub>
                        <ns8:ctrlPr>
                          <w:rPr>
                            <w:rFonts w:hint="default" w:ascii="Cambria Math" w:hAnsi="Cambria Math" w:cs="Times New Roman"/>
                            <w:sz w:val="24"/>
                            <w:u w:val="none"/>
                          </w:rPr>
                        </ns8:ctrlPr>
                      </ns8:e>
                    </ns8:d>
                    <ns8:ctrlPr>
                      <w:rPr>
                        <w:rFonts w:hint="default" w:ascii="Cambria Math" w:hAnsi="Cambria Math" w:cs="Times New Roman"/>
                        <w:sz w:val="24"/>
                        <w:u w:val="none"/>
                      </w:rPr>
                    </ns8:ctrlPr>
                  </ns8:e>
                </ns8:nary>
              </ns8:oMath>
            </ns8:oMathPara>
          </w:p>
        </w:tc>
        <w:tc>
          <w:tcPr>
            <w:tcW w:w="2769" w:type="dxa"/>
            <w:tcBorders>
              <w:top w:val="single" w:color="000000" w:sz="4" w:space="0"/>
              <w:left w:val="nil"/>
              <w:bottom w:val="nil"/>
              <w:right w:val="nil"/>
            </w:tcBorders>
            <w:shd w:val="clear" w:color="auto" w:fill="FFFFFF"/>
          </w:tcPr>
          <w:p w14:paraId="3D631643">
            <w:pPr>
              <w:pStyle w:val="54"/>
              <w:bidi w:val="0"/>
              <w:rPr>
                <w:rFonts w:hint="default" w:ascii="Times New Roman" w:hAnsi="Times New Roman" w:eastAsia="宋体" w:cs="Times New Roman"/>
                <w:b w:val="0"/>
                <w:lang w:val="en-US" w:eastAsia="zh-CN"/>
              </w:rPr>
            </w:pPr>
            <w:r>
              <w:rPr>
                <w:rFonts w:hint="default" w:ascii="Times New Roman" w:hAnsi="Times New Roman" w:cs="Times New Roman"/>
                <w:b w:val="0"/>
                <w:lang w:val="en-US" w:eastAsia="zh-CN"/>
              </w:rPr>
              <w:t>Dk 预测绝对误差的平均值，越小越好</w:t>
            </w:r>
          </w:p>
        </w:tc>
      </w:tr>
      <w:tr w14:paraId="2495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9" w:type="dxa"/>
            <w:tcBorders>
              <w:top w:val="nil"/>
              <w:left w:val="nil"/>
              <w:bottom w:val="nil"/>
              <w:right w:val="nil"/>
            </w:tcBorders>
            <w:shd w:val="clear" w:color="auto" w:fill="FFFFFF"/>
          </w:tcPr>
          <w:p w14:paraId="47ADFE35">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2769" w:type="dxa"/>
            <w:tcBorders>
              <w:top w:val="nil"/>
              <w:left w:val="nil"/>
              <w:bottom w:val="nil"/>
              <w:right w:val="nil"/>
            </w:tcBorders>
            <w:shd w:val="clear" w:color="auto" w:fill="FFFFFF"/>
          </w:tcPr>
          <w:p w14:paraId="13A4A0C3">
            <w:pPr>
              <w:pStyle w:val="54"/>
              <w:bidi w:val="0"/>
              <w:rPr>
                <w:rFonts w:hint="default" w:ascii="Times New Roman" w:hAnsi="Times New Roman" w:cs="Times New Roman"/>
                <w:b w:val="0"/>
              </w:rPr>
            </w:pPr>
            <ns8:oMathPara>
              <ns8:oMath>
                <ns8:rad>
                  <ns8:radPr>
                    <ns8:degHide ns8:val="1"/>
                    <ns8:ctrlPr>
                      <w:rPr>
                        <w:rFonts w:hint="default" w:ascii="Cambria Math" w:hAnsi="Cambria Math" w:cs="Times New Roman"/>
                        <w:i/>
                        <w:sz w:val="24"/>
                        <w:u w:val="none"/>
                      </w:rPr>
                    </ns8:ctrlPr>
                  </ns8:radPr>
                  <ns8:deg>
                    <ns8:ctrlPr>
                      <w:rPr>
                        <w:rFonts w:hint="default" w:ascii="Cambria Math" w:hAnsi="Cambria Math" w:cs="Times New Roman"/>
                        <w:sz w:val="24"/>
                        <w:u w:val="none"/>
                      </w:rPr>
                    </ns8:ctrlPr>
                  </ns8:deg>
                  <ns8:e>
                    <ns8:f>
                      <ns8:fPr>
                        <ns8:ctrlPr>
                          <w:rPr>
                            <w:rFonts w:hint="default" w:ascii="Cambria Math" w:hAnsi="Cambria Math" w:cs="Times New Roman"/>
                            <w:i/>
                            <w:sz w:val="24"/>
                            <w:u w:val="none"/>
                          </w:rPr>
                        </ns8:ctrlPr>
                      </ns8:fPr>
                      <ns8:num>
                        <ns8:r>
                          <ns8:rPr>
                            <ns8:nor/>
                            <ns8:sty ns8:val="p"/>
                          </ns8:rPr>
                          <w:rPr>
                            <w:rFonts w:hint="default" w:ascii="Times New Roman" w:hAnsi="Times New Roman" w:cs="Times New Roman"/>
                            <w:b w:val="0"/>
                            <w:i w:val="0"/>
                            <w:sz w:val="24"/>
                            <w:u w:val="none"/>
                          </w:rPr>
                          <ns8:t>1</ns8:t>
                        </ns8:r>
                        <ns8:ctrlPr>
                          <w:rPr>
                            <w:rFonts w:hint="default" w:ascii="Cambria Math" w:hAnsi="Cambria Math" w:cs="Times New Roman"/>
                            <w:sz w:val="24"/>
                            <w:u w:val="none"/>
                          </w:rPr>
                        </ns8:ctrlPr>
                      </ns8:num>
                      <ns8:den>
                        <ns8:r>
                          <ns8:rPr>
                            <ns8:nor/>
                          </ns8:rPr>
                          <w:rPr>
                            <w:rFonts w:hint="default" w:ascii="Times New Roman" w:hAnsi="Times New Roman" w:cs="Times New Roman"/>
                            <w:i/>
                            <w:sz w:val="24"/>
                            <w:u w:val="none"/>
                          </w:rPr>
                          <ns8:t>n</ns8:t>
                        </ns8:r>
                        <ns8:ctrlPr>
                          <w:rPr>
                            <w:rFonts w:hint="default" w:ascii="Cambria Math" w:hAnsi="Cambria Math" w:cs="Times New Roman"/>
                            <w:sz w:val="24"/>
                            <w:u w:val="none"/>
                          </w:rPr>
                        </ns8:ctrlPr>
                      </ns8:den>
                    </ns8:f>
                    <ns8:nary>
                      <ns8:naryPr>
                        <ns8:chr ns8:val="∑"/>
                        <ns8:limLoc ns8:val="undOvr"/>
                        <ns8:subHide ns8:val="1"/>
                        <ns8:supHide ns8:val="1"/>
                        <ns8:ctrlPr>
                          <w:rPr>
                            <w:rFonts w:hint="default" w:ascii="Cambria Math" w:hAnsi="Cambria Math" w:cs="Times New Roman"/>
                            <w:i/>
                            <w:sz w:val="24"/>
                            <w:u w:val="none"/>
                          </w:rPr>
                        </ns8:ctrlPr>
                      </ns8:naryPr>
                      <ns8:sub>
                        <ns8:ctrlPr>
                          <w:rPr>
                            <w:rFonts w:hint="default" w:ascii="Cambria Math" w:hAnsi="Cambria Math" w:cs="Times New Roman"/>
                            <w:sz w:val="24"/>
                            <w:u w:val="none"/>
                          </w:rPr>
                        </ns8:ctrlPr>
                      </ns8:sub>
                      <ns8:sup>
                        <ns8:ctrlPr>
                          <w:rPr>
                            <w:rFonts w:hint="default" w:ascii="Cambria Math" w:hAnsi="Cambria Math" w:cs="Times New Roman"/>
                            <w:sz w:val="24"/>
                            <w:u w:val="none"/>
                          </w:rPr>
                        </ns8:ctrlPr>
                      </ns8:sup>
                      <ns8:e>
                        <ns8:r>
                          <ns8:rPr>
                            <ns8:nor/>
                            <ns8:sty ns8:val="p"/>
                          </ns8:rPr>
                          <w:rPr>
                            <w:rFonts w:hint="default" w:ascii="Times New Roman" w:hAnsi="Times New Roman" w:cs="Times New Roman"/>
                            <w:b w:val="0"/>
                            <w:i w:val="0"/>
                            <w:sz w:val="24"/>
                            <w:u w:val="none"/>
                          </w:rPr>
                          <ns8:t>(</ns8:t>
                        </ns8:r>
                        <ns8:ctrlPr>
                          <w:rPr>
                            <w:rFonts w:hint="default" w:ascii="Cambria Math" w:hAnsi="Cambria Math" w:cs="Times New Roman"/>
                            <w:sz w:val="24"/>
                            <w:u w:val="none"/>
                          </w:rPr>
                        </ns8:ctrlPr>
                      </ns8:e>
                    </ns8:nary>
                    <ns8:sSub>
                      <ns8:sSubPr>
                        <ns8:ctrlPr>
                          <w:rPr>
                            <w:rFonts w:hint="default" w:ascii="Cambria Math" w:hAnsi="Cambria Math" w:cs="Times New Roman"/>
                            <w:sz w:val="24"/>
                            <w:u w:val="none"/>
                          </w:rPr>
                        </ns8:ctrlPr>
                      </ns8:sSub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i</ns8:t>
                        </ns8:r>
                        <ns8:ctrlPr>
                          <w:rPr>
                            <w:rFonts w:hint="default" w:ascii="Cambria Math" w:hAnsi="Cambria Math" w:cs="Times New Roman"/>
                            <w:sz w:val="24"/>
                            <w:u w:val="none"/>
                          </w:rPr>
                        </ns8:ctrlPr>
                      </ns8:sub>
                    </ns8:sSub>
                    <ns8:r>
                      <ns8:rPr>
                        <ns8:nor/>
                        <ns8:sty ns8:val="p"/>
                      </ns8:rPr>
                      <w:rPr>
                        <w:rFonts w:hint="default" w:ascii="Times New Roman" w:hAnsi="Times New Roman" w:cs="Times New Roman"/>
                        <w:b w:val="0"/>
                        <w:i w:val="0"/>
                        <w:sz w:val="24"/>
                        <w:u w:val="none"/>
                      </w:rPr>
                      <ns8:t>−</ns8:t>
                    </ns8:r>
                    <ns8:sSub>
                      <ns8:sSubPr>
                        <ns8:ctrlPr>
                          <w:rPr>
                            <w:rFonts w:hint="default" w:ascii="Cambria Math" w:hAnsi="Cambria Math" w:cs="Times New Roman"/>
                            <w:sz w:val="24"/>
                            <w:u w:val="none"/>
                          </w:rPr>
                        </ns8:ctrlPr>
                      </ns8:sSubPr>
                      <ns8:e>
                        <ns8:acc>
                          <ns8:accPr>
                            <ns8:ctrlPr>
                              <w:rPr>
                                <w:rFonts w:hint="default" w:ascii="Cambria Math" w:hAnsi="Cambria Math" w:cs="Times New Roman"/>
                                <w:sz w:val="24"/>
                                <w:u w:val="none"/>
                              </w:rPr>
                            </ns8:ctrlPr>
                          </ns8:accPr>
                          <ns8:e>
                            <ns8:r>
                              <ns8:rPr>
                                <ns8:nor/>
                              </ns8:rPr>
                              <w:rPr>
                                <w:rFonts w:hint="default" w:ascii="Times New Roman" w:hAnsi="Times New Roman" w:cs="Times New Roman"/>
                                <w:i/>
                                <w:sz w:val="24"/>
                                <w:u w:val="none"/>
                              </w:rPr>
                              <ns8:t>D</ns8:t>
                            </ns8:r>
                            <ns8:ctrlPr>
                              <w:rPr>
                                <w:rFonts w:hint="default" w:ascii="Cambria Math" w:hAnsi="Cambria Math" w:cs="Times New Roman"/>
                                <w:sz w:val="24"/>
                                <w:u w:val="none"/>
                              </w:rPr>
                            </ns8:ctrlPr>
                          </ns8:e>
                        </ns8:acc>
                        <ns8:ctrlPr>
                          <w:rPr>
                            <w:rFonts w:hint="default" w:ascii="Cambria Math" w:hAnsi="Cambria Math" w:cs="Times New Roman"/>
                            <w:sz w:val="24"/>
                            <w:u w:val="none"/>
                          </w:rPr>
                        </ns8:ctrlPr>
                      </ns8:e>
                      <ns8:sub>
                        <ns8:r>
                          <ns8:rPr>
                            <ns8:nor/>
                          </ns8:rPr>
                          <w:rPr>
                            <w:rFonts w:hint="default" w:ascii="Times New Roman" w:hAnsi="Times New Roman" w:cs="Times New Roman"/>
                            <w:i/>
                            <w:sz w:val="24"/>
                            <w:u w:val="none"/>
                          </w:rPr>
                          <ns8:t>k</ns8:t>
                        </ns8:r>
                        <ns8:r>
                          <ns8:rPr>
                            <ns8:nor/>
                            <ns8:sty ns8:val="p"/>
                          </ns8:rPr>
                          <w:rPr>
                            <w:rFonts w:hint="default" w:ascii="Times New Roman" w:hAnsi="Times New Roman" w:cs="Times New Roman"/>
                            <w:b w:val="0"/>
                            <w:i w:val="0"/>
                            <w:sz w:val="24"/>
                            <w:u w:val="none"/>
                          </w:rPr>
                          <ns8:t>,</ns8:t>
                        </ns8:r>
                        <ns8:r>
                          <ns8:rPr>
                            <ns8:nor/>
                          </ns8:rPr>
                          <w:rPr>
                            <w:rFonts w:hint="default" w:ascii="Times New Roman" w:hAnsi="Times New Roman" w:cs="Times New Roman"/>
                            <w:i/>
                            <w:sz w:val="24"/>
                            <w:u w:val="none"/>
                          </w:rPr>
                          <ns8:t>i</ns8:t>
                        </ns8:r>
                        <ns8:ctrlPr>
                          <w:rPr>
                            <w:rFonts w:hint="default" w:ascii="Cambria Math" w:hAnsi="Cambria Math" w:cs="Times New Roman"/>
                            <w:sz w:val="24"/>
                            <w:u w:val="none"/>
                          </w:rPr>
                        </ns8:ctrlPr>
                      </ns8:sub>
                    </ns8:sSub>
                    <ns8:sSup>
                      <ns8:sSupPr>
                        <ns8:ctrlPr>
                          <w:rPr>
                            <w:rFonts w:hint="default" w:ascii="Cambria Math" w:hAnsi="Cambria Math" w:cs="Times New Roman"/>
                            <w:sz w:val="24"/>
                            <w:u w:val="none"/>
                          </w:rPr>
                        </ns8:ctrlPr>
                      </ns8:sSupPr>
                      <ns8:e>
                        <ns8:r>
                          <ns8:rPr>
                            <ns8:nor/>
                            <ns8:sty ns8:val="p"/>
                          </ns8:rPr>
                          <w:rPr>
                            <w:rFonts w:hint="default" w:ascii="Times New Roman" w:hAnsi="Times New Roman" w:cs="Times New Roman"/>
                            <w:b w:val="0"/>
                            <w:i w:val="0"/>
                            <w:sz w:val="24"/>
                            <w:u w:val="none"/>
                          </w:rPr>
                          <ns8:t>)</ns8:t>
                        </ns8:r>
                        <ns8:ctrlPr>
                          <w:rPr>
                            <w:rFonts w:hint="default" w:ascii="Cambria Math" w:hAnsi="Cambria Math" w:cs="Times New Roman"/>
                            <w:sz w:val="24"/>
                            <w:u w:val="none"/>
                          </w:rPr>
                        </ns8:ctrlPr>
                      </ns8:e>
                      <ns8:sup>
                        <ns8:r>
                          <ns8:rPr>
                            <ns8:nor/>
                            <ns8:sty ns8:val="p"/>
                          </ns8:rPr>
                          <w:rPr>
                            <w:rFonts w:hint="default" w:ascii="Times New Roman" w:hAnsi="Times New Roman" w:cs="Times New Roman"/>
                            <w:b w:val="0"/>
                            <w:i w:val="0"/>
                            <w:sz w:val="24"/>
                            <w:u w:val="none"/>
                          </w:rPr>
                          <ns8:t>2</ns8:t>
                        </ns8:r>
                        <ns8:ctrlPr>
                          <w:rPr>
                            <w:rFonts w:hint="default" w:ascii="Cambria Math" w:hAnsi="Cambria Math" w:cs="Times New Roman"/>
                            <w:sz w:val="24"/>
                            <w:u w:val="none"/>
                          </w:rPr>
                        </ns8:ctrlPr>
                      </ns8:sup>
                    </ns8:sSup>
                    <ns8:ctrlPr>
                      <w:rPr>
                        <w:rFonts w:hint="default" w:ascii="Cambria Math" w:hAnsi="Cambria Math" w:cs="Times New Roman"/>
                        <w:sz w:val="24"/>
                        <w:u w:val="none"/>
                      </w:rPr>
                    </ns8:ctrlPr>
                  </ns8:e>
                </ns8:rad>
              </ns8:oMath>
            </ns8:oMathPara>
          </w:p>
        </w:tc>
        <w:tc>
          <w:tcPr>
            <w:tcW w:w="2769" w:type="dxa"/>
            <w:tcBorders>
              <w:top w:val="nil"/>
              <w:left w:val="nil"/>
              <w:bottom w:val="nil"/>
              <w:right w:val="nil"/>
            </w:tcBorders>
            <w:shd w:val="clear" w:color="auto" w:fill="FFFFFF"/>
          </w:tcPr>
          <w:p w14:paraId="11557093">
            <w:pPr>
              <w:pStyle w:val="54"/>
              <w:bidi w:val="0"/>
              <w:rPr>
                <w:rFonts w:hint="default" w:ascii="Times New Roman" w:hAnsi="Times New Roman" w:cs="Times New Roman"/>
                <w:b w:val="0"/>
              </w:rPr>
            </w:pPr>
            <w:r>
              <w:rPr>
                <w:rFonts w:hint="default" w:ascii="Times New Roman" w:hAnsi="Times New Roman" w:cs="Times New Roman"/>
                <w:b w:val="0"/>
              </w:rPr>
              <w:t>对较大 Dk 偏差更敏感，越小越好</w:t>
            </w:r>
          </w:p>
        </w:tc>
      </w:tr>
      <w:tr w14:paraId="59A2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69" w:type="dxa"/>
            <w:tcBorders>
              <w:top w:val="nil"/>
              <w:left w:val="nil"/>
              <w:bottom w:val="single" w:color="000000" w:sz="12" w:space="0"/>
              <w:right w:val="nil"/>
            </w:tcBorders>
            <w:shd w:val="clear" w:color="auto" w:fill="FFFFFF"/>
          </w:tcPr>
          <w:p w14:paraId="7D015B47">
            <w:pPr>
              <w:pStyle w:val="54"/>
              <w:bidi w:val="0"/>
              <w:rPr>
                <w:rFonts w:hint="default" w:ascii="Times New Roman" w:hAnsi="Times New Roman" w:cs="Times New Roman"/>
                <w:b w:val="0"/>
              </w:rPr>
            </w:pPr>
            <w:r>
              <w:rPr>
                <w:rFonts w:hint="default" w:ascii="Times New Roman" w:hAnsi="Times New Roman" w:cs="Times New Roman"/>
                <w:b w:val="0"/>
              </w:rPr>
              <w:t>等级准确率</w:t>
            </w:r>
          </w:p>
        </w:tc>
        <w:tc>
          <w:tcPr>
            <w:tcW w:w="2769" w:type="dxa"/>
            <w:tcBorders>
              <w:top w:val="nil"/>
              <w:left w:val="nil"/>
              <w:bottom w:val="single" w:color="000000" w:sz="12" w:space="0"/>
              <w:right w:val="nil"/>
            </w:tcBorders>
            <w:shd w:val="clear" w:color="auto" w:fill="FFFFFF"/>
          </w:tcPr>
          <w:p w14:paraId="02AF53A6">
            <w:pPr>
              <w:pStyle w:val="54"/>
              <w:bidi w:val="0"/>
              <w:rPr>
                <w:rFonts w:hint="default" w:ascii="Times New Roman" w:hAnsi="Times New Roman" w:cs="Times New Roman"/>
                <w:b w:val="0"/>
              </w:rPr>
            </w:pPr>
            <w:r>
              <w:rPr>
                <w:rFonts w:hint="default" w:ascii="Times New Roman" w:hAnsi="Times New Roman" w:cs="Times New Roman"/>
                <w:b w:val="0"/>
              </w:rPr>
              <w:t>正确等级工况数 / 总工况数</w:t>
            </w:r>
          </w:p>
        </w:tc>
        <w:tc>
          <w:tcPr>
            <w:tcW w:w="2769" w:type="dxa"/>
            <w:tcBorders>
              <w:top w:val="nil"/>
              <w:left w:val="nil"/>
              <w:bottom w:val="single" w:color="000000" w:sz="12" w:space="0"/>
              <w:right w:val="nil"/>
            </w:tcBorders>
            <w:shd w:val="clear" w:color="auto" w:fill="FFFFFF"/>
          </w:tcPr>
          <w:p w14:paraId="167E4491">
            <w:pPr>
              <w:pStyle w:val="54"/>
              <w:bidi w:val="0"/>
              <w:rPr>
                <w:rFonts w:hint="default" w:ascii="Times New Roman" w:hAnsi="Times New Roman" w:cs="Times New Roman"/>
                <w:b w:val="0"/>
              </w:rPr>
            </w:pPr>
            <w:r>
              <w:rPr>
                <w:rFonts w:hint="default" w:ascii="Times New Roman" w:hAnsi="Times New Roman" w:cs="Times New Roman"/>
                <w:b w:val="0"/>
              </w:rPr>
              <w:t>四级</w:t>
            </w:r>
            <w:r>
              <w:rPr>
                <w:rFonts w:hint="default" w:ascii="Times New Roman" w:hAnsi="Times New Roman" w:cs="Times New Roman"/>
                <w:b w:val="0"/>
                <w:lang w:eastAsia="zh-CN"/>
              </w:rPr>
              <w:t>HS</w:t>
            </w:r>
            <w:r>
              <w:rPr>
                <w:rFonts w:hint="default" w:ascii="Times New Roman" w:hAnsi="Times New Roman" w:cs="Times New Roman"/>
                <w:b w:val="0"/>
              </w:rPr>
              <w:t>判定正确的比例，越高越好</w:t>
            </w:r>
          </w:p>
        </w:tc>
      </w:tr>
    </w:tbl>
    <w:p w14:paraId="640842B0">
      <w:pPr>
        <w:pStyle w:val="3"/>
        <w:rPr>
          <w:rFonts w:hint="default" w:ascii="Times New Roman" w:hAnsi="Times New Roman" w:cs="Times New Roman"/>
        </w:rPr>
      </w:pPr>
      <w:bookmarkStart w:id="25" w:name="_Toc8583"/>
      <w:r>
        <w:rPr>
          <w:rFonts w:hint="default" w:ascii="Times New Roman" w:hAnsi="Times New Roman" w:cs="Times New Roman"/>
          <w:lang w:val="en-US" w:eastAsia="zh-CN"/>
        </w:rPr>
        <w:t>综合模型评价结果</w:t>
      </w:r>
      <w:bookmarkEnd w:id="25"/>
    </w:p>
    <w:p w14:paraId="74245C69">
      <w:pPr>
        <w:ind w:firstLine="480"/>
        <w:rPr>
          <w:rFonts w:hint="default" w:ascii="Times New Roman" w:hAnsi="Times New Roman" w:cs="Times New Roman"/>
        </w:rPr>
      </w:pPr>
      <w:r>
        <w:rPr>
          <w:rFonts w:hint="default" w:ascii="Times New Roman" w:hAnsi="Times New Roman" w:cs="Times New Roman"/>
        </w:rPr>
        <w:t>四类设施专项复核采用相同模型和评价流程。为保持三类工程报告的性能口径统一，报告采用全部设施的综合评价结果作为模型精度指标。</w:t>
      </w:r>
    </w:p>
    <w:p w14:paraId="26799C86">
      <w:pPr>
        <w:pStyle w:val="16"/>
        <w:ind w:firstLine="480"/>
        <w:rPr>
          <w:rFonts w:hint="default" w:ascii="Times New Roman" w:hAnsi="Times New Roman" w:cs="Times New Roman"/>
        </w:rPr>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2</w:t>
      </w:r>
      <w:r>
        <w:fldChar w:fldCharType="end"/>
      </w:r>
      <w:r>
        <w:rPr>
          <w:rFonts w:hint="default" w:ascii="Times New Roman" w:hAnsi="Times New Roman" w:cs="Times New Roman"/>
        </w:rPr>
        <w:t xml:space="preserve"> 综合模型评价结果</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1"/>
        <w:gridCol w:w="1661"/>
        <w:gridCol w:w="1661"/>
        <w:gridCol w:w="1661"/>
        <w:gridCol w:w="1661"/>
      </w:tblGrid>
      <w:tr w14:paraId="7786D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12" w:space="0"/>
              <w:left w:val="nil"/>
              <w:bottom w:val="single" w:color="000000" w:sz="4" w:space="0"/>
              <w:right w:val="nil"/>
              <w:tl2br w:val="nil"/>
            </w:tcBorders>
            <w:shd w:val="clear" w:color="auto" w:fill="FFFFFF"/>
          </w:tcPr>
          <w:p w14:paraId="17542E03">
            <w:pPr>
              <w:pStyle w:val="54"/>
              <w:bidi w:val="0"/>
              <w:rPr>
                <w:rFonts w:hint="default" w:ascii="Times New Roman" w:hAnsi="Times New Roman" w:cs="Times New Roman"/>
                <w:b w:val="0"/>
              </w:rPr>
            </w:pPr>
            <w:r>
              <w:rPr>
                <w:rFonts w:hint="default" w:ascii="Times New Roman" w:hAnsi="Times New Roman" w:cs="Times New Roman"/>
                <w:b w:val="0"/>
              </w:rPr>
              <w:t>评价方式</w:t>
            </w:r>
          </w:p>
        </w:tc>
        <w:tc>
          <w:tcPr>
            <w:tcW w:w="1661" w:type="dxa"/>
            <w:tcBorders>
              <w:top w:val="single" w:color="000000" w:sz="12" w:space="0"/>
              <w:left w:val="nil"/>
              <w:bottom w:val="single" w:color="000000" w:sz="4" w:space="0"/>
              <w:right w:val="nil"/>
            </w:tcBorders>
            <w:shd w:val="clear" w:color="auto" w:fill="FFFFFF"/>
          </w:tcPr>
          <w:p w14:paraId="6D636A2E">
            <w:pPr>
              <w:pStyle w:val="54"/>
              <w:bidi w:val="0"/>
              <w:rPr>
                <w:rFonts w:hint="default" w:ascii="Times New Roman" w:hAnsi="Times New Roman" w:cs="Times New Roman"/>
                <w:b w:val="0"/>
              </w:rPr>
            </w:pPr>
            <w:r>
              <w:rPr>
                <w:rFonts w:hint="default" w:ascii="Times New Roman" w:hAnsi="Times New Roman" w:cs="Times New Roman"/>
                <w:b w:val="0"/>
              </w:rPr>
              <w:t>工况数</w:t>
            </w:r>
          </w:p>
        </w:tc>
        <w:tc>
          <w:tcPr>
            <w:tcW w:w="1661" w:type="dxa"/>
            <w:tcBorders>
              <w:top w:val="single" w:color="000000" w:sz="12" w:space="0"/>
              <w:left w:val="nil"/>
              <w:bottom w:val="single" w:color="000000" w:sz="4" w:space="0"/>
              <w:right w:val="nil"/>
            </w:tcBorders>
            <w:shd w:val="clear" w:color="auto" w:fill="FFFFFF"/>
          </w:tcPr>
          <w:p w14:paraId="7ACBCB1D">
            <w:pPr>
              <w:pStyle w:val="54"/>
              <w:bidi w:val="0"/>
              <w:rPr>
                <w:rFonts w:hint="default" w:ascii="Times New Roman" w:hAnsi="Times New Roman" w:cs="Times New Roman"/>
                <w:b w:val="0"/>
              </w:rPr>
            </w:pPr>
            <w:r>
              <w:rPr>
                <w:rFonts w:hint="default" w:ascii="Times New Roman" w:hAnsi="Times New Roman" w:cs="Times New Roman"/>
                <w:b w:val="0"/>
              </w:rPr>
              <w:t>MAE</w:t>
            </w:r>
          </w:p>
        </w:tc>
        <w:tc>
          <w:tcPr>
            <w:tcW w:w="1661" w:type="dxa"/>
            <w:tcBorders>
              <w:top w:val="single" w:color="000000" w:sz="12" w:space="0"/>
              <w:left w:val="nil"/>
              <w:bottom w:val="single" w:color="000000" w:sz="4" w:space="0"/>
              <w:right w:val="nil"/>
            </w:tcBorders>
            <w:shd w:val="clear" w:color="auto" w:fill="FFFFFF"/>
          </w:tcPr>
          <w:p w14:paraId="72D2B370">
            <w:pPr>
              <w:pStyle w:val="54"/>
              <w:bidi w:val="0"/>
              <w:rPr>
                <w:rFonts w:hint="default" w:ascii="Times New Roman" w:hAnsi="Times New Roman" w:cs="Times New Roman"/>
                <w:b w:val="0"/>
              </w:rPr>
            </w:pPr>
            <w:r>
              <w:rPr>
                <w:rFonts w:hint="default" w:ascii="Times New Roman" w:hAnsi="Times New Roman" w:cs="Times New Roman"/>
                <w:b w:val="0"/>
              </w:rPr>
              <w:t>RMSE</w:t>
            </w:r>
          </w:p>
        </w:tc>
        <w:tc>
          <w:tcPr>
            <w:tcW w:w="1661" w:type="dxa"/>
            <w:tcBorders>
              <w:top w:val="single" w:color="000000" w:sz="12" w:space="0"/>
              <w:left w:val="nil"/>
              <w:bottom w:val="single" w:color="000000" w:sz="4" w:space="0"/>
              <w:right w:val="nil"/>
            </w:tcBorders>
            <w:shd w:val="clear" w:color="auto" w:fill="FFFFFF"/>
          </w:tcPr>
          <w:p w14:paraId="1423C02C">
            <w:pPr>
              <w:pStyle w:val="54"/>
              <w:bidi w:val="0"/>
              <w:rPr>
                <w:rFonts w:hint="default" w:ascii="Times New Roman" w:hAnsi="Times New Roman" w:cs="Times New Roman"/>
                <w:b w:val="0"/>
              </w:rPr>
            </w:pPr>
            <w:r>
              <w:rPr>
                <w:rFonts w:hint="default" w:ascii="Times New Roman" w:hAnsi="Times New Roman" w:cs="Times New Roman"/>
                <w:b w:val="0"/>
              </w:rPr>
              <w:t>等级准确率</w:t>
            </w:r>
          </w:p>
        </w:tc>
      </w:tr>
      <w:tr w14:paraId="404F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single" w:color="000000" w:sz="4" w:space="0"/>
              <w:left w:val="nil"/>
              <w:bottom w:val="nil"/>
              <w:right w:val="nil"/>
            </w:tcBorders>
            <w:shd w:val="clear" w:color="auto" w:fill="FFFFFF"/>
            <w:vAlign w:val="top"/>
          </w:tcPr>
          <w:p>
            <w:r>
              <w:t>五折交叉验证</w:t>
            </w:r>
          </w:p>
        </w:tc>
        <w:tc>
          <w:tcPr>
            <w:tcW w:w="1661" w:type="dxa"/>
            <w:tcBorders>
              <w:top w:val="single" w:color="000000" w:sz="4" w:space="0"/>
              <w:left w:val="nil"/>
              <w:bottom w:val="nil"/>
              <w:right w:val="nil"/>
            </w:tcBorders>
            <w:shd w:val="clear" w:color="auto" w:fill="FFFFFF"/>
            <w:vAlign w:val="top"/>
          </w:tcPr>
          <w:p>
            <w:r>
              <w:t>6558</w:t>
            </w:r>
          </w:p>
        </w:tc>
        <w:tc>
          <w:tcPr>
            <w:tcW w:w="1661" w:type="dxa"/>
            <w:tcBorders>
              <w:top w:val="single" w:color="000000" w:sz="4" w:space="0"/>
              <w:left w:val="nil"/>
              <w:bottom w:val="nil"/>
              <w:right w:val="nil"/>
            </w:tcBorders>
            <w:shd w:val="clear" w:color="auto" w:fill="FFFFFF"/>
            <w:vAlign w:val="top"/>
          </w:tcPr>
          <w:p>
            <w:r>
              <w:t>0.0102</w:t>
            </w:r>
          </w:p>
        </w:tc>
        <w:tc>
          <w:tcPr>
            <w:tcW w:w="1661" w:type="dxa"/>
            <w:tcBorders>
              <w:top w:val="single" w:color="000000" w:sz="4" w:space="0"/>
              <w:left w:val="nil"/>
              <w:bottom w:val="nil"/>
              <w:right w:val="nil"/>
            </w:tcBorders>
            <w:shd w:val="clear" w:color="auto" w:fill="FFFFFF"/>
            <w:vAlign w:val="top"/>
          </w:tcPr>
          <w:p>
            <w:r>
              <w:t>0.0462</w:t>
            </w:r>
          </w:p>
        </w:tc>
        <w:tc>
          <w:tcPr>
            <w:tcW w:w="1661" w:type="dxa"/>
            <w:tcBorders>
              <w:top w:val="single" w:color="000000" w:sz="4" w:space="0"/>
              <w:left w:val="nil"/>
              <w:bottom w:val="nil"/>
              <w:right w:val="nil"/>
            </w:tcBorders>
            <w:shd w:val="clear" w:color="auto" w:fill="FFFFFF"/>
            <w:vAlign w:val="top"/>
          </w:tcPr>
          <w:p>
            <w:r>
              <w:t>95.9591%</w:t>
            </w:r>
          </w:p>
        </w:tc>
      </w:tr>
      <w:tr w14:paraId="2F6B0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1" w:type="dxa"/>
            <w:tcBorders>
              <w:top w:val="nil"/>
              <w:left w:val="nil"/>
              <w:bottom w:val="single" w:color="000000" w:sz="12" w:space="0"/>
              <w:right w:val="nil"/>
            </w:tcBorders>
            <w:shd w:val="clear" w:color="auto" w:fill="FFFFFF"/>
            <w:vAlign w:val="top"/>
          </w:tcPr>
          <w:p>
            <w:r>
              <w:t>独立测试</w:t>
            </w:r>
          </w:p>
        </w:tc>
        <w:tc>
          <w:tcPr>
            <w:tcW w:w="1661" w:type="dxa"/>
            <w:tcBorders>
              <w:top w:val="nil"/>
              <w:left w:val="nil"/>
              <w:bottom w:val="single" w:color="000000" w:sz="12" w:space="0"/>
              <w:right w:val="nil"/>
            </w:tcBorders>
            <w:shd w:val="clear" w:color="auto" w:fill="FFFFFF"/>
            <w:vAlign w:val="top"/>
          </w:tcPr>
          <w:p>
            <w:r>
              <w:t>1325</w:t>
            </w:r>
          </w:p>
        </w:tc>
        <w:tc>
          <w:tcPr>
            <w:tcW w:w="1661" w:type="dxa"/>
            <w:tcBorders>
              <w:top w:val="nil"/>
              <w:left w:val="nil"/>
              <w:bottom w:val="single" w:color="000000" w:sz="12" w:space="0"/>
              <w:right w:val="nil"/>
            </w:tcBorders>
            <w:shd w:val="clear" w:color="auto" w:fill="FFFFFF"/>
            <w:vAlign w:val="top"/>
          </w:tcPr>
          <w:p>
            <w:r>
              <w:t>0.0084</w:t>
            </w:r>
          </w:p>
        </w:tc>
        <w:tc>
          <w:tcPr>
            <w:tcW w:w="1661" w:type="dxa"/>
            <w:tcBorders>
              <w:top w:val="nil"/>
              <w:left w:val="nil"/>
              <w:bottom w:val="single" w:color="000000" w:sz="12" w:space="0"/>
              <w:right w:val="nil"/>
            </w:tcBorders>
            <w:shd w:val="clear" w:color="auto" w:fill="FFFFFF"/>
            <w:vAlign w:val="top"/>
          </w:tcPr>
          <w:p>
            <w:r>
              <w:t>0.0372</w:t>
            </w:r>
          </w:p>
        </w:tc>
        <w:tc>
          <w:tcPr>
            <w:tcW w:w="1661" w:type="dxa"/>
            <w:tcBorders>
              <w:top w:val="nil"/>
              <w:left w:val="nil"/>
              <w:bottom w:val="single" w:color="000000" w:sz="12" w:space="0"/>
              <w:right w:val="nil"/>
            </w:tcBorders>
            <w:shd w:val="clear" w:color="auto" w:fill="FFFFFF"/>
            <w:vAlign w:val="top"/>
          </w:tcPr>
          <w:p>
            <w:r>
              <w:t>97.2075%</w:t>
            </w:r>
          </w:p>
        </w:tc>
      </w:tr>
    </w:tbl>
    <w:p w14:paraId="377E7EDA">
      <w:pPr>
        <w:ind w:firstLine="480"/>
        <w:rPr>
          <w:rFonts w:hint="default" w:ascii="Times New Roman" w:hAnsi="Times New Roman" w:cs="Times New Roman"/>
        </w:rPr>
      </w:pPr>
      <w:r>
        <w:rPr>
          <w:rFonts w:hint="default" w:ascii="Times New Roman" w:hAnsi="Times New Roman" w:cs="Times New Roman"/>
        </w:rPr>
        <w:t>五折和独立测试的等级准确率均超过 95%，且两者差异较小，表明模型在不同划分方式下保持了较稳定的四级损伤判定能力。独立测试 MAE 为 0.0084，说明连续 Dk 的平均绝对偏差约为 0.009；RMSE 高于 MAE，反映少量工况存在相对较大的连续值偏差。</w:t>
      </w:r>
      <w:r>
        <w:rPr>
          <w:rFonts w:hint="default" w:ascii="Times New Roman" w:hAnsi="Times New Roman" w:cs="Times New Roman"/>
          <w:vertAlign w:val="subscript"/>
        </w:rPr>
      </w:r>
      <w:r>
        <w:rPr>
          <w:rFonts w:hint="default" w:ascii="Times New Roman" w:hAnsi="Times New Roman" w:cs="Times New Roman"/>
        </w:rPr>
      </w:r>
    </w:p>
    <w:p w14:paraId="5CEA857E">
      <w:pPr>
        <w:pStyle w:val="54"/>
        <w:bidi w:val="0"/>
        <w:rPr>
          <w:rFonts w:hint="default" w:ascii="Times New Roman" w:hAnsi="Times New Roman" w:cs="Times New Roman"/>
        </w:rPr>
      </w:pPr>
      <w:r>
        <w:drawing>
          <wp:inline distT="0" distB="0" distL="114300" distR="114300">
            <wp:extent cx="4697095" cy="4216400"/>
            <wp:effectExtent l="0" t="0" r="8255" b="12700"/>
            <wp:docPr id="71" name="Picture" descr="图 2 冶金设施五折交叉验证等级混淆矩阵"/>
            <wp:cNvGraphicFramePr>
              <a:graphicFrameLocks noChangeAspect="1"/>
            </wp:cNvGraphicFramePr>
            <a:graphic>
              <a:graphicData uri="http://schemas.openxmlformats.org/drawingml/2006/picture">
                <pic:pic>
                  <pic:nvPicPr>
                    <pic:cNvPr id="71" name="Picture" descr="图 2 冶金设施五折交叉验证等级混淆矩阵"/>
                    <pic:cNvPicPr>
                      <a:picLocks noChangeAspect="1" noChangeArrowheads="1"/>
                    </pic:cNvPicPr>
                  </pic:nvPicPr>
                  <pic:blipFill>
                    <a:blip r:embed="rId14"/>
                    <a:srcRect l="10880"/>
                    <a:stretch>
                      <a:fillRect/>
                    </a:stretch>
                  </pic:blipFill>
                  <pic:spPr>
                    <a:xfrm>
                      <a:off x="0" y="0"/>
                      <a:ext cx="4697095" cy="4216400"/>
                    </a:xfrm>
                    <a:prstGeom prst="rect">
                      <a:avLst/>
                    </a:prstGeom>
                    <a:noFill/>
                    <a:ln w="9525">
                      <a:noFill/>
                    </a:ln>
                  </pic:spPr>
                </pic:pic>
              </a:graphicData>
            </a:graphic>
          </wp:inline>
        </w:drawing>
      </w:r>
    </w:p>
    <w:p w14:paraId="5CE8D93C">
      <w:pPr>
        <w:pStyle w:val="16"/>
        <w:ind w:firstLine="480"/>
        <w:rPr>
          <w:rFonts w:hint="default" w:ascii="Times New Roman" w:hAnsi="Times New Roman" w:cs="Times New Roman"/>
        </w:rPr>
      </w:pPr>
      <w:r>
        <w:t xml:space="preserve">图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rPr>
        <w:t xml:space="preserve"> 五折交叉验证等级混淆矩阵</w:t>
      </w:r>
    </w:p>
    <w:p w14:paraId="33903E95">
      <w:pPr>
        <w:pStyle w:val="3"/>
        <w:rPr>
          <w:rFonts w:hint="default" w:ascii="Times New Roman" w:hAnsi="Times New Roman" w:cs="Times New Roman"/>
        </w:rPr>
      </w:pPr>
      <w:bookmarkStart w:id="26" w:name="_Toc23875"/>
      <w:r>
        <w:rPr>
          <w:rFonts w:hint="default" w:ascii="Times New Roman" w:hAnsi="Times New Roman" w:cs="Times New Roman"/>
        </w:rPr>
        <w:t>模型性能评估</w:t>
      </w:r>
      <w:bookmarkEnd w:id="26"/>
    </w:p>
    <w:p w14:paraId="3277C3A0">
      <w:pPr>
        <w:ind w:firstLine="480"/>
        <w:rPr>
          <w:rFonts w:hint="default" w:ascii="Times New Roman" w:hAnsi="Times New Roman" w:cs="Times New Roman"/>
        </w:rPr>
      </w:pPr>
      <w:r>
        <w:rPr>
          <w:rFonts w:hint="eastAsia" w:ascii="Times New Roman" w:hAnsi="Times New Roman" w:cs="Times New Roman"/>
          <w:lang w:val="en-US" w:eastAsia="zh-CN"/>
        </w:rPr>
        <w:t>机械制造与的功能、建筑开口和高价值目标组合更复杂，专项应用采用逐设施模型与 FDS 复核相结合的工程流程。模型直接输出连续 Dk 和四级损伤结果；对于等级边界附近或方向响应不稳定的工况，程序提示转入 FDS 精细计算，避免低置信度边界工况被直接输出为确定等级。</w:t>
      </w:r>
    </w:p>
    <w:p w14:paraId="12FE12EA">
      <w:pPr>
        <w:pStyle w:val="16"/>
        <w:bidi w:val="0"/>
      </w:pPr>
      <w:r>
        <w:t xml:space="preserve">表 </w:t>
      </w:r>
      <w:r>
        <w:fldChar w:fldCharType="begin"/>
      </w:r>
      <w:r>
        <w:instrText xml:space="preserve"> STYLEREF 1 \s </w:instrText>
      </w:r>
      <w:r>
        <w:fldChar w:fldCharType="separate"/>
      </w:r>
      <w:r>
        <w:t>5</w:t>
      </w:r>
      <w:r>
        <w:fldChar w:fldCharType="end"/>
      </w:r>
      <w:r>
        <w:rPr>
          <w:rFonts w:hint="eastAsia"/>
          <w:lang w:eastAsia="zh-CN"/>
        </w:rPr>
        <w:t>-</w:t>
      </w:r>
      <w:r>
        <w:fldChar w:fldCharType="begin"/>
      </w:r>
      <w:r>
        <w:instrText xml:space="preserve"> SEQ 表 \* ARABIC \s 1 </w:instrText>
      </w:r>
      <w:r>
        <w:fldChar w:fldCharType="separate"/>
      </w:r>
      <w:r>
        <w:t>3</w:t>
      </w:r>
      <w:r>
        <w:fldChar w:fldCharType="end"/>
      </w:r>
      <w:r>
        <w:t xml:space="preserve"> </w:t>
      </w:r>
      <w:r>
        <w:rPr>
          <w:rFonts w:hint="eastAsia"/>
        </w:rPr>
        <w:t>冶金设施独立测试结果</w:t>
      </w:r>
    </w:p>
    <w:tbl>
      <w:tblPr>
        <w:tblStyle w:val="12"/>
        <w:tblW w:w="4998" w:type="pct"/>
        <w:tblInd w:w="0" w:type="dxa"/>
        <w:tblLayout w:type="autofit"/>
        <w:tblCellMar>
          <w:top w:w="0" w:type="dxa"/>
          <w:left w:w="108" w:type="dxa"/>
          <w:bottom w:w="0" w:type="dxa"/>
          <w:right w:w="108" w:type="dxa"/>
        </w:tblCellMar>
      </w:tblPr>
      <w:tblGrid>
        <w:gridCol w:w="3682"/>
        <w:gridCol w:w="1684"/>
        <w:gridCol w:w="1684"/>
        <w:gridCol w:w="1469"/>
      </w:tblGrid>
      <w:tr w14:paraId="65CE31A7">
        <w:tblPrEx>
          <w:tblCellMar>
            <w:top w:w="0" w:type="dxa"/>
            <w:left w:w="108" w:type="dxa"/>
            <w:bottom w:w="0" w:type="dxa"/>
            <w:right w:w="108" w:type="dxa"/>
          </w:tblCellMar>
        </w:tblPrEx>
        <w:trPr>
          <w:tblHeader/>
        </w:trPr>
        <w:tc>
          <w:tcPr>
            <w:tcW w:w="2160" w:type="pct"/>
            <w:tcBorders>
              <w:top w:val="single" w:color="000000" w:sz="12" w:space="0"/>
              <w:left w:val="nil"/>
              <w:bottom w:val="single" w:color="000000" w:sz="4" w:space="0"/>
              <w:right w:val="nil"/>
              <w:tl2br w:val="nil"/>
            </w:tcBorders>
            <w:shd w:val="clear" w:color="auto" w:fill="FFFFFF"/>
          </w:tcPr>
          <w:p w14:paraId="17E31F73">
            <w:pPr>
              <w:pStyle w:val="54"/>
              <w:bidi w:val="0"/>
              <w:rPr>
                <w:b w:val="0"/>
              </w:rPr>
            </w:pPr>
            <w:r>
              <w:rPr>
                <w:rFonts w:hint="eastAsia"/>
                <w:b w:val="0"/>
              </w:rPr>
              <w:t>设施名称</w:t>
            </w:r>
          </w:p>
        </w:tc>
        <w:tc>
          <w:tcPr>
            <w:tcW w:w="988" w:type="pct"/>
            <w:tcBorders>
              <w:top w:val="single" w:color="000000" w:sz="12" w:space="0"/>
              <w:left w:val="nil"/>
              <w:bottom w:val="single" w:color="000000" w:sz="4" w:space="0"/>
              <w:right w:val="nil"/>
            </w:tcBorders>
            <w:shd w:val="clear" w:color="auto" w:fill="FFFFFF"/>
          </w:tcPr>
          <w:p w14:paraId="1221A556">
            <w:pPr>
              <w:pStyle w:val="54"/>
              <w:bidi w:val="0"/>
              <w:rPr>
                <w:b w:val="0"/>
              </w:rPr>
            </w:pPr>
            <w:r>
              <w:rPr>
                <w:rFonts w:hint="eastAsia"/>
                <w:b w:val="0"/>
              </w:rPr>
              <w:t>测试工况数</w:t>
            </w:r>
          </w:p>
        </w:tc>
        <w:tc>
          <w:tcPr>
            <w:tcW w:w="988" w:type="pct"/>
            <w:tcBorders>
              <w:top w:val="single" w:color="000000" w:sz="12" w:space="0"/>
              <w:left w:val="nil"/>
              <w:bottom w:val="single" w:color="000000" w:sz="4" w:space="0"/>
              <w:right w:val="nil"/>
            </w:tcBorders>
            <w:shd w:val="clear" w:color="auto" w:fill="FFFFFF"/>
          </w:tcPr>
          <w:p w14:paraId="2A13C0C3">
            <w:pPr>
              <w:pStyle w:val="54"/>
              <w:bidi w:val="0"/>
              <w:rPr>
                <w:b w:val="0"/>
              </w:rPr>
            </w:pPr>
            <w:r>
              <w:rPr>
                <w:rFonts w:hint="eastAsia"/>
                <w:b w:val="0"/>
              </w:rPr>
              <w:t>等级准确率</w:t>
            </w:r>
          </w:p>
        </w:tc>
        <w:tc>
          <w:tcPr>
            <w:tcW w:w="862" w:type="pct"/>
            <w:tcBorders>
              <w:top w:val="single" w:color="000000" w:sz="12" w:space="0"/>
              <w:left w:val="nil"/>
              <w:bottom w:val="single" w:color="000000" w:sz="4" w:space="0"/>
              <w:right w:val="nil"/>
            </w:tcBorders>
            <w:shd w:val="clear" w:color="auto" w:fill="FFFFFF"/>
          </w:tcPr>
          <w:p w14:paraId="203E825E">
            <w:pPr>
              <w:pStyle w:val="54"/>
              <w:bidi w:val="0"/>
              <w:rPr>
                <w:b w:val="0"/>
              </w:rPr>
            </w:pPr>
            <w:r>
              <w:rPr>
                <w:b w:val="0"/>
              </w:rPr>
              <w:t>MAE</w:t>
            </w:r>
          </w:p>
        </w:tc>
      </w:tr>
      <w:tr w14:paraId="4E529014">
        <w:tblPrEx>
          <w:tblCellMar>
            <w:top w:w="0" w:type="dxa"/>
            <w:left w:w="108" w:type="dxa"/>
            <w:bottom w:w="0" w:type="dxa"/>
            <w:right w:w="108" w:type="dxa"/>
          </w:tblCellMar>
        </w:tblPrEx>
        <w:tc>
          <w:tcPr>
            <w:tcW w:w="2160" w:type="pct"/>
            <w:tcBorders>
              <w:top w:val="single" w:color="000000" w:sz="4" w:space="0"/>
              <w:left w:val="nil"/>
              <w:bottom w:val="nil"/>
              <w:right w:val="nil"/>
            </w:tcBorders>
            <w:shd w:val="clear" w:color="auto" w:fill="FFFFFF"/>
          </w:tcPr>
          <w:p>
            <w:r>
              <w:t>冶金-电解厂</w:t>
            </w:r>
          </w:p>
        </w:tc>
        <w:tc>
          <w:tcPr>
            <w:tcW w:w="988" w:type="pct"/>
            <w:tcBorders>
              <w:top w:val="single" w:color="000000" w:sz="4" w:space="0"/>
              <w:left w:val="nil"/>
              <w:bottom w:val="nil"/>
              <w:right w:val="nil"/>
            </w:tcBorders>
            <w:shd w:val="clear" w:color="auto" w:fill="FFFFFF"/>
          </w:tcPr>
          <w:p>
            <w:r>
              <w:t>18</w:t>
            </w:r>
          </w:p>
        </w:tc>
        <w:tc>
          <w:tcPr>
            <w:tcW w:w="988" w:type="pct"/>
            <w:tcBorders>
              <w:top w:val="single" w:color="000000" w:sz="4" w:space="0"/>
              <w:left w:val="nil"/>
              <w:bottom w:val="nil"/>
              <w:right w:val="nil"/>
            </w:tcBorders>
            <w:shd w:val="clear" w:color="auto" w:fill="FFFFFF"/>
          </w:tcPr>
          <w:p>
            <w:r>
              <w:t>100.0000%</w:t>
            </w:r>
          </w:p>
        </w:tc>
        <w:tc>
          <w:tcPr>
            <w:tcW w:w="862" w:type="pct"/>
            <w:tcBorders>
              <w:top w:val="single" w:color="000000" w:sz="4" w:space="0"/>
              <w:left w:val="nil"/>
              <w:bottom w:val="nil"/>
              <w:right w:val="nil"/>
            </w:tcBorders>
            <w:shd w:val="clear" w:color="auto" w:fill="FFFFFF"/>
          </w:tcPr>
          <w:p>
            <w:r>
              <w:t>0.000006</w:t>
            </w:r>
          </w:p>
        </w:tc>
      </w:tr>
      <w:tr w14:paraId="05ED0A96">
        <w:tblPrEx>
          <w:tblCellMar>
            <w:top w:w="0" w:type="dxa"/>
            <w:left w:w="108" w:type="dxa"/>
            <w:bottom w:w="0" w:type="dxa"/>
            <w:right w:w="108" w:type="dxa"/>
          </w:tblCellMar>
        </w:tblPrEx>
        <w:tc>
          <w:tcPr>
            <w:tcW w:w="2160" w:type="pct"/>
            <w:tcBorders>
              <w:top w:val="nil"/>
              <w:left w:val="nil"/>
              <w:bottom w:val="nil"/>
              <w:right w:val="nil"/>
            </w:tcBorders>
            <w:shd w:val="clear" w:color="auto" w:fill="FFFFFF"/>
          </w:tcPr>
          <w:p>
            <w:r>
              <w:t>冶金-金精炼</w:t>
            </w:r>
          </w:p>
        </w:tc>
        <w:tc>
          <w:tcPr>
            <w:tcW w:w="988" w:type="pct"/>
            <w:tcBorders>
              <w:top w:val="nil"/>
              <w:left w:val="nil"/>
              <w:bottom w:val="nil"/>
              <w:right w:val="nil"/>
            </w:tcBorders>
            <w:shd w:val="clear" w:color="auto" w:fill="FFFFFF"/>
          </w:tcPr>
          <w:p>
            <w:r>
              <w:t>46</w:t>
            </w:r>
          </w:p>
        </w:tc>
        <w:tc>
          <w:tcPr>
            <w:tcW w:w="988" w:type="pct"/>
            <w:tcBorders>
              <w:top w:val="nil"/>
              <w:left w:val="nil"/>
              <w:bottom w:val="nil"/>
              <w:right w:val="nil"/>
            </w:tcBorders>
            <w:shd w:val="clear" w:color="auto" w:fill="FFFFFF"/>
          </w:tcPr>
          <w:p>
            <w:r>
              <w:t>97.8261%</w:t>
            </w:r>
          </w:p>
        </w:tc>
        <w:tc>
          <w:tcPr>
            <w:tcW w:w="862" w:type="pct"/>
            <w:tcBorders>
              <w:top w:val="nil"/>
              <w:left w:val="nil"/>
              <w:bottom w:val="nil"/>
              <w:right w:val="nil"/>
            </w:tcBorders>
            <w:shd w:val="clear" w:color="auto" w:fill="FFFFFF"/>
          </w:tcPr>
          <w:p>
            <w:r>
              <w:t>0.001620</w:t>
            </w:r>
          </w:p>
        </w:tc>
      </w:tr>
      <w:tr w14:paraId="0148F98D">
        <w:tc>
          <w:tcPr>
            <w:tcW w:w="2160" w:type="pct"/>
            <w:tcBorders>
              <w:top w:val="nil"/>
              <w:left w:val="nil"/>
              <w:bottom w:val="nil"/>
              <w:right w:val="nil"/>
            </w:tcBorders>
            <w:shd w:val="clear" w:color="auto" w:fill="FFFFFF"/>
          </w:tcPr>
          <w:p>
            <w:r>
              <w:t>冶金-钽精炼</w:t>
            </w:r>
          </w:p>
        </w:tc>
        <w:tc>
          <w:tcPr>
            <w:tcW w:w="988" w:type="pct"/>
            <w:tcBorders>
              <w:top w:val="nil"/>
              <w:left w:val="nil"/>
              <w:bottom w:val="nil"/>
              <w:right w:val="nil"/>
            </w:tcBorders>
            <w:shd w:val="clear" w:color="auto" w:fill="FFFFFF"/>
          </w:tcPr>
          <w:p>
            <w:r>
              <w:t>47</w:t>
            </w:r>
          </w:p>
        </w:tc>
        <w:tc>
          <w:tcPr>
            <w:tcW w:w="988" w:type="pct"/>
            <w:tcBorders>
              <w:top w:val="nil"/>
              <w:left w:val="nil"/>
              <w:bottom w:val="nil"/>
              <w:right w:val="nil"/>
            </w:tcBorders>
            <w:shd w:val="clear" w:color="auto" w:fill="FFFFFF"/>
          </w:tcPr>
          <w:p>
            <w:r>
              <w:t>100.0000%</w:t>
            </w:r>
          </w:p>
        </w:tc>
        <w:tc>
          <w:tcPr>
            <w:tcW w:w="862" w:type="pct"/>
            <w:tcBorders>
              <w:top w:val="nil"/>
              <w:left w:val="nil"/>
              <w:bottom w:val="nil"/>
              <w:right w:val="nil"/>
            </w:tcBorders>
            <w:shd w:val="clear" w:color="auto" w:fill="FFFFFF"/>
          </w:tcPr>
          <w:p>
            <w:r>
              <w:t>0.002396</w:t>
            </w:r>
          </w:p>
        </w:tc>
      </w:tr>
      <w:tr w14:paraId="60A5464C">
        <w:tblPrEx>
          <w:tblCellMar>
            <w:top w:w="0" w:type="dxa"/>
            <w:left w:w="108" w:type="dxa"/>
            <w:bottom w:w="0" w:type="dxa"/>
            <w:right w:w="108" w:type="dxa"/>
          </w:tblCellMar>
        </w:tblPrEx>
        <w:tc>
          <w:tcPr>
            <w:tcW w:w="2160" w:type="pct"/>
            <w:tcBorders>
              <w:top w:val="nil"/>
              <w:left w:val="nil"/>
              <w:bottom w:val="nil"/>
              <w:right w:val="nil"/>
            </w:tcBorders>
            <w:shd w:val="clear" w:color="auto" w:fill="FFFFFF"/>
          </w:tcPr>
          <w:p w14:paraId="61A0F0F7">
            <w:pPr>
              <w:pStyle w:val="54"/>
              <w:bidi w:val="0"/>
              <w:rPr>
                <w:b w:val="0"/>
              </w:rPr>
            </w:pPr>
            <w:r>
              <w:rPr>
                <w:rFonts w:hint="eastAsia"/>
                <w:b w:val="0"/>
              </w:rPr>
              <w:t>大型冶金等效设施</w:t>
            </w:r>
          </w:p>
        </w:tc>
        <w:tc>
          <w:tcPr>
            <w:tcW w:w="988" w:type="pct"/>
            <w:tcBorders>
              <w:top w:val="nil"/>
              <w:left w:val="nil"/>
              <w:bottom w:val="nil"/>
              <w:right w:val="nil"/>
            </w:tcBorders>
            <w:shd w:val="clear" w:color="auto" w:fill="FFFFFF"/>
          </w:tcPr>
          <w:p>
            <w:r>
              <w:t>56</w:t>
            </w:r>
          </w:p>
        </w:tc>
        <w:tc>
          <w:tcPr>
            <w:tcW w:w="988" w:type="pct"/>
            <w:tcBorders>
              <w:top w:val="nil"/>
              <w:left w:val="nil"/>
              <w:bottom w:val="nil"/>
              <w:right w:val="nil"/>
            </w:tcBorders>
            <w:shd w:val="clear" w:color="auto" w:fill="FFFFFF"/>
          </w:tcPr>
          <w:p>
            <w:r>
              <w:t>96.4286%</w:t>
            </w:r>
          </w:p>
        </w:tc>
        <w:tc>
          <w:tcPr>
            <w:tcW w:w="862" w:type="pct"/>
            <w:tcBorders>
              <w:top w:val="nil"/>
              <w:left w:val="nil"/>
              <w:bottom w:val="nil"/>
              <w:right w:val="nil"/>
            </w:tcBorders>
            <w:shd w:val="clear" w:color="auto" w:fill="FFFFFF"/>
          </w:tcPr>
          <w:p>
            <w:r>
              <w:t>0.003782</w:t>
            </w:r>
          </w:p>
        </w:tc>
      </w:tr>
      <w:tr w14:paraId="0B9A9C61">
        <w:tblPrEx>
          <w:tblCellMar>
            <w:top w:w="0" w:type="dxa"/>
            <w:left w:w="108" w:type="dxa"/>
            <w:bottom w:w="0" w:type="dxa"/>
            <w:right w:w="108" w:type="dxa"/>
          </w:tblCellMar>
        </w:tblPrEx>
        <w:tc>
          <w:tcPr>
            <w:tcW w:w="2160" w:type="pct"/>
            <w:tcBorders>
              <w:top w:val="nil"/>
              <w:left w:val="nil"/>
              <w:bottom w:val="nil"/>
              <w:right w:val="nil"/>
            </w:tcBorders>
            <w:shd w:val="clear" w:color="auto" w:fill="FFFFFF"/>
          </w:tcPr>
          <w:p w14:paraId="5D95715F">
            <w:pPr>
              <w:pStyle w:val="54"/>
              <w:bidi w:val="0"/>
              <w:rPr>
                <w:b w:val="0"/>
              </w:rPr>
            </w:pPr>
            <w:r>
              <w:rPr>
                <w:rFonts w:hint="eastAsia"/>
                <w:b w:val="0"/>
              </w:rPr>
              <w:t>中型冶金等效设施</w:t>
            </w:r>
          </w:p>
        </w:tc>
        <w:tc>
          <w:tcPr>
            <w:tcW w:w="988" w:type="pct"/>
            <w:tcBorders>
              <w:top w:val="nil"/>
              <w:left w:val="nil"/>
              <w:bottom w:val="nil"/>
              <w:right w:val="nil"/>
            </w:tcBorders>
            <w:shd w:val="clear" w:color="auto" w:fill="FFFFFF"/>
          </w:tcPr>
          <w:p>
            <w:r>
              <w:t>41</w:t>
            </w:r>
          </w:p>
        </w:tc>
        <w:tc>
          <w:tcPr>
            <w:tcW w:w="988" w:type="pct"/>
            <w:tcBorders>
              <w:top w:val="nil"/>
              <w:left w:val="nil"/>
              <w:bottom w:val="nil"/>
              <w:right w:val="nil"/>
            </w:tcBorders>
            <w:shd w:val="clear" w:color="auto" w:fill="FFFFFF"/>
          </w:tcPr>
          <w:p>
            <w:r>
              <w:t>97.5610%</w:t>
            </w:r>
          </w:p>
        </w:tc>
        <w:tc>
          <w:tcPr>
            <w:tcW w:w="862" w:type="pct"/>
            <w:tcBorders>
              <w:top w:val="nil"/>
              <w:left w:val="nil"/>
              <w:bottom w:val="nil"/>
              <w:right w:val="nil"/>
            </w:tcBorders>
            <w:shd w:val="clear" w:color="auto" w:fill="FFFFFF"/>
          </w:tcPr>
          <w:p>
            <w:r>
              <w:t>0.004472</w:t>
            </w:r>
          </w:p>
        </w:tc>
      </w:tr>
      <w:tr w14:paraId="55CDDF69">
        <w:tblPrEx>
          <w:tblCellMar>
            <w:top w:w="0" w:type="dxa"/>
            <w:left w:w="108" w:type="dxa"/>
            <w:bottom w:w="0" w:type="dxa"/>
            <w:right w:w="108" w:type="dxa"/>
          </w:tblCellMar>
        </w:tblPrEx>
        <w:tc>
          <w:tcPr>
            <w:tcW w:w="2160" w:type="pct"/>
            <w:tcBorders>
              <w:top w:val="nil"/>
              <w:left w:val="nil"/>
              <w:bottom w:val="nil"/>
              <w:right w:val="nil"/>
            </w:tcBorders>
            <w:shd w:val="clear" w:color="auto" w:fill="FFFFFF"/>
          </w:tcPr>
          <w:p w14:paraId="06DB3FB8">
            <w:pPr>
              <w:pStyle w:val="54"/>
              <w:bidi w:val="0"/>
              <w:rPr>
                <w:b w:val="0"/>
              </w:rPr>
            </w:pPr>
            <w:r>
              <w:rPr>
                <w:rFonts w:hint="eastAsia"/>
                <w:b w:val="0"/>
              </w:rPr>
              <w:t>小型冶金等效设施</w:t>
            </w:r>
          </w:p>
        </w:tc>
        <w:tc>
          <w:tcPr>
            <w:tcW w:w="988" w:type="pct"/>
            <w:tcBorders>
              <w:top w:val="nil"/>
              <w:left w:val="nil"/>
              <w:bottom w:val="nil"/>
              <w:right w:val="nil"/>
            </w:tcBorders>
            <w:shd w:val="clear" w:color="auto" w:fill="FFFFFF"/>
          </w:tcPr>
          <w:p>
            <w:r>
              <w:t>22</w:t>
            </w:r>
          </w:p>
        </w:tc>
        <w:tc>
          <w:tcPr>
            <w:tcW w:w="988" w:type="pct"/>
            <w:tcBorders>
              <w:top w:val="nil"/>
              <w:left w:val="nil"/>
              <w:bottom w:val="nil"/>
              <w:right w:val="nil"/>
            </w:tcBorders>
            <w:shd w:val="clear" w:color="auto" w:fill="FFFFFF"/>
          </w:tcPr>
          <w:p>
            <w:r>
              <w:t>100.0000%</w:t>
            </w:r>
          </w:p>
        </w:tc>
        <w:tc>
          <w:tcPr>
            <w:tcW w:w="862" w:type="pct"/>
            <w:tcBorders>
              <w:top w:val="nil"/>
              <w:left w:val="nil"/>
              <w:bottom w:val="nil"/>
              <w:right w:val="nil"/>
            </w:tcBorders>
            <w:shd w:val="clear" w:color="auto" w:fill="FFFFFF"/>
          </w:tcPr>
          <w:p>
            <w:r>
              <w:t>0.000968</w:t>
            </w:r>
          </w:p>
        </w:tc>
      </w:tr>
      <w:tr w14:paraId="6DF4D065">
        <w:tc>
          <w:tcPr>
            <w:tcW w:w="2160" w:type="pct"/>
            <w:tcBorders>
              <w:top w:val="nil"/>
              <w:left w:val="nil"/>
              <w:bottom w:val="nil"/>
              <w:right w:val="nil"/>
            </w:tcBorders>
            <w:shd w:val="clear" w:color="auto" w:fill="FFFFFF"/>
          </w:tcPr>
          <w:p>
            <w:r>
              <w:t>冶金-发电厂</w:t>
            </w:r>
          </w:p>
        </w:tc>
        <w:tc>
          <w:tcPr>
            <w:tcW w:w="988" w:type="pct"/>
            <w:tcBorders>
              <w:top w:val="nil"/>
              <w:left w:val="nil"/>
              <w:bottom w:val="nil"/>
              <w:right w:val="nil"/>
            </w:tcBorders>
            <w:shd w:val="clear" w:color="auto" w:fill="FFFFFF"/>
          </w:tcPr>
          <w:p>
            <w:r>
              <w:t>39</w:t>
            </w:r>
          </w:p>
        </w:tc>
        <w:tc>
          <w:tcPr>
            <w:tcW w:w="988" w:type="pct"/>
            <w:tcBorders>
              <w:top w:val="nil"/>
              <w:left w:val="nil"/>
              <w:bottom w:val="nil"/>
              <w:right w:val="nil"/>
            </w:tcBorders>
            <w:shd w:val="clear" w:color="auto" w:fill="FFFFFF"/>
          </w:tcPr>
          <w:p>
            <w:r>
              <w:t>100.0000%</w:t>
            </w:r>
          </w:p>
        </w:tc>
        <w:tc>
          <w:tcPr>
            <w:tcW w:w="862" w:type="pct"/>
            <w:tcBorders>
              <w:top w:val="nil"/>
              <w:left w:val="nil"/>
              <w:bottom w:val="nil"/>
              <w:right w:val="nil"/>
            </w:tcBorders>
            <w:shd w:val="clear" w:color="auto" w:fill="FFFFFF"/>
          </w:tcPr>
          <w:p>
            <w:r>
              <w:t>0.003181</w:t>
            </w:r>
          </w:p>
        </w:tc>
      </w:tr>
      <w:tr w14:paraId="38F0E508">
        <w:tblPrEx>
          <w:tblCellMar>
            <w:top w:w="0" w:type="dxa"/>
            <w:left w:w="108" w:type="dxa"/>
            <w:bottom w:w="0" w:type="dxa"/>
            <w:right w:w="108" w:type="dxa"/>
          </w:tblCellMar>
        </w:tblPrEx>
        <w:tc>
          <w:tcPr>
            <w:tcW w:w="2160" w:type="pct"/>
            <w:tcBorders>
              <w:top w:val="nil"/>
              <w:left w:val="nil"/>
              <w:bottom w:val="nil"/>
              <w:right w:val="nil"/>
            </w:tcBorders>
            <w:shd w:val="clear" w:color="auto" w:fill="FFFFFF"/>
          </w:tcPr>
          <w:p>
            <w:r>
              <w:t>冶金-钢铁厂</w:t>
            </w:r>
          </w:p>
        </w:tc>
        <w:tc>
          <w:tcPr>
            <w:tcW w:w="988" w:type="pct"/>
            <w:tcBorders>
              <w:top w:val="nil"/>
              <w:left w:val="nil"/>
              <w:bottom w:val="nil"/>
              <w:right w:val="nil"/>
            </w:tcBorders>
            <w:shd w:val="clear" w:color="auto" w:fill="FFFFFF"/>
          </w:tcPr>
          <w:p>
            <w:r>
              <w:t>37</w:t>
            </w:r>
          </w:p>
        </w:tc>
        <w:tc>
          <w:tcPr>
            <w:tcW w:w="988" w:type="pct"/>
            <w:tcBorders>
              <w:top w:val="nil"/>
              <w:left w:val="nil"/>
              <w:bottom w:val="nil"/>
              <w:right w:val="nil"/>
            </w:tcBorders>
            <w:shd w:val="clear" w:color="auto" w:fill="FFFFFF"/>
          </w:tcPr>
          <w:p>
            <w:r>
              <w:t>97.2973%</w:t>
            </w:r>
          </w:p>
        </w:tc>
        <w:tc>
          <w:tcPr>
            <w:tcW w:w="862" w:type="pct"/>
            <w:tcBorders>
              <w:top w:val="nil"/>
              <w:left w:val="nil"/>
              <w:bottom w:val="nil"/>
              <w:right w:val="nil"/>
            </w:tcBorders>
            <w:shd w:val="clear" w:color="auto" w:fill="FFFFFF"/>
          </w:tcPr>
          <w:p>
            <w:r>
              <w:t>0.008318</w:t>
            </w:r>
          </w:p>
        </w:tc>
      </w:tr>
      <w:tr w14:paraId="3816AEB8">
        <w:tblPrEx>
          <w:tblCellMar>
            <w:top w:w="0" w:type="dxa"/>
            <w:left w:w="108" w:type="dxa"/>
            <w:bottom w:w="0" w:type="dxa"/>
            <w:right w:w="108" w:type="dxa"/>
          </w:tblCellMar>
        </w:tblPrEx>
        <w:tc>
          <w:tcPr>
            <w:tcW w:w="2160" w:type="pct"/>
            <w:tcBorders>
              <w:top w:val="nil"/>
              <w:left w:val="nil"/>
              <w:bottom w:val="single" w:color="000000" w:sz="12" w:space="0"/>
              <w:right w:val="nil"/>
            </w:tcBorders>
            <w:shd w:val="clear" w:color="auto" w:fill="FFFFFF"/>
          </w:tcPr>
          <w:p w14:paraId="1D57AD70">
            <w:pPr>
              <w:pStyle w:val="54"/>
              <w:bidi w:val="0"/>
              <w:rPr>
                <w:b w:val="0"/>
              </w:rPr>
            </w:pPr>
            <w:r>
              <w:rPr>
                <w:rFonts w:hint="eastAsia"/>
                <w:b w:val="0"/>
              </w:rPr>
              <w:t>冶金类合计</w:t>
            </w:r>
          </w:p>
        </w:tc>
        <w:tc>
          <w:tcPr>
            <w:tcW w:w="988" w:type="pct"/>
            <w:tcBorders>
              <w:top w:val="nil"/>
              <w:left w:val="nil"/>
              <w:bottom w:val="single" w:color="000000" w:sz="12" w:space="0"/>
              <w:right w:val="nil"/>
            </w:tcBorders>
            <w:shd w:val="clear" w:color="auto" w:fill="FFFFFF"/>
          </w:tcPr>
          <w:p>
            <w:r>
              <w:t>306</w:t>
            </w:r>
          </w:p>
        </w:tc>
        <w:tc>
          <w:tcPr>
            <w:tcW w:w="988" w:type="pct"/>
            <w:tcBorders>
              <w:top w:val="nil"/>
              <w:left w:val="nil"/>
              <w:bottom w:val="single" w:color="000000" w:sz="12" w:space="0"/>
              <w:right w:val="nil"/>
            </w:tcBorders>
            <w:shd w:val="clear" w:color="auto" w:fill="FFFFFF"/>
          </w:tcPr>
          <w:p>
            <w:r>
              <w:t>98.3660%</w:t>
            </w:r>
          </w:p>
        </w:tc>
        <w:tc>
          <w:tcPr>
            <w:tcW w:w="862" w:type="pct"/>
            <w:tcBorders>
              <w:top w:val="nil"/>
              <w:left w:val="nil"/>
              <w:bottom w:val="single" w:color="000000" w:sz="12" w:space="0"/>
              <w:right w:val="nil"/>
            </w:tcBorders>
            <w:shd w:val="clear" w:color="auto" w:fill="FFFFFF"/>
          </w:tcPr>
          <w:p>
            <w:r>
              <w:t>0.003384</w:t>
            </w:r>
          </w:p>
        </w:tc>
      </w:tr>
    </w:tbl>
    <w:p w14:paraId="5662D1E4">
      <w:pPr>
        <w:rPr>
          <w:rFonts w:hint="default" w:ascii="Times New Roman" w:hAnsi="Times New Roman" w:cs="Times New Roman"/>
          <w:lang w:val="en-US" w:eastAsia="zh-CN"/>
        </w:rPr>
      </w:pPr>
      <w:r>
        <w:rPr>
          <w:rFonts w:hint="default" w:ascii="Times New Roman" w:hAnsi="Times New Roman" w:cs="Times New Roman"/>
          <w:lang w:val="en-US" w:eastAsia="zh-CN"/>
        </w:rPr>
        <w:t>分设施结果显示，8 个冶金设施的独立测试等级准确率均高于 95%。美铝电解设施的 Dk 数值范围较集中，其等级判断稳定；冶金钢铁厂虽然 MAE 相对较高，但测试工况的等级判断保持一致。大型冶金等效设施有 2 条等级误判，整体准确率为 96.4286%。</w:t>
      </w:r>
    </w:p>
    <w:p w14:paraId="082F665A">
      <w:pPr>
        <w:rPr>
          <w:rFonts w:hint="default" w:ascii="Times New Roman" w:hAnsi="Times New Roman" w:cs="Times New Roman"/>
        </w:rPr>
      </w:pPr>
      <w:r>
        <w:rPr>
          <w:rFonts w:hint="default" w:ascii="Times New Roman" w:hAnsi="Times New Roman" w:cs="Times New Roman"/>
        </w:rPr>
        <w:br w:type="page"/>
      </w:r>
    </w:p>
    <w:p w14:paraId="5B9CF09A">
      <w:pPr>
        <w:pStyle w:val="2"/>
        <w:rPr>
          <w:rFonts w:hint="default" w:ascii="Times New Roman" w:hAnsi="Times New Roman" w:cs="Times New Roman"/>
        </w:rPr>
      </w:pPr>
      <w:bookmarkStart w:id="27" w:name="_Toc5190"/>
      <w:r>
        <w:rPr>
          <w:rFonts w:hint="default" w:ascii="Times New Roman" w:hAnsi="Times New Roman" w:cs="Times New Roman"/>
        </w:rPr>
        <w:t>仿真程序集成与界面展示</w:t>
      </w:r>
      <w:bookmarkEnd w:id="27"/>
    </w:p>
    <w:p w14:paraId="6F8425C0">
      <w:pPr>
        <w:rPr>
          <w:rFonts w:hint="default" w:ascii="Times New Roman" w:hAnsi="Times New Roman" w:cs="Times New Roman"/>
        </w:rPr>
      </w:pPr>
      <w:r>
        <w:rPr>
          <w:rFonts w:hint="default" w:ascii="Times New Roman" w:hAnsi="Times New Roman" w:cs="Times New Roman"/>
        </w:rPr>
        <w:t>代理模型已完整集成至仿真程序系统中，实现了从热辐射参数输入到</w:t>
      </w:r>
      <w:r>
        <w:rPr>
          <w:rFonts w:hint="default" w:ascii="Times New Roman" w:hAnsi="Times New Roman" w:cs="Times New Roman"/>
          <w:lang w:eastAsia="zh-CN"/>
        </w:rPr>
        <w:t>HS</w:t>
      </w:r>
      <w:r>
        <w:rPr>
          <w:rFonts w:hint="default" w:ascii="Times New Roman" w:hAnsi="Times New Roman" w:cs="Times New Roman"/>
        </w:rPr>
        <w:t>评估结果输出的全流程自动化。本章介绍系统集成架构、快速计算仿真链路和工程预测界面说明。</w:t>
      </w:r>
    </w:p>
    <w:p w14:paraId="08829230">
      <w:pPr>
        <w:pStyle w:val="3"/>
        <w:rPr>
          <w:rFonts w:hint="default" w:ascii="Times New Roman" w:hAnsi="Times New Roman" w:cs="Times New Roman"/>
        </w:rPr>
      </w:pPr>
      <w:bookmarkStart w:id="28" w:name="_Toc4233"/>
      <w:r>
        <w:rPr>
          <w:rFonts w:hint="default" w:ascii="Times New Roman" w:hAnsi="Times New Roman" w:cs="Times New Roman"/>
        </w:rPr>
        <w:t>系统集成架构</w:t>
      </w:r>
      <w:bookmarkEnd w:id="28"/>
    </w:p>
    <w:p w14:paraId="5D71D1D1">
      <w:pPr>
        <w:rPr>
          <w:rFonts w:hint="default" w:ascii="Times New Roman" w:hAnsi="Times New Roman" w:cs="Times New Roman"/>
        </w:rPr>
      </w:pPr>
      <w:r>
        <w:rPr>
          <w:rFonts w:hint="default" w:ascii="Times New Roman" w:hAnsi="Times New Roman" w:cs="Times New Roman"/>
        </w:rPr>
        <w:t>代理模型已经集成到仿真程序的工程快速预测功能中。用户完成设施选择并设置热辐射方位角、俯仰角、热通量和持续时间后，程序自动读取当前设施的建筑、开口、可燃物与敏感目标信息，形成模型输入，并完成连续 Dk 与四级HS结果计算。</w:t>
      </w:r>
    </w:p>
    <w:p w14:paraId="44A74466">
      <w:pPr>
        <w:rPr>
          <w:rFonts w:hint="default" w:ascii="Times New Roman" w:hAnsi="Times New Roman" w:cs="Times New Roman"/>
        </w:rPr>
      </w:pPr>
      <w:r>
        <w:rPr>
          <w:rFonts w:hint="default" w:ascii="Times New Roman" w:hAnsi="Times New Roman" w:cs="Times New Roman"/>
        </w:rPr>
        <w:t>预测结果界面以设施名称和本次热源工况为基础信息，突出显示设施整体损伤等级，同时显示本次模型预测用时。热源参数区分别显示方位角、俯仰角、目标热通量和持续时间。程序在预测过程中显示加载状态；首次模型加载通常为数秒，后续预测受缓存影响会明显加快。</w:t>
      </w:r>
      <w:r/>
      <w:r/>
      <w:r/>
    </w:p>
    <w:p w14:paraId="4C53DD50">
      <w:pPr>
        <w:rPr>
          <w:rFonts w:hint="default" w:ascii="Times New Roman" w:hAnsi="Times New Roman" w:cs="Times New Roman"/>
        </w:rPr>
      </w:pPr>
    </w:p>
    <w:p w14:paraId="7EA19CC6">
      <w:pPr>
        <w:pStyle w:val="3"/>
        <w:rPr>
          <w:rFonts w:hint="default" w:ascii="Times New Roman" w:hAnsi="Times New Roman" w:cs="Times New Roman"/>
        </w:rPr>
      </w:pPr>
      <w:bookmarkStart w:id="29" w:name="_Toc22544"/>
      <w:r>
        <w:rPr>
          <w:rFonts w:hint="default" w:ascii="Times New Roman" w:hAnsi="Times New Roman" w:cs="Times New Roman"/>
          <w:lang w:val="en-US" w:eastAsia="zh-CN"/>
        </w:rPr>
        <w:t>程序操作流程</w:t>
      </w:r>
      <w:bookmarkEnd w:id="29"/>
    </w:p>
    <w:p w14:paraId="13CC3715">
      <w:pPr>
        <w:pStyle w:val="16"/>
        <w:rPr>
          <w:rFonts w:hint="default" w:ascii="Times New Roman" w:hAnsi="Times New Roman" w:eastAsia="宋体" w:cs="Times New Roman"/>
          <w:lang w:val="en-US" w:eastAsia="zh-CN"/>
        </w:rPr>
      </w:pPr>
      <w:r>
        <w:t xml:space="preserve">表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表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工程快速预测操作流程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9"/>
        <w:gridCol w:w="3228"/>
        <w:gridCol w:w="3570"/>
      </w:tblGrid>
      <w:tr w14:paraId="4FEA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12" w:space="0"/>
              <w:left w:val="nil"/>
              <w:bottom w:val="single" w:color="000000" w:sz="4" w:space="0"/>
              <w:right w:val="nil"/>
              <w:tl2br w:val="nil"/>
            </w:tcBorders>
            <w:shd w:val="clear" w:color="auto" w:fill="FFFFFF"/>
          </w:tcPr>
          <w:p w14:paraId="4443D8BD">
            <w:pPr>
              <w:pStyle w:val="54"/>
              <w:bidi w:val="0"/>
              <w:rPr>
                <w:rFonts w:hint="default" w:ascii="Times New Roman" w:hAnsi="Times New Roman" w:cs="Times New Roman"/>
                <w:b w:val="0"/>
              </w:rPr>
            </w:pPr>
            <w:r>
              <w:rPr>
                <w:rFonts w:hint="default" w:ascii="Times New Roman" w:hAnsi="Times New Roman" w:cs="Times New Roman"/>
                <w:b w:val="0"/>
              </w:rPr>
              <w:t>阶段</w:t>
            </w:r>
          </w:p>
        </w:tc>
        <w:tc>
          <w:tcPr>
            <w:tcW w:w="3228" w:type="dxa"/>
            <w:tcBorders>
              <w:top w:val="single" w:color="000000" w:sz="12" w:space="0"/>
              <w:left w:val="nil"/>
              <w:bottom w:val="single" w:color="000000" w:sz="4" w:space="0"/>
              <w:right w:val="nil"/>
            </w:tcBorders>
            <w:shd w:val="clear" w:color="auto" w:fill="FFFFFF"/>
          </w:tcPr>
          <w:p w14:paraId="431F84D3">
            <w:pPr>
              <w:pStyle w:val="54"/>
              <w:bidi w:val="0"/>
              <w:rPr>
                <w:rFonts w:hint="default" w:ascii="Times New Roman" w:hAnsi="Times New Roman" w:cs="Times New Roman"/>
                <w:b w:val="0"/>
              </w:rPr>
            </w:pPr>
            <w:r>
              <w:rPr>
                <w:rFonts w:hint="default" w:ascii="Times New Roman" w:hAnsi="Times New Roman" w:cs="Times New Roman"/>
                <w:b w:val="0"/>
              </w:rPr>
              <w:t>程序操作</w:t>
            </w:r>
          </w:p>
        </w:tc>
        <w:tc>
          <w:tcPr>
            <w:tcW w:w="3570" w:type="dxa"/>
            <w:tcBorders>
              <w:top w:val="single" w:color="000000" w:sz="12" w:space="0"/>
              <w:left w:val="nil"/>
              <w:bottom w:val="single" w:color="000000" w:sz="4" w:space="0"/>
              <w:right w:val="nil"/>
            </w:tcBorders>
            <w:shd w:val="clear" w:color="auto" w:fill="FFFFFF"/>
          </w:tcPr>
          <w:p w14:paraId="7865B672">
            <w:pPr>
              <w:pStyle w:val="54"/>
              <w:bidi w:val="0"/>
              <w:rPr>
                <w:rFonts w:hint="default" w:ascii="Times New Roman" w:hAnsi="Times New Roman" w:cs="Times New Roman"/>
                <w:b w:val="0"/>
              </w:rPr>
            </w:pPr>
            <w:r>
              <w:rPr>
                <w:rFonts w:hint="default" w:ascii="Times New Roman" w:hAnsi="Times New Roman" w:cs="Times New Roman"/>
                <w:b w:val="0"/>
              </w:rPr>
              <w:t>输出内容</w:t>
            </w:r>
          </w:p>
        </w:tc>
      </w:tr>
      <w:tr w14:paraId="2E854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single" w:color="000000" w:sz="4" w:space="0"/>
              <w:left w:val="nil"/>
              <w:bottom w:val="nil"/>
              <w:right w:val="nil"/>
            </w:tcBorders>
            <w:shd w:val="clear" w:color="auto" w:fill="FFFFFF"/>
          </w:tcPr>
          <w:p w14:paraId="7297D0C5">
            <w:pPr>
              <w:pStyle w:val="54"/>
              <w:bidi w:val="0"/>
              <w:rPr>
                <w:rFonts w:hint="default" w:ascii="Times New Roman" w:hAnsi="Times New Roman" w:cs="Times New Roman"/>
                <w:b w:val="0"/>
              </w:rPr>
            </w:pPr>
            <w:r>
              <w:rPr>
                <w:rFonts w:hint="default" w:ascii="Times New Roman" w:hAnsi="Times New Roman" w:cs="Times New Roman"/>
                <w:b w:val="0"/>
              </w:rPr>
              <w:t>1</w:t>
            </w:r>
          </w:p>
        </w:tc>
        <w:tc>
          <w:tcPr>
            <w:tcW w:w="3228" w:type="dxa"/>
            <w:tcBorders>
              <w:top w:val="single" w:color="000000" w:sz="4" w:space="0"/>
              <w:left w:val="nil"/>
              <w:bottom w:val="nil"/>
              <w:right w:val="nil"/>
            </w:tcBorders>
            <w:shd w:val="clear" w:color="auto" w:fill="FFFFFF"/>
          </w:tcPr>
          <w:p w14:paraId="0A5DE214">
            <w:pPr>
              <w:pStyle w:val="54"/>
              <w:bidi w:val="0"/>
              <w:rPr>
                <w:rFonts w:hint="default" w:ascii="Times New Roman" w:hAnsi="Times New Roman" w:cs="Times New Roman"/>
                <w:b w:val="0"/>
              </w:rPr>
            </w:pPr>
            <w:r>
              <w:rPr>
                <w:rFonts w:hint="default" w:ascii="Times New Roman" w:hAnsi="Times New Roman" w:cs="Times New Roman"/>
                <w:b w:val="0"/>
              </w:rPr>
              <w:t>选择</w:t>
            </w:r>
            <w:r>
              <w:rPr>
                <w:rFonts w:hint="eastAsia" w:ascii="Times New Roman" w:hAnsi="Times New Roman" w:cs="Times New Roman"/>
                <w:b w:val="0"/>
                <w:lang w:eastAsia="zh-CN"/>
              </w:rPr>
              <w:t>冶金设施</w:t>
            </w:r>
            <w:r>
              <w:rPr>
                <w:rFonts w:hint="default" w:ascii="Times New Roman" w:hAnsi="Times New Roman" w:cs="Times New Roman"/>
                <w:b w:val="0"/>
              </w:rPr>
              <w:t>或及规模</w:t>
            </w:r>
          </w:p>
        </w:tc>
        <w:tc>
          <w:tcPr>
            <w:tcW w:w="3570" w:type="dxa"/>
            <w:tcBorders>
              <w:top w:val="single" w:color="000000" w:sz="4" w:space="0"/>
              <w:left w:val="nil"/>
              <w:bottom w:val="nil"/>
              <w:right w:val="nil"/>
            </w:tcBorders>
            <w:shd w:val="clear" w:color="auto" w:fill="FFFFFF"/>
          </w:tcPr>
          <w:p w14:paraId="2F82A5B4">
            <w:pPr>
              <w:pStyle w:val="54"/>
              <w:bidi w:val="0"/>
              <w:rPr>
                <w:rFonts w:hint="default" w:ascii="Times New Roman" w:hAnsi="Times New Roman" w:cs="Times New Roman"/>
                <w:b w:val="0"/>
              </w:rPr>
            </w:pPr>
            <w:r>
              <w:rPr>
                <w:rFonts w:hint="default" w:ascii="Times New Roman" w:hAnsi="Times New Roman" w:cs="Times New Roman"/>
                <w:b w:val="0"/>
              </w:rPr>
              <w:t>确定设施类别、建筑和目标参数</w:t>
            </w:r>
          </w:p>
        </w:tc>
      </w:tr>
      <w:tr w14:paraId="2126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0DE3487A">
            <w:pPr>
              <w:pStyle w:val="54"/>
              <w:bidi w:val="0"/>
              <w:rPr>
                <w:rFonts w:hint="default" w:ascii="Times New Roman" w:hAnsi="Times New Roman" w:cs="Times New Roman"/>
                <w:b w:val="0"/>
              </w:rPr>
            </w:pPr>
            <w:r>
              <w:rPr>
                <w:rFonts w:hint="default" w:ascii="Times New Roman" w:hAnsi="Times New Roman" w:cs="Times New Roman"/>
                <w:b w:val="0"/>
              </w:rPr>
              <w:t>2</w:t>
            </w:r>
          </w:p>
        </w:tc>
        <w:tc>
          <w:tcPr>
            <w:tcW w:w="3228" w:type="dxa"/>
            <w:tcBorders>
              <w:top w:val="nil"/>
              <w:left w:val="nil"/>
              <w:bottom w:val="nil"/>
              <w:right w:val="nil"/>
            </w:tcBorders>
            <w:shd w:val="clear" w:color="auto" w:fill="FFFFFF"/>
          </w:tcPr>
          <w:p w14:paraId="6700674B">
            <w:pPr>
              <w:pStyle w:val="54"/>
              <w:bidi w:val="0"/>
              <w:rPr>
                <w:rFonts w:hint="default" w:ascii="Times New Roman" w:hAnsi="Times New Roman" w:cs="Times New Roman"/>
                <w:b w:val="0"/>
              </w:rPr>
            </w:pPr>
            <w:r>
              <w:rPr>
                <w:rFonts w:hint="default" w:ascii="Times New Roman" w:hAnsi="Times New Roman" w:cs="Times New Roman"/>
                <w:b w:val="0"/>
              </w:rPr>
              <w:t>输入热辐射参数</w:t>
            </w:r>
          </w:p>
        </w:tc>
        <w:tc>
          <w:tcPr>
            <w:tcW w:w="3570" w:type="dxa"/>
            <w:tcBorders>
              <w:top w:val="nil"/>
              <w:left w:val="nil"/>
              <w:bottom w:val="nil"/>
              <w:right w:val="nil"/>
            </w:tcBorders>
            <w:shd w:val="clear" w:color="auto" w:fill="FFFFFF"/>
          </w:tcPr>
          <w:p w14:paraId="6BE70E0F">
            <w:pPr>
              <w:pStyle w:val="54"/>
              <w:bidi w:val="0"/>
              <w:rPr>
                <w:rFonts w:hint="default" w:ascii="Times New Roman" w:hAnsi="Times New Roman" w:cs="Times New Roman"/>
                <w:b w:val="0"/>
              </w:rPr>
            </w:pPr>
            <w:r>
              <w:rPr>
                <w:rFonts w:hint="default" w:ascii="Times New Roman" w:hAnsi="Times New Roman" w:cs="Times New Roman"/>
                <w:b w:val="0"/>
              </w:rPr>
              <w:t>方位角、俯仰角、热通量、持续时间</w:t>
            </w:r>
          </w:p>
        </w:tc>
      </w:tr>
      <w:tr w14:paraId="03B0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09" w:type="dxa"/>
            <w:tcBorders>
              <w:top w:val="nil"/>
              <w:left w:val="nil"/>
              <w:bottom w:val="nil"/>
              <w:right w:val="nil"/>
            </w:tcBorders>
            <w:shd w:val="clear" w:color="auto" w:fill="FFFFFF"/>
          </w:tcPr>
          <w:p w14:paraId="6905920F">
            <w:pPr>
              <w:pStyle w:val="54"/>
              <w:bidi w:val="0"/>
              <w:rPr>
                <w:rFonts w:hint="default" w:ascii="Times New Roman" w:hAnsi="Times New Roman" w:cs="Times New Roman"/>
                <w:b w:val="0"/>
              </w:rPr>
            </w:pPr>
            <w:r>
              <w:rPr>
                <w:rFonts w:hint="default" w:ascii="Times New Roman" w:hAnsi="Times New Roman" w:cs="Times New Roman"/>
                <w:b w:val="0"/>
              </w:rPr>
              <w:t>3</w:t>
            </w:r>
          </w:p>
        </w:tc>
        <w:tc>
          <w:tcPr>
            <w:tcW w:w="3228" w:type="dxa"/>
            <w:tcBorders>
              <w:top w:val="nil"/>
              <w:left w:val="nil"/>
              <w:bottom w:val="nil"/>
              <w:right w:val="nil"/>
            </w:tcBorders>
            <w:shd w:val="clear" w:color="auto" w:fill="FFFFFF"/>
            <w:vAlign w:val="top"/>
          </w:tcPr>
          <w:p w14:paraId="07DD163A">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自动生成模型参数</w:t>
            </w:r>
          </w:p>
        </w:tc>
        <w:tc>
          <w:tcPr>
            <w:tcW w:w="3570" w:type="dxa"/>
            <w:tcBorders>
              <w:top w:val="nil"/>
              <w:left w:val="nil"/>
              <w:bottom w:val="nil"/>
              <w:right w:val="nil"/>
            </w:tcBorders>
            <w:shd w:val="clear" w:color="auto" w:fill="FFFFFF"/>
            <w:vAlign w:val="top"/>
          </w:tcPr>
          <w:p w14:paraId="7212CF1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热源、建筑（含设施类别）、可燃物与敏感目标特征</w:t>
            </w:r>
          </w:p>
        </w:tc>
      </w:tr>
      <w:tr w14:paraId="4CFA2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nil"/>
              <w:right w:val="nil"/>
            </w:tcBorders>
            <w:shd w:val="clear" w:color="auto" w:fill="FFFFFF"/>
          </w:tcPr>
          <w:p w14:paraId="3EFDB448">
            <w:pPr>
              <w:pStyle w:val="54"/>
              <w:bidi w:val="0"/>
              <w:rPr>
                <w:rFonts w:hint="default" w:ascii="Times New Roman" w:hAnsi="Times New Roman" w:cs="Times New Roman"/>
                <w:b w:val="0"/>
              </w:rPr>
            </w:pPr>
            <w:r>
              <w:rPr>
                <w:rFonts w:hint="default" w:ascii="Times New Roman" w:hAnsi="Times New Roman" w:cs="Times New Roman"/>
                <w:b w:val="0"/>
              </w:rPr>
              <w:t>4</w:t>
            </w:r>
          </w:p>
        </w:tc>
        <w:tc>
          <w:tcPr>
            <w:tcW w:w="3228" w:type="dxa"/>
            <w:tcBorders>
              <w:top w:val="nil"/>
              <w:left w:val="nil"/>
              <w:bottom w:val="nil"/>
              <w:right w:val="nil"/>
            </w:tcBorders>
            <w:shd w:val="clear" w:color="auto" w:fill="FFFFFF"/>
            <w:vAlign w:val="top"/>
          </w:tcPr>
          <w:p w14:paraId="553D0E48">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执行代理模型</w:t>
            </w:r>
            <w:r>
              <w:rPr>
                <w:rFonts w:hint="eastAsia" w:ascii="Times New Roman" w:hAnsi="Times New Roman" w:cs="Times New Roman"/>
                <w:b w:val="0"/>
                <w:lang w:val="en-US" w:eastAsia="zh-CN"/>
              </w:rPr>
              <w:t>计算</w:t>
            </w:r>
          </w:p>
        </w:tc>
        <w:tc>
          <w:tcPr>
            <w:tcW w:w="3570" w:type="dxa"/>
            <w:tcBorders>
              <w:top w:val="nil"/>
              <w:left w:val="nil"/>
              <w:bottom w:val="nil"/>
              <w:right w:val="nil"/>
            </w:tcBorders>
            <w:shd w:val="clear" w:color="auto" w:fill="FFFFFF"/>
            <w:vAlign w:val="top"/>
          </w:tcPr>
          <w:p w14:paraId="1747060B">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输出 Dk 和等级</w:t>
            </w:r>
          </w:p>
        </w:tc>
      </w:tr>
      <w:tr w14:paraId="42FFC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9" w:type="dxa"/>
            <w:tcBorders>
              <w:top w:val="nil"/>
              <w:left w:val="nil"/>
              <w:bottom w:val="single" w:color="000000" w:sz="12" w:space="0"/>
              <w:right w:val="nil"/>
            </w:tcBorders>
            <w:shd w:val="clear" w:color="auto" w:fill="FFFFFF"/>
          </w:tcPr>
          <w:p w14:paraId="750424C5">
            <w:pPr>
              <w:pStyle w:val="54"/>
              <w:bidi w:val="0"/>
              <w:rPr>
                <w:rFonts w:hint="default" w:ascii="Times New Roman" w:hAnsi="Times New Roman" w:cs="Times New Roman"/>
                <w:b w:val="0"/>
              </w:rPr>
            </w:pPr>
            <w:r>
              <w:rPr>
                <w:rFonts w:hint="default" w:ascii="Times New Roman" w:hAnsi="Times New Roman" w:cs="Times New Roman"/>
                <w:b w:val="0"/>
              </w:rPr>
              <w:t>5</w:t>
            </w:r>
          </w:p>
        </w:tc>
        <w:tc>
          <w:tcPr>
            <w:tcW w:w="3228" w:type="dxa"/>
            <w:tcBorders>
              <w:top w:val="nil"/>
              <w:left w:val="nil"/>
              <w:bottom w:val="single" w:color="000000" w:sz="12" w:space="0"/>
              <w:right w:val="nil"/>
            </w:tcBorders>
            <w:shd w:val="clear" w:color="auto" w:fill="FFFFFF"/>
            <w:vAlign w:val="top"/>
          </w:tcPr>
          <w:p w14:paraId="549E7406">
            <w:pPr>
              <w:pStyle w:val="54"/>
              <w:bidi w:val="0"/>
              <w:ind w:firstLine="0" w:firstLineChars="0"/>
              <w:rPr>
                <w:rFonts w:hint="default" w:ascii="Times New Roman" w:hAnsi="Times New Roman" w:cs="Times New Roman"/>
                <w:b w:val="0"/>
              </w:rPr>
            </w:pPr>
            <w:r>
              <w:rPr>
                <w:rFonts w:hint="default" w:ascii="Times New Roman" w:hAnsi="Times New Roman" w:cs="Times New Roman"/>
                <w:b w:val="0"/>
              </w:rPr>
              <w:t>展示并保存结果</w:t>
            </w:r>
          </w:p>
        </w:tc>
        <w:tc>
          <w:tcPr>
            <w:tcW w:w="3570" w:type="dxa"/>
            <w:tcBorders>
              <w:top w:val="nil"/>
              <w:left w:val="nil"/>
              <w:bottom w:val="single" w:color="000000" w:sz="12" w:space="0"/>
              <w:right w:val="nil"/>
            </w:tcBorders>
            <w:shd w:val="clear" w:color="auto" w:fill="FFFFFF"/>
            <w:vAlign w:val="top"/>
          </w:tcPr>
          <w:p w14:paraId="08B5A794">
            <w:pPr>
              <w:pStyle w:val="54"/>
              <w:bidi w:val="0"/>
              <w:ind w:firstLine="0" w:firstLineChars="0"/>
              <w:rPr>
                <w:rFonts w:hint="default" w:ascii="Times New Roman" w:hAnsi="Times New Roman" w:cs="Times New Roman"/>
                <w:b w:val="0"/>
              </w:rPr>
            </w:pPr>
            <w:r>
              <w:rPr>
                <w:rFonts w:hint="default" w:ascii="Times New Roman" w:hAnsi="Times New Roman" w:cs="Times New Roman"/>
                <w:b w:val="0"/>
                <w:lang w:eastAsia="zh-CN"/>
              </w:rPr>
              <w:t>HS</w:t>
            </w:r>
            <w:r>
              <w:rPr>
                <w:rFonts w:hint="default" w:ascii="Times New Roman" w:hAnsi="Times New Roman" w:cs="Times New Roman"/>
                <w:b w:val="0"/>
              </w:rPr>
              <w:t>等级、Dk、工况参数和计算信息</w:t>
            </w:r>
          </w:p>
        </w:tc>
      </w:tr>
    </w:tbl>
    <w:p w14:paraId="21C239FE">
      <w:pPr>
        <w:rPr>
          <w:rFonts w:hint="default" w:ascii="Times New Roman" w:hAnsi="Times New Roman" w:cs="Times New Roman"/>
        </w:rPr>
      </w:pPr>
      <w:r>
        <w:rPr>
          <w:rFonts w:hint="default" w:ascii="Times New Roman" w:hAnsi="Times New Roman" w:cs="Times New Roman"/>
        </w:rPr>
        <w:t>程序集成使单个热辐射工况能够快速完成设施级HS判断，并保持与离线模型评价和阈值图谱相同的参数定义。该功能适合用于批量工况初筛、重点方向识别和精细仿真方案准备。</w:t>
      </w:r>
    </w:p>
    <w:p w14:paraId="378E76CB">
      <w:pPr>
        <w:pStyle w:val="54"/>
        <w:bidi w:val="0"/>
        <w:rPr>
          <w:rFonts w:hint="default"/>
        </w:rPr>
      </w:pPr>
      <w:r>
        <w:drawing>
          <wp:inline distT="0" distB="0" distL="114300" distR="114300">
            <wp:extent cx="2432050" cy="1764030"/>
            <wp:effectExtent l="0" t="0" r="6350" b="7620"/>
            <wp:docPr id="6" name="图片 1"/>
            <wp:cNvGraphicFramePr>
              <a:graphicFrameLocks noChangeAspect="1"/>
            </wp:cNvGraphicFramePr>
            <a:graphic>
              <a:graphicData uri="http://schemas.openxmlformats.org/drawingml/2006/picture">
                <pic:pic>
                  <pic:nvPicPr>
                    <pic:cNvPr id="6" name="图片 1"/>
                    <pic:cNvPicPr>
                      <a:picLocks noChangeAspect="1"/>
                    </pic:cNvPicPr>
                  </pic:nvPicPr>
                  <pic:blipFill>
                    <a:blip r:embed="rId15"/>
                    <a:stretch>
                      <a:fillRect/>
                    </a:stretch>
                  </pic:blipFill>
                  <pic:spPr>
                    <a:xfrm>
                      <a:off x="0" y="0"/>
                      <a:ext cx="2432050" cy="1764030"/>
                    </a:xfrm>
                    <a:prstGeom prst="rect">
                      <a:avLst/>
                    </a:prstGeom>
                    <a:noFill/>
                    <a:ln>
                      <a:noFill/>
                    </a:ln>
                  </pic:spPr>
                </pic:pic>
              </a:graphicData>
            </a:graphic>
          </wp:inline>
        </w:drawing>
      </w:r>
      <w:r>
        <w:drawing>
          <wp:inline distT="0" distB="0" distL="114300" distR="114300">
            <wp:extent cx="2421255" cy="1764030"/>
            <wp:effectExtent l="0" t="0" r="17145" b="7620"/>
            <wp:docPr id="8" name="图片 2"/>
            <wp:cNvGraphicFramePr>
              <a:graphicFrameLocks noChangeAspect="1"/>
            </wp:cNvGraphicFramePr>
            <a:graphic>
              <a:graphicData uri="http://schemas.openxmlformats.org/drawingml/2006/picture">
                <pic:pic>
                  <pic:nvPicPr>
                    <pic:cNvPr id="8" name="图片 2"/>
                    <pic:cNvPicPr>
                      <a:picLocks noChangeAspect="1"/>
                    </pic:cNvPicPr>
                  </pic:nvPicPr>
                  <pic:blipFill>
                    <a:blip r:embed="rId16"/>
                    <a:stretch>
                      <a:fillRect/>
                    </a:stretch>
                  </pic:blipFill>
                  <pic:spPr>
                    <a:xfrm>
                      <a:off x="0" y="0"/>
                      <a:ext cx="2421255" cy="1764030"/>
                    </a:xfrm>
                    <a:prstGeom prst="rect">
                      <a:avLst/>
                    </a:prstGeom>
                    <a:noFill/>
                    <a:ln>
                      <a:noFill/>
                    </a:ln>
                  </pic:spPr>
                </pic:pic>
              </a:graphicData>
            </a:graphic>
          </wp:inline>
        </w:drawing>
      </w:r>
    </w:p>
    <w:p w14:paraId="3D30E34A">
      <w:pPr>
        <w:pStyle w:val="16"/>
        <w:bidi w:val="0"/>
        <w:rPr>
          <w:rFonts w:hint="default" w:ascii="Times New Roman" w:hAnsi="Times New Roman" w:cs="Times New Roman"/>
        </w:rPr>
      </w:pPr>
      <w:r>
        <w:t xml:space="preserve">图 </w:t>
      </w:r>
      <w:r>
        <w:fldChar w:fldCharType="begin"/>
      </w:r>
      <w:r>
        <w:instrText xml:space="preserve"> STYLEREF 1 \s </w:instrText>
      </w:r>
      <w:r>
        <w:fldChar w:fldCharType="separate"/>
      </w:r>
      <w:r>
        <w:t>6</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default" w:ascii="Times New Roman" w:hAnsi="Times New Roman" w:cs="Times New Roman"/>
          <w:lang w:val="en-US" w:eastAsia="zh-CN"/>
        </w:rPr>
        <w:t xml:space="preserve"> </w:t>
      </w:r>
      <w:r>
        <w:rPr>
          <w:rFonts w:hint="default" w:ascii="Times New Roman" w:hAnsi="Times New Roman" w:cs="Times New Roman"/>
        </w:rPr>
        <w:t>工程预测结果界面截图</w:t>
      </w:r>
    </w:p>
    <w:p w14:paraId="07EBB1BC">
      <w:pPr>
        <w:rPr>
          <w:rFonts w:hint="default" w:ascii="Times New Roman" w:hAnsi="Times New Roman" w:cs="Times New Roman"/>
        </w:rPr>
      </w:pPr>
    </w:p>
    <w:p w14:paraId="6F285223">
      <w:pPr>
        <w:rPr>
          <w:rFonts w:hint="default" w:ascii="Times New Roman" w:hAnsi="Times New Roman" w:cs="Times New Roman"/>
        </w:rPr>
      </w:pPr>
      <w:r>
        <w:rPr>
          <w:rFonts w:hint="default" w:ascii="Times New Roman" w:hAnsi="Times New Roman" w:cs="Times New Roman"/>
        </w:rPr>
        <w:br w:type="page"/>
      </w:r>
    </w:p>
    <w:p w14:paraId="355DE51E">
      <w:pPr>
        <w:pStyle w:val="2"/>
        <w:rPr>
          <w:rFonts w:hint="default" w:ascii="Times New Roman" w:hAnsi="Times New Roman" w:cs="Times New Roman"/>
        </w:rPr>
      </w:pPr>
      <w:bookmarkStart w:id="30" w:name="_Toc11255"/>
      <w:r>
        <w:rPr>
          <w:rFonts w:hint="default" w:ascii="Times New Roman" w:hAnsi="Times New Roman" w:cs="Times New Roman"/>
        </w:rPr>
        <w:t>总结</w:t>
      </w:r>
      <w:bookmarkEnd w:id="30"/>
    </w:p>
    <w:p w14:paraId="3E95A5C8">
      <w:pPr>
        <w:rPr>
          <w:rFonts w:hint="default" w:ascii="Times New Roman" w:hAnsi="Times New Roman" w:cs="Times New Roman"/>
        </w:rPr>
      </w:pPr>
      <w:r>
        <w:rPr>
          <w:rFonts w:hint="default" w:ascii="Times New Roman" w:hAnsi="Times New Roman" w:cs="Times New Roman"/>
        </w:rPr>
        <w:t>本研究建立了面向冶金设施的 FDS 数据驱动工程预测方法。合格数据覆盖 8 个冶金设施、1512 条热辐射工况，并与其他设施数据共同构成 6558 条合格训练样本。模型以热源工况特征与设施构型及目标特征为输入，能够综合表达热通量、持续时间、受热方向、建筑开口和目标分布对设施级 Dk 的影响。</w:t>
      </w:r>
    </w:p>
    <w:p w14:paraId="08111718">
      <w:pPr>
        <w:rPr>
          <w:rFonts w:hint="default" w:ascii="Times New Roman" w:hAnsi="Times New Roman" w:cs="Times New Roman"/>
        </w:rPr>
      </w:pPr>
      <w:r>
        <w:rPr>
          <w:rFonts w:hint="default" w:ascii="Times New Roman" w:hAnsi="Times New Roman" w:cs="Times New Roman"/>
        </w:rPr>
        <w:t>等级约束 ExtraTrees 模型采用 50 棵回归树和 50 棵分类树，同时输出连续 Dk 和四级损伤结果。综合五折等级准确率为 95.9591%，独立测试等级准确率为 97.2075%；冶金类专项独立测试准确率为 98.3660%。五折和独立测试结果接近，说明模型在当前工况范围内具有较稳定的工程预测表现。</w:t>
      </w:r>
    </w:p>
    <w:p w14:paraId="785C3A47">
      <w:pPr>
        <w:rPr>
          <w:rFonts w:hint="default" w:ascii="Times New Roman" w:hAnsi="Times New Roman" w:cs="Times New Roman"/>
        </w:rPr>
      </w:pPr>
      <w:r>
        <w:rPr>
          <w:rFonts w:hint="default" w:ascii="Times New Roman" w:hAnsi="Times New Roman" w:cs="Times New Roman"/>
        </w:rPr>
        <w:t>冶金专项因素分析表明，热通量是影响 Dk 和等级水平的首要工程因素，热剂量、方位角、俯仰角、迎火侧总开口比例和敏感目标比例共同决定方向差异。不同方向和工况下的损伤响应能够识别各设施更易达到轻微、中等或严重破坏的作用条件，并对尚未跨越等级的区域作出明确区分。</w:t>
      </w:r>
    </w:p>
    <w:p w14:paraId="661C7124">
      <w:pPr>
        <w:rPr>
          <w:rFonts w:hint="default" w:ascii="Times New Roman" w:hAnsi="Times New Roman" w:cs="Times New Roman"/>
        </w:rPr>
      </w:pPr>
      <w:r>
        <w:rPr>
          <w:rFonts w:hint="default" w:ascii="Times New Roman" w:hAnsi="Times New Roman" w:cs="Times New Roman"/>
        </w:rPr>
        <w:br w:type="page"/>
      </w:r>
    </w:p>
    <w:p w14:paraId="6E288D13">
      <w:pPr>
        <w:rPr>
          <w:rFonts w:hint="default" w:ascii="Times New Roman" w:hAnsi="Times New Roman" w:cs="Times New Roman"/>
        </w:rPr>
      </w:pPr>
    </w:p>
    <w:p w14:paraId="78D2F8F3">
      <w:pPr>
        <w:pStyle w:val="28"/>
        <w:tabs>
          <w:tab w:val="right" w:leader="dot" w:pos="8296"/>
        </w:tabs>
        <w:ind w:left="566" w:leftChars="-1" w:hanging="568" w:hangingChars="202"/>
        <w:jc w:val="center"/>
        <w:outlineLvl w:val="0"/>
        <w:rPr>
          <w:rFonts w:hint="default" w:ascii="Times New Roman" w:hAnsi="Times New Roman" w:eastAsia="仿宋" w:cs="Times New Roman"/>
          <w:sz w:val="28"/>
          <w:szCs w:val="28"/>
        </w:rPr>
      </w:pPr>
      <w:bookmarkStart w:id="31" w:name="_Toc21116"/>
      <w:r>
        <w:rPr>
          <w:rStyle w:val="23"/>
          <w:rFonts w:hint="default" w:ascii="Times New Roman" w:hAnsi="Times New Roman" w:eastAsia="宋体" w:cs="Times New Roman"/>
          <w:b/>
          <w:sz w:val="28"/>
          <w:szCs w:val="28"/>
          <w:lang w:val="en-US" w:eastAsia="zh-CN"/>
        </w:rPr>
        <w:t>参考文献</w:t>
      </w:r>
      <w:bookmarkEnd w:id="22"/>
      <w:bookmarkEnd w:id="31"/>
    </w:p>
    <w:p w14:paraId="30B3EC59">
      <w:pPr>
        <w:pStyle w:val="56"/>
        <w:bidi w:val="0"/>
        <w:rPr>
          <w:rFonts w:hint="default" w:ascii="Times New Roman" w:hAnsi="Times New Roman" w:cs="Times New Roman"/>
        </w:rPr>
      </w:pPr>
      <w:r>
        <w:rPr>
          <w:rFonts w:hint="default" w:ascii="Times New Roman" w:hAnsi="Times New Roman" w:cs="Times New Roman"/>
        </w:rPr>
        <w:t>NASA. NASA-STD-6001B: Flammability, Odor, and Offgassing Requirements. NASA Technical Standard, 2016.</w:t>
      </w:r>
    </w:p>
    <w:p w14:paraId="08332493">
      <w:pPr>
        <w:pStyle w:val="56"/>
        <w:bidi w:val="0"/>
        <w:rPr>
          <w:rFonts w:hint="default" w:ascii="Times New Roman" w:hAnsi="Times New Roman" w:cs="Times New Roman"/>
        </w:rPr>
      </w:pPr>
      <w:r>
        <w:rPr>
          <w:rFonts w:hint="default" w:ascii="Times New Roman" w:hAnsi="Times New Roman" w:cs="Times New Roman"/>
        </w:rPr>
        <w:t>NASA. KSC Ground Systems Fire Protection Design Manual. Kennedy Space Center, 2020.</w:t>
      </w:r>
    </w:p>
    <w:p w14:paraId="439C4190">
      <w:pPr>
        <w:pStyle w:val="56"/>
        <w:bidi w:val="0"/>
        <w:rPr>
          <w:rFonts w:hint="default" w:ascii="Times New Roman" w:hAnsi="Times New Roman" w:cs="Times New Roman"/>
        </w:rPr>
      </w:pPr>
      <w:r>
        <w:rPr>
          <w:rFonts w:hint="default" w:ascii="Times New Roman" w:hAnsi="Times New Roman" w:cs="Times New Roman"/>
        </w:rPr>
        <w:t>NFPA 410. Standard on Aircraft Maintenance. National Fire Protection Association, 2021.</w:t>
      </w:r>
    </w:p>
    <w:p w14:paraId="145DEE18">
      <w:pPr>
        <w:pStyle w:val="56"/>
        <w:bidi w:val="0"/>
        <w:rPr>
          <w:rFonts w:hint="default" w:ascii="Times New Roman" w:hAnsi="Times New Roman" w:cs="Times New Roman"/>
        </w:rPr>
      </w:pPr>
      <w:r>
        <w:rPr>
          <w:rFonts w:hint="default" w:ascii="Times New Roman" w:hAnsi="Times New Roman" w:cs="Times New Roman"/>
        </w:rPr>
        <w:t>NFPA 75. Standard for the Fire Protection of Information Technology Equipment, 2020.</w:t>
      </w:r>
    </w:p>
    <w:p w14:paraId="40917673">
      <w:pPr>
        <w:pStyle w:val="56"/>
        <w:bidi w:val="0"/>
        <w:rPr>
          <w:rFonts w:hint="default" w:ascii="Times New Roman" w:hAnsi="Times New Roman" w:cs="Times New Roman"/>
        </w:rPr>
      </w:pPr>
      <w:r>
        <w:rPr>
          <w:rFonts w:hint="default" w:ascii="Times New Roman" w:hAnsi="Times New Roman" w:cs="Times New Roman"/>
        </w:rPr>
        <w:t>NFPA 30. Flammable and Combustible Liquids Code, 2021.</w:t>
      </w:r>
    </w:p>
    <w:p w14:paraId="76C71DCE">
      <w:pPr>
        <w:pStyle w:val="56"/>
        <w:bidi w:val="0"/>
        <w:rPr>
          <w:rFonts w:hint="default" w:ascii="Times New Roman" w:hAnsi="Times New Roman" w:cs="Times New Roman"/>
        </w:rPr>
      </w:pPr>
      <w:r>
        <w:rPr>
          <w:rFonts w:hint="default" w:ascii="Times New Roman" w:hAnsi="Times New Roman" w:cs="Times New Roman"/>
        </w:rPr>
        <w:t>Mouritz, A. &amp; Gibson, A. Fire Properties of Polymer Composite Materials. Springer, 2007.</w:t>
      </w:r>
    </w:p>
    <w:p w14:paraId="611A14AD">
      <w:pPr>
        <w:pStyle w:val="56"/>
        <w:bidi w:val="0"/>
        <w:rPr>
          <w:rFonts w:hint="default" w:ascii="Times New Roman" w:hAnsi="Times New Roman" w:cs="Times New Roman"/>
        </w:rPr>
      </w:pPr>
      <w:r>
        <w:rPr>
          <w:rFonts w:hint="default" w:ascii="Times New Roman" w:hAnsi="Times New Roman" w:cs="Times New Roman"/>
        </w:rPr>
        <w:t>Lyon, R. &amp; Walters, R. Flammability of Aircraft and Spacecraft Materials. FAA Technical Report, 2019.</w:t>
      </w:r>
    </w:p>
    <w:p w14:paraId="2B6097C6">
      <w:pPr>
        <w:pStyle w:val="56"/>
        <w:bidi w:val="0"/>
        <w:rPr>
          <w:rFonts w:hint="default" w:ascii="Times New Roman" w:hAnsi="Times New Roman" w:cs="Times New Roman"/>
        </w:rPr>
      </w:pPr>
      <w:r>
        <w:rPr>
          <w:rFonts w:hint="default" w:ascii="Times New Roman" w:hAnsi="Times New Roman" w:cs="Times New Roman"/>
        </w:rPr>
        <w:t>Babrauskas, V. Heat Release Rates. SFPE Handbook, 2016.</w:t>
      </w:r>
    </w:p>
    <w:p w14:paraId="4E962C18">
      <w:pPr>
        <w:pStyle w:val="56"/>
        <w:bidi w:val="0"/>
        <w:rPr>
          <w:rFonts w:hint="default" w:ascii="Times New Roman" w:hAnsi="Times New Roman" w:cs="Times New Roman"/>
        </w:rPr>
      </w:pPr>
      <w:r>
        <w:rPr>
          <w:rFonts w:hint="default" w:ascii="Times New Roman" w:hAnsi="Times New Roman" w:cs="Times New Roman"/>
        </w:rPr>
        <w:t>Heskestad, G. Fire Plumes, Flame Height, and Air Entrainment. SFPE Handbook, 2016.</w:t>
      </w:r>
    </w:p>
    <w:p w14:paraId="16E318BB">
      <w:pPr>
        <w:pStyle w:val="56"/>
        <w:bidi w:val="0"/>
        <w:rPr>
          <w:rFonts w:hint="default" w:ascii="Times New Roman" w:hAnsi="Times New Roman" w:cs="Times New Roman"/>
        </w:rPr>
      </w:pPr>
      <w:r>
        <w:rPr>
          <w:rFonts w:hint="default" w:ascii="Times New Roman" w:hAnsi="Times New Roman" w:cs="Times New Roman"/>
        </w:rPr>
        <w:t>GAO. NASA: Fire Safety and Risk Management Review. US Government Accountability Office, 2018.</w:t>
      </w:r>
    </w:p>
    <w:p w14:paraId="5E47CFAB">
      <w:pPr>
        <w:pStyle w:val="56"/>
        <w:bidi w:val="0"/>
        <w:rPr>
          <w:rFonts w:hint="default" w:ascii="Times New Roman" w:hAnsi="Times New Roman" w:cs="Times New Roman"/>
        </w:rPr>
      </w:pPr>
      <w:r>
        <w:rPr>
          <w:rFonts w:hint="default" w:ascii="Times New Roman" w:hAnsi="Times New Roman" w:cs="Times New Roman"/>
        </w:rPr>
        <w:t>NIST. Fire Hazards of Electronic Equipment. NIST SP-500 Series, 2012.</w:t>
      </w:r>
    </w:p>
    <w:p w14:paraId="3F173E39">
      <w:pPr>
        <w:pStyle w:val="56"/>
        <w:bidi w:val="0"/>
        <w:rPr>
          <w:rFonts w:hint="default" w:ascii="Times New Roman" w:hAnsi="Times New Roman" w:cs="Times New Roman"/>
        </w:rPr>
      </w:pPr>
      <w:r>
        <w:rPr>
          <w:rFonts w:hint="default" w:ascii="Times New Roman" w:hAnsi="Times New Roman" w:cs="Times New Roman"/>
        </w:rPr>
        <w:t>ESA. Clean Room and Spacecraft Assembly Fire Safety Guidelines. European Space Agency, 2019.</w:t>
      </w:r>
    </w:p>
    <w:p w14:paraId="2B79BDC8">
      <w:pPr>
        <w:pStyle w:val="47"/>
        <w:autoSpaceDN/>
        <w:snapToGrid w:val="0"/>
        <w:spacing w:line="360" w:lineRule="auto"/>
        <w:ind w:left="0" w:leftChars="0" w:firstLine="0" w:firstLineChars="0"/>
        <w:jc w:val="both"/>
        <w:rPr>
          <w:rFonts w:hint="default" w:ascii="Times New Roman" w:hAnsi="Times New Roman" w:eastAsia="仿宋_GB2312" w:cs="Times New Roman"/>
          <w:sz w:val="30"/>
          <w:lang w:val="en-US" w:eastAsia="zh-CN"/>
        </w:rPr>
      </w:pPr>
    </w:p>
    <w:sectPr>
      <w:pgSz w:w="11906" w:h="16838"/>
      <w:pgMar w:top="1440" w:right="1800" w:bottom="1440" w:left="1800" w:header="851" w:footer="992" w:gutter="0"/>
      <w:pgNumType w:fmt="decimal"/>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panose1 w:val="02010600030101010101"/>
    <w:charset w:val="7A"/>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0F3C52" w:usb2="00000016" w:usb3="00000000" w:csb0="0004001F" w:csb1="00000000"/>
  </w:font>
  <w:font w:name="等线 Light">
    <w:altName w:val="SimSun"/>
    <w:panose1 w:val="02010600030101010101"/>
    <w:charset w:val="86"/>
    <w:family w:val="auto"/>
    <w:pitch w:val="default"/>
    <w:sig w:usb0="00000000" w:usb1="00000000" w:usb2="00000016" w:usb3="00000000" w:csb0="0004000F" w:csb1="00000000"/>
  </w:font>
  <w:font w:name="SimSun">
    <w:panose1 w:val="02010600030101010101"/>
    <w:charset w:val="86"/>
    <w:family w:val="auto"/>
    <w:pitch w:val="default"/>
    <w:sig w:usb0="00000003" w:usb1="080E0000" w:usb2="00000000"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仿宋_GB2312">
    <w:altName w:val="宋体"/>
    <w:panose1 w:val="02010609030101010101"/>
    <w:charset w:val="86"/>
    <w:family w:val="modern"/>
    <w:pitch w:val="default"/>
    <w:sig w:usb0="00000000" w:usb1="00000000" w:usb2="00000000" w:usb3="00000000" w:csb0="00040000" w:csb1="00000000"/>
  </w:font>
  <w:font w:name="Cambria Math">
    <w:altName w:val="DejaVu Math TeX Gyre"/>
    <w:panose1 w:val="02040503050406030204"/>
    <w:charset w:val="00"/>
    <w:family w:val="roman"/>
    <w:pitch w:val="default"/>
    <w:sig w:usb0="00000000" w:usb1="00000000" w:usb2="02000000" w:usb3="00000000" w:csb0="2000019F" w:csb1="00000000"/>
  </w:font>
  <w:font w:name="DejaVu Math TeX Gyre">
    <w:panose1 w:val="02000503000000000000"/>
    <w:charset w:val="00"/>
    <w:family w:val="auto"/>
    <w:pitch w:val="default"/>
    <w:sig w:usb0="A10000EF" w:usb1="4A00F9EE" w:usb2="02000008" w:usb3="00000000" w:csb0="60000193" w:csb1="0DD40000"/>
  </w:font>
  <w:font w:name="仿宋">
    <w:altName w:val="宋体"/>
    <w:panose1 w:val="02010609060101010101"/>
    <w:charset w:val="86"/>
    <w:family w:val="modern"/>
    <w:pitch w:val="default"/>
    <w:sig w:usb0="00000000" w:usb1="00000000" w:usb2="00000016" w:usb3="00000000" w:csb0="00040001" w:csb1="00000000"/>
  </w:font>
  <w:font w:name="Noto Sans CJK SC">
    <w:panose1 w:val="020B0500000000000000"/>
    <w:charset w:val="86"/>
    <w:family w:val="auto"/>
    <w:pitch w:val="default"/>
    <w:sig w:usb0="30000083" w:usb1="2BDF3C10" w:usb2="00000016" w:usb3="00000000" w:csb0="602E0107" w:csb1="00000000"/>
  </w:font>
  <w:font w:name="Tahoma">
    <w:altName w:val="noto sans thai"/>
    <w:panose1 w:val="00000000000000000000"/>
    <w:charset w:val="00"/>
    <w:family w:val="auto"/>
    <w:pitch w:val="default"/>
    <w:sig w:usb0="00000000" w:usb1="00000000" w:usb2="00000000" w:usb3="00000000" w:csb0="00000000" w:csb1="00000000"/>
  </w:font>
  <w:font w:name="AR PL UKai CN">
    <w:panose1 w:val="02000503000000000000"/>
    <w:charset w:val="86"/>
    <w:family w:val="auto"/>
    <w:pitch w:val="default"/>
    <w:sig w:usb0="A00002FF" w:usb1="3ACFFDFF" w:usb2="00000036" w:usb3="00000000" w:csb0="2016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FC2BA">
    <w:pPr>
      <w:pStyle w:val="21"/>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45AD3FB">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AB5B">
    <w:pPr>
      <w:pStyle w:val="21"/>
      <w:framePr w:wrap="around" w:vAnchor="text" w:hAnchor="margin" w:xAlign="outside" w:y="1"/>
      <w:rPr>
        <w:rStyle w:val="25"/>
      </w:rPr>
    </w:pPr>
    <w:r>
      <w:fldChar w:fldCharType="begin"/>
    </w:r>
    <w:r>
      <w:rPr>
        <w:rStyle w:val="25"/>
      </w:rPr>
      <w:instrText xml:space="preserve">PAGE  </w:instrText>
    </w:r>
    <w:r>
      <w:fldChar w:fldCharType="end"/>
    </w:r>
  </w:p>
  <w:p w14:paraId="43305302">
    <w:pPr>
      <w:pStyle w:val="21"/>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E1AED">
    <w:pPr>
      <w:pStyle w:val="21"/>
      <w:jc w:val="center"/>
    </w:pPr>
    <w:r>
      <w:fldChar w:fldCharType="begin"/>
    </w:r>
    <w:r>
      <w:instrText xml:space="preserve"> PAGE   \* MERGEFORMAT </w:instrText>
    </w:r>
    <w:r>
      <w:fldChar w:fldCharType="separate"/>
    </w:r>
    <w:r>
      <w:rPr>
        <w:lang w:val="zh-CN" w:eastAsia="zh-CN"/>
      </w:rPr>
      <w:t>I</w:t>
    </w:r>
    <w:r>
      <w:fldChar w:fldCharType="end"/>
    </w:r>
  </w:p>
  <w:p w14:paraId="5EDA7356">
    <w:pPr>
      <w:pStyle w:val="21"/>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75B21">
    <w:pPr>
      <w:pStyle w:val="21"/>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057BB65A">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68977">
    <w:pPr>
      <w:pStyle w:val="21"/>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6D721517">
                    <w:pPr>
                      <w:pStyle w:val="21"/>
                      <w:jc w:val="center"/>
                    </w:pPr>
                    <w:r>
                      <w:fldChar w:fldCharType="begin"/>
                    </w:r>
                    <w:r>
                      <w:instrText xml:space="preserve"> PAGE   \* MERGEFORMAT </w:instrText>
                    </w:r>
                    <w:r>
                      <w:fldChar w:fldCharType="separate"/>
                    </w:r>
                    <w:r>
                      <w:rPr>
                        <w:lang w:val="zh-CN" w:eastAsia="zh-CN"/>
                      </w:rPr>
                      <w:t>5</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EF28">
    <w:pPr>
      <w:pStyle w:val="22"/>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C24E67"/>
    <w:multiLevelType w:val="multilevel"/>
    <w:tmpl w:val="31C24E67"/>
    <w:lvl w:ilvl="0" w:tentative="0">
      <w:start w:val="1"/>
      <w:numFmt w:val="decimal"/>
      <w:pStyle w:val="5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3A9678D"/>
    <w:multiLevelType w:val="multilevel"/>
    <w:tmpl w:val="63A9678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dlZDZiNDNiNWM1NWFiMTM2ZTY0ODJhNzA5MDBmYmYifQ=="/>
  </w:docVars>
  <w:rsids>
    <w:rsidRoot w:val="00172A27"/>
    <w:rsid w:val="000037B7"/>
    <w:rsid w:val="000046DB"/>
    <w:rsid w:val="0003369C"/>
    <w:rsid w:val="00050683"/>
    <w:rsid w:val="00073CA5"/>
    <w:rsid w:val="000A17B4"/>
    <w:rsid w:val="000A63CD"/>
    <w:rsid w:val="000A7EFE"/>
    <w:rsid w:val="00112CE7"/>
    <w:rsid w:val="00117D12"/>
    <w:rsid w:val="00131460"/>
    <w:rsid w:val="00157FA7"/>
    <w:rsid w:val="0016476A"/>
    <w:rsid w:val="001F7C08"/>
    <w:rsid w:val="002147EA"/>
    <w:rsid w:val="0022650D"/>
    <w:rsid w:val="0026379B"/>
    <w:rsid w:val="002725A0"/>
    <w:rsid w:val="00283693"/>
    <w:rsid w:val="002A3D33"/>
    <w:rsid w:val="002C352B"/>
    <w:rsid w:val="002D0193"/>
    <w:rsid w:val="002F7AEA"/>
    <w:rsid w:val="00313F1A"/>
    <w:rsid w:val="00324B9E"/>
    <w:rsid w:val="00345197"/>
    <w:rsid w:val="0037261A"/>
    <w:rsid w:val="003866E0"/>
    <w:rsid w:val="003A322B"/>
    <w:rsid w:val="003D1E4B"/>
    <w:rsid w:val="003E2F07"/>
    <w:rsid w:val="003E5EF5"/>
    <w:rsid w:val="003F1D39"/>
    <w:rsid w:val="00403904"/>
    <w:rsid w:val="004136B4"/>
    <w:rsid w:val="004235C7"/>
    <w:rsid w:val="00425F86"/>
    <w:rsid w:val="00445B98"/>
    <w:rsid w:val="00471694"/>
    <w:rsid w:val="00494233"/>
    <w:rsid w:val="004D5A68"/>
    <w:rsid w:val="004E677A"/>
    <w:rsid w:val="00530FA8"/>
    <w:rsid w:val="00533B1E"/>
    <w:rsid w:val="00561FC4"/>
    <w:rsid w:val="005861AC"/>
    <w:rsid w:val="005D49BC"/>
    <w:rsid w:val="005D76DC"/>
    <w:rsid w:val="006874FC"/>
    <w:rsid w:val="006A7110"/>
    <w:rsid w:val="006D0DFC"/>
    <w:rsid w:val="006D66E9"/>
    <w:rsid w:val="006E7E2A"/>
    <w:rsid w:val="00717B5D"/>
    <w:rsid w:val="00796109"/>
    <w:rsid w:val="007A2452"/>
    <w:rsid w:val="007B06D6"/>
    <w:rsid w:val="00837C97"/>
    <w:rsid w:val="00845A38"/>
    <w:rsid w:val="00863C20"/>
    <w:rsid w:val="0086431E"/>
    <w:rsid w:val="00880723"/>
    <w:rsid w:val="0089676B"/>
    <w:rsid w:val="008A52F2"/>
    <w:rsid w:val="008B2549"/>
    <w:rsid w:val="008D7757"/>
    <w:rsid w:val="008D7CA9"/>
    <w:rsid w:val="008F79D4"/>
    <w:rsid w:val="009061C9"/>
    <w:rsid w:val="009307CC"/>
    <w:rsid w:val="00935BBC"/>
    <w:rsid w:val="00941D0A"/>
    <w:rsid w:val="009517D1"/>
    <w:rsid w:val="009719B0"/>
    <w:rsid w:val="0098502C"/>
    <w:rsid w:val="009A2DDC"/>
    <w:rsid w:val="009D0F50"/>
    <w:rsid w:val="00A17566"/>
    <w:rsid w:val="00A40522"/>
    <w:rsid w:val="00A54F42"/>
    <w:rsid w:val="00A644C2"/>
    <w:rsid w:val="00A84696"/>
    <w:rsid w:val="00B06934"/>
    <w:rsid w:val="00B51CCF"/>
    <w:rsid w:val="00B640B3"/>
    <w:rsid w:val="00BA01AA"/>
    <w:rsid w:val="00BC302B"/>
    <w:rsid w:val="00C04C64"/>
    <w:rsid w:val="00C507E4"/>
    <w:rsid w:val="00C6617B"/>
    <w:rsid w:val="00C85336"/>
    <w:rsid w:val="00C87868"/>
    <w:rsid w:val="00CB222D"/>
    <w:rsid w:val="00CD77EF"/>
    <w:rsid w:val="00D16E1F"/>
    <w:rsid w:val="00D647E0"/>
    <w:rsid w:val="00D86E43"/>
    <w:rsid w:val="00DA194D"/>
    <w:rsid w:val="00DB0C9D"/>
    <w:rsid w:val="00DB38E2"/>
    <w:rsid w:val="00DC1F49"/>
    <w:rsid w:val="00DD1DA7"/>
    <w:rsid w:val="00DF5C44"/>
    <w:rsid w:val="00DF7183"/>
    <w:rsid w:val="00E80CC3"/>
    <w:rsid w:val="00EE4197"/>
    <w:rsid w:val="00F10A82"/>
    <w:rsid w:val="00F54F49"/>
    <w:rsid w:val="00F61F91"/>
    <w:rsid w:val="00F9088C"/>
    <w:rsid w:val="00F916E3"/>
    <w:rsid w:val="00FA2EA8"/>
    <w:rsid w:val="00FC21C7"/>
    <w:rsid w:val="00FC6342"/>
    <w:rsid w:val="00FD5499"/>
    <w:rsid w:val="01930344"/>
    <w:rsid w:val="02F32B56"/>
    <w:rsid w:val="03B269A4"/>
    <w:rsid w:val="03CC265C"/>
    <w:rsid w:val="05FB130E"/>
    <w:rsid w:val="06807618"/>
    <w:rsid w:val="06AE2400"/>
    <w:rsid w:val="072B7F2A"/>
    <w:rsid w:val="08BC7B38"/>
    <w:rsid w:val="08FA3336"/>
    <w:rsid w:val="0D0567F0"/>
    <w:rsid w:val="0D7E3AFF"/>
    <w:rsid w:val="0FB63E1B"/>
    <w:rsid w:val="10260A90"/>
    <w:rsid w:val="10E87F18"/>
    <w:rsid w:val="11345752"/>
    <w:rsid w:val="119D4831"/>
    <w:rsid w:val="11EC5C6D"/>
    <w:rsid w:val="125D5D38"/>
    <w:rsid w:val="13243011"/>
    <w:rsid w:val="140334FB"/>
    <w:rsid w:val="15341A54"/>
    <w:rsid w:val="160E259E"/>
    <w:rsid w:val="177A2613"/>
    <w:rsid w:val="197A2973"/>
    <w:rsid w:val="1A840C0A"/>
    <w:rsid w:val="1D7F592E"/>
    <w:rsid w:val="2051361B"/>
    <w:rsid w:val="20C0033E"/>
    <w:rsid w:val="26FF4DAE"/>
    <w:rsid w:val="27C26D1A"/>
    <w:rsid w:val="293B7BDB"/>
    <w:rsid w:val="2D8D7A26"/>
    <w:rsid w:val="2D9C2A51"/>
    <w:rsid w:val="2DA61BFF"/>
    <w:rsid w:val="2FD52024"/>
    <w:rsid w:val="32117A7A"/>
    <w:rsid w:val="37EF39B9"/>
    <w:rsid w:val="39EF41D8"/>
    <w:rsid w:val="3B945A4C"/>
    <w:rsid w:val="3BC3469C"/>
    <w:rsid w:val="3D0F3129"/>
    <w:rsid w:val="3ECF4A76"/>
    <w:rsid w:val="3F5973C1"/>
    <w:rsid w:val="411965E8"/>
    <w:rsid w:val="41421CDA"/>
    <w:rsid w:val="43212C92"/>
    <w:rsid w:val="439320F2"/>
    <w:rsid w:val="43E02B9F"/>
    <w:rsid w:val="454313DF"/>
    <w:rsid w:val="4559454E"/>
    <w:rsid w:val="46826ECA"/>
    <w:rsid w:val="47200E11"/>
    <w:rsid w:val="4A227A1C"/>
    <w:rsid w:val="4BA40904"/>
    <w:rsid w:val="4C677226"/>
    <w:rsid w:val="4C9954A0"/>
    <w:rsid w:val="4D8C1D7C"/>
    <w:rsid w:val="4ED765AF"/>
    <w:rsid w:val="4F0E1E0E"/>
    <w:rsid w:val="50CC366C"/>
    <w:rsid w:val="5274688D"/>
    <w:rsid w:val="53C90AD2"/>
    <w:rsid w:val="56A87CBD"/>
    <w:rsid w:val="576A14F1"/>
    <w:rsid w:val="59054CA9"/>
    <w:rsid w:val="59C14BA2"/>
    <w:rsid w:val="5C4F2050"/>
    <w:rsid w:val="5C735ECB"/>
    <w:rsid w:val="5C8F6A67"/>
    <w:rsid w:val="5CDC56C5"/>
    <w:rsid w:val="5E4C7C1E"/>
    <w:rsid w:val="5EC03E77"/>
    <w:rsid w:val="5F5C70D4"/>
    <w:rsid w:val="609E4875"/>
    <w:rsid w:val="60FC3CA7"/>
    <w:rsid w:val="6330596A"/>
    <w:rsid w:val="64DA5735"/>
    <w:rsid w:val="67155394"/>
    <w:rsid w:val="67C41CBB"/>
    <w:rsid w:val="68632EA7"/>
    <w:rsid w:val="6AD66324"/>
    <w:rsid w:val="6C353BC2"/>
    <w:rsid w:val="6C68355C"/>
    <w:rsid w:val="6D344F72"/>
    <w:rsid w:val="6F850D4A"/>
    <w:rsid w:val="706C73A7"/>
    <w:rsid w:val="709324D2"/>
    <w:rsid w:val="70986532"/>
    <w:rsid w:val="716D7E06"/>
    <w:rsid w:val="74087332"/>
    <w:rsid w:val="7620550C"/>
    <w:rsid w:val="786F150D"/>
    <w:rsid w:val="78865B21"/>
    <w:rsid w:val="7A905ABD"/>
    <w:rsid w:val="7D4A15B2"/>
    <w:rsid w:val="7D9F11E6"/>
    <w:rsid w:val="9AA70A00"/>
    <w:rsid w:val="B1F6021B"/>
    <w:rsid w:val="B32BB58B"/>
    <w:rsid w:val="FCDDD0F7"/>
    <w:rsid w:val="FE7FB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pPr>
    <w:rPr>
      <w:rFonts w:ascii="宋体" w:hAnsi="宋体" w:eastAsia="宋体" w:cs="Times New Roman"/>
      <w:color w:val="000000"/>
      <w:kern w:val="2"/>
      <w:sz w:val="24"/>
      <w:szCs w:val="24"/>
      <w:u w:val="none"/>
      <w:lang w:val="en-US" w:eastAsia="zh-CN" w:bidi="ar-SA"/>
    </w:rPr>
  </w:style>
  <w:style w:type="paragraph" w:styleId="2">
    <w:name w:val="heading 1"/>
    <w:basedOn w:val="1"/>
    <w:next w:val="1"/>
    <w:link w:val="32"/>
    <w:qFormat/>
    <w:uiPriority w:val="0"/>
    <w:pPr>
      <w:numPr>
        <w:ilvl w:val="0"/>
        <w:numId w:val="1"/>
      </w:numPr>
      <w:ind w:left="432" w:hanging="432" w:firstLineChars="0"/>
      <w:outlineLvl w:val="0"/>
    </w:pPr>
    <w:rPr>
      <w:rFonts w:ascii="宋体" w:hAnsi="宋体" w:eastAsia="宋体"/>
      <w:b/>
      <w:sz w:val="32"/>
      <w:szCs w:val="32"/>
    </w:rPr>
  </w:style>
  <w:style w:type="paragraph" w:styleId="3">
    <w:name w:val="heading 2"/>
    <w:basedOn w:val="1"/>
    <w:next w:val="1"/>
    <w:autoRedefine/>
    <w:unhideWhenUsed/>
    <w:qFormat/>
    <w:uiPriority w:val="0"/>
    <w:pPr>
      <w:numPr>
        <w:ilvl w:val="1"/>
        <w:numId w:val="1"/>
      </w:numPr>
      <w:ind w:left="575" w:hanging="575" w:firstLineChars="0"/>
      <w:outlineLvl w:val="1"/>
    </w:pPr>
    <w:rPr>
      <w:rFonts w:eastAsia="宋体"/>
      <w:b/>
      <w:sz w:val="28"/>
      <w:szCs w:val="28"/>
    </w:rPr>
  </w:style>
  <w:style w:type="paragraph" w:styleId="4">
    <w:name w:val="heading 3"/>
    <w:basedOn w:val="1"/>
    <w:next w:val="1"/>
    <w:qFormat/>
    <w:uiPriority w:val="0"/>
    <w:pPr>
      <w:numPr>
        <w:ilvl w:val="2"/>
        <w:numId w:val="1"/>
      </w:numPr>
      <w:ind w:left="720" w:hanging="720" w:firstLineChars="0"/>
      <w:outlineLvl w:val="2"/>
    </w:pPr>
    <w:rPr>
      <w:rFonts w:eastAsia="宋体"/>
      <w:b/>
    </w:rPr>
  </w:style>
  <w:style w:type="paragraph" w:styleId="5">
    <w:name w:val="heading 4"/>
    <w:basedOn w:val="1"/>
    <w:next w:val="1"/>
    <w:autoRedefine/>
    <w:semiHidden/>
    <w:unhideWhenUsed/>
    <w:qFormat/>
    <w:uiPriority w:val="0"/>
    <w:pPr>
      <w:keepNext/>
      <w:keepLines/>
      <w:numPr>
        <w:ilvl w:val="3"/>
        <w:numId w:val="1"/>
      </w:numPr>
      <w:spacing w:before="280" w:beforeLines="0" w:beforeAutospacing="0" w:after="290" w:afterLines="0" w:afterAutospacing="0" w:line="372" w:lineRule="auto"/>
      <w:ind w:left="864" w:hanging="864" w:firstLineChars="0"/>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1">
    <w:name w:val="Default Paragraph Font"/>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semiHidden/>
    <w:qFormat/>
    <w:uiPriority w:val="0"/>
    <w:rPr>
      <w:sz w:val="18"/>
      <w:szCs w:val="18"/>
    </w:rPr>
  </w:style>
  <w:style w:type="paragraph" w:styleId="14">
    <w:name w:val="Body Text Indent"/>
    <w:basedOn w:val="1"/>
    <w:unhideWhenUsed/>
    <w:qFormat/>
    <w:uiPriority w:val="99"/>
    <w:pPr>
      <w:spacing w:after="120"/>
      <w:ind w:left="420" w:leftChars="200"/>
    </w:pPr>
  </w:style>
  <w:style w:type="paragraph" w:styleId="15">
    <w:name w:val="Body Text First Indent 2"/>
    <w:basedOn w:val="14"/>
    <w:unhideWhenUsed/>
    <w:qFormat/>
    <w:uiPriority w:val="99"/>
    <w:pPr>
      <w:ind w:left="0" w:leftChars="0"/>
    </w:pPr>
    <w:rPr>
      <w:sz w:val="24"/>
    </w:rPr>
  </w:style>
  <w:style w:type="paragraph" w:styleId="16">
    <w:name w:val="caption"/>
    <w:basedOn w:val="1"/>
    <w:next w:val="1"/>
    <w:link w:val="55"/>
    <w:qFormat/>
    <w:uiPriority w:val="0"/>
    <w:pPr>
      <w:spacing w:line="312" w:lineRule="auto"/>
      <w:ind w:firstLine="0" w:firstLineChars="0"/>
      <w:jc w:val="center"/>
    </w:pPr>
    <w:rPr>
      <w:rFonts w:cs="宋体"/>
      <w:b/>
      <w:bCs/>
    </w:rPr>
  </w:style>
  <w:style w:type="character" w:styleId="17">
    <w:name w:val="annotation reference"/>
    <w:qFormat/>
    <w:uiPriority w:val="0"/>
    <w:rPr>
      <w:sz w:val="21"/>
      <w:szCs w:val="21"/>
    </w:rPr>
  </w:style>
  <w:style w:type="paragraph" w:styleId="18">
    <w:name w:val="annotation text"/>
    <w:basedOn w:val="1"/>
    <w:link w:val="33"/>
    <w:qFormat/>
    <w:uiPriority w:val="0"/>
    <w:pPr>
      <w:jc w:val="left"/>
    </w:pPr>
  </w:style>
  <w:style w:type="paragraph" w:styleId="19">
    <w:name w:val="annotation subject"/>
    <w:basedOn w:val="18"/>
    <w:next w:val="18"/>
    <w:link w:val="37"/>
    <w:qFormat/>
    <w:uiPriority w:val="0"/>
    <w:rPr>
      <w:b/>
      <w:bCs/>
    </w:rPr>
  </w:style>
  <w:style w:type="character" w:styleId="20">
    <w:name w:val="FollowedHyperlink"/>
    <w:qFormat/>
    <w:uiPriority w:val="0"/>
    <w:rPr>
      <w:color w:val="800080"/>
      <w:u w:val="single"/>
    </w:rPr>
  </w:style>
  <w:style w:type="paragraph" w:styleId="21">
    <w:name w:val="footer"/>
    <w:basedOn w:val="1"/>
    <w:link w:val="35"/>
    <w:qFormat/>
    <w:uiPriority w:val="99"/>
    <w:pPr>
      <w:tabs>
        <w:tab w:val="center" w:pos="4153"/>
        <w:tab w:val="right" w:pos="8306"/>
      </w:tabs>
      <w:snapToGrid w:val="0"/>
      <w:jc w:val="left"/>
    </w:pPr>
    <w:rPr>
      <w:sz w:val="18"/>
      <w:szCs w:val="18"/>
    </w:rPr>
  </w:style>
  <w:style w:type="paragraph" w:styleId="22">
    <w:name w:val="header"/>
    <w:basedOn w:val="1"/>
    <w:link w:val="36"/>
    <w:qFormat/>
    <w:uiPriority w:val="99"/>
    <w:pPr>
      <w:pBdr>
        <w:bottom w:val="single" w:color="auto" w:sz="6" w:space="1"/>
      </w:pBdr>
      <w:tabs>
        <w:tab w:val="center" w:pos="4153"/>
        <w:tab w:val="right" w:pos="8306"/>
      </w:tabs>
      <w:snapToGrid w:val="0"/>
      <w:jc w:val="center"/>
    </w:pPr>
    <w:rPr>
      <w:sz w:val="18"/>
      <w:szCs w:val="18"/>
    </w:rPr>
  </w:style>
  <w:style w:type="character" w:styleId="23">
    <w:name w:val="Hyperlink"/>
    <w:qFormat/>
    <w:uiPriority w:val="99"/>
    <w:rPr>
      <w:color w:val="000000"/>
      <w:u w:val="none"/>
    </w:rPr>
  </w:style>
  <w:style w:type="paragraph" w:styleId="24">
    <w:name w:val="Normal (Web)"/>
    <w:basedOn w:val="1"/>
    <w:qFormat/>
    <w:uiPriority w:val="0"/>
    <w:rPr>
      <w:sz w:val="24"/>
    </w:rPr>
  </w:style>
  <w:style w:type="character" w:styleId="25">
    <w:name w:val="page number"/>
    <w:qFormat/>
    <w:uiPriority w:val="0"/>
  </w:style>
  <w:style w:type="paragraph" w:styleId="26">
    <w:name w:val="Plain Text"/>
    <w:basedOn w:val="1"/>
    <w:link w:val="34"/>
    <w:qFormat/>
    <w:uiPriority w:val="0"/>
    <w:rPr>
      <w:rFonts w:ascii="宋体" w:hAnsi="Courier New" w:cs="Courier New"/>
      <w:szCs w:val="21"/>
    </w:rPr>
  </w:style>
  <w:style w:type="table" w:styleId="27">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able of figures"/>
    <w:basedOn w:val="1"/>
    <w:next w:val="1"/>
    <w:unhideWhenUsed/>
    <w:qFormat/>
    <w:uiPriority w:val="99"/>
    <w:pPr>
      <w:spacing w:line="360" w:lineRule="auto"/>
      <w:ind w:left="200" w:leftChars="200" w:hanging="200" w:hangingChars="200"/>
    </w:pPr>
    <w:rPr>
      <w:sz w:val="24"/>
      <w:szCs w:val="24"/>
    </w:rPr>
  </w:style>
  <w:style w:type="paragraph" w:styleId="29">
    <w:name w:val="toc 1"/>
    <w:basedOn w:val="1"/>
    <w:next w:val="1"/>
    <w:qFormat/>
    <w:uiPriority w:val="39"/>
    <w:pPr>
      <w:tabs>
        <w:tab w:val="right" w:leader="dot" w:pos="8306"/>
      </w:tabs>
      <w:ind w:firstLine="0" w:firstLineChars="0"/>
    </w:pPr>
    <w:rPr>
      <w:rFonts w:ascii="Times New Roman" w:hAnsi="Times New Roman"/>
      <w:sz w:val="21"/>
    </w:rPr>
  </w:style>
  <w:style w:type="paragraph" w:styleId="30">
    <w:name w:val="toc 2"/>
    <w:basedOn w:val="1"/>
    <w:next w:val="1"/>
    <w:qFormat/>
    <w:uiPriority w:val="39"/>
    <w:pPr>
      <w:tabs>
        <w:tab w:val="right" w:leader="dot" w:pos="8306"/>
      </w:tabs>
      <w:ind w:left="420" w:leftChars="200" w:firstLine="0" w:firstLineChars="0"/>
    </w:pPr>
    <w:rPr>
      <w:rFonts w:ascii="宋体" w:hAnsi="宋体" w:eastAsia="宋体" w:cs="宋体"/>
      <w:sz w:val="21"/>
    </w:rPr>
  </w:style>
  <w:style w:type="paragraph" w:styleId="31">
    <w:name w:val="toc 3"/>
    <w:basedOn w:val="1"/>
    <w:next w:val="1"/>
    <w:unhideWhenUsed/>
    <w:qFormat/>
    <w:uiPriority w:val="39"/>
    <w:pPr>
      <w:tabs>
        <w:tab w:val="right" w:leader="dot" w:pos="8306"/>
      </w:tabs>
      <w:ind w:left="960" w:leftChars="400" w:firstLine="0" w:firstLineChars="0"/>
    </w:pPr>
    <w:rPr>
      <w:rFonts w:ascii="宋体" w:hAnsi="宋体" w:eastAsia="宋体" w:cs="宋体"/>
      <w:sz w:val="21"/>
      <w:szCs w:val="21"/>
    </w:rPr>
  </w:style>
  <w:style w:type="character" w:customStyle="1" w:styleId="32">
    <w:name w:val="标题 1 字符"/>
    <w:link w:val="2"/>
    <w:qFormat/>
    <w:uiPriority w:val="0"/>
    <w:rPr>
      <w:rFonts w:ascii="宋体" w:hAnsi="宋体" w:eastAsia="宋体" w:cs="Times New Roman"/>
      <w:b/>
      <w:color w:val="000000"/>
      <w:kern w:val="2"/>
      <w:sz w:val="32"/>
      <w:szCs w:val="32"/>
      <w:u w:val="none"/>
      <w:lang w:val="en-US" w:eastAsia="zh-CN" w:bidi="ar-SA"/>
    </w:rPr>
  </w:style>
  <w:style w:type="character" w:customStyle="1" w:styleId="33">
    <w:name w:val="批注文字 字符"/>
    <w:link w:val="18"/>
    <w:qFormat/>
    <w:uiPriority w:val="0"/>
    <w:rPr>
      <w:kern w:val="2"/>
      <w:sz w:val="21"/>
    </w:rPr>
  </w:style>
  <w:style w:type="character" w:customStyle="1" w:styleId="34">
    <w:name w:val="纯文本 字符1"/>
    <w:link w:val="26"/>
    <w:qFormat/>
    <w:uiPriority w:val="0"/>
    <w:rPr>
      <w:rFonts w:ascii="宋体" w:hAnsi="Courier New" w:cs="Courier New"/>
      <w:kern w:val="2"/>
      <w:sz w:val="21"/>
      <w:szCs w:val="21"/>
    </w:rPr>
  </w:style>
  <w:style w:type="character" w:customStyle="1" w:styleId="35">
    <w:name w:val="页脚 字符"/>
    <w:link w:val="21"/>
    <w:qFormat/>
    <w:uiPriority w:val="99"/>
    <w:rPr>
      <w:kern w:val="2"/>
      <w:sz w:val="18"/>
      <w:szCs w:val="18"/>
    </w:rPr>
  </w:style>
  <w:style w:type="character" w:customStyle="1" w:styleId="36">
    <w:name w:val="页眉 字符"/>
    <w:link w:val="22"/>
    <w:qFormat/>
    <w:uiPriority w:val="99"/>
    <w:rPr>
      <w:kern w:val="2"/>
      <w:sz w:val="18"/>
      <w:szCs w:val="18"/>
    </w:rPr>
  </w:style>
  <w:style w:type="character" w:customStyle="1" w:styleId="37">
    <w:name w:val="批注主题 字符"/>
    <w:link w:val="19"/>
    <w:qFormat/>
    <w:uiPriority w:val="0"/>
    <w:rPr>
      <w:b/>
      <w:bCs/>
      <w:kern w:val="2"/>
      <w:sz w:val="21"/>
    </w:rPr>
  </w:style>
  <w:style w:type="paragraph" w:customStyle="1" w:styleId="38">
    <w:name w:val="xl64"/>
    <w:basedOn w:val="1"/>
    <w:qFormat/>
    <w:uiPriority w:val="0"/>
    <w:pPr>
      <w:widowControl/>
      <w:spacing w:before="100" w:beforeAutospacing="1" w:after="100" w:afterAutospacing="1"/>
      <w:jc w:val="center"/>
    </w:pPr>
    <w:rPr>
      <w:rFonts w:ascii="宋体" w:hAnsi="宋体" w:cs="宋体"/>
      <w:kern w:val="0"/>
      <w:sz w:val="24"/>
      <w:szCs w:val="24"/>
    </w:rPr>
  </w:style>
  <w:style w:type="paragraph" w:customStyle="1" w:styleId="39">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0">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1">
    <w:name w:val="xl69"/>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42">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rPr>
  </w:style>
  <w:style w:type="paragraph" w:customStyle="1" w:styleId="43">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20"/>
    </w:rPr>
  </w:style>
  <w:style w:type="paragraph" w:customStyle="1" w:styleId="44">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rPr>
  </w:style>
  <w:style w:type="paragraph" w:customStyle="1" w:styleId="45">
    <w:name w:val="font6"/>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46">
    <w:name w:val="xl68"/>
    <w:basedOn w:val="1"/>
    <w:qFormat/>
    <w:uiPriority w:val="0"/>
    <w:pPr>
      <w:widowControl/>
      <w:pBdr>
        <w:bottom w:val="single" w:color="auto" w:sz="4" w:space="0"/>
      </w:pBdr>
      <w:spacing w:before="100" w:beforeAutospacing="1" w:after="100" w:afterAutospacing="1"/>
      <w:jc w:val="center"/>
    </w:pPr>
    <w:rPr>
      <w:rFonts w:ascii="宋体" w:hAnsi="宋体" w:cs="宋体"/>
      <w:b/>
      <w:bCs/>
      <w:kern w:val="0"/>
      <w:sz w:val="36"/>
      <w:szCs w:val="36"/>
    </w:rPr>
  </w:style>
  <w:style w:type="paragraph" w:customStyle="1" w:styleId="47">
    <w:name w:val="段"/>
    <w:qFormat/>
    <w:uiPriority w:val="0"/>
    <w:pPr>
      <w:autoSpaceDE w:val="0"/>
      <w:autoSpaceDN w:val="0"/>
      <w:ind w:firstLine="200" w:firstLineChars="200"/>
      <w:jc w:val="both"/>
    </w:pPr>
    <w:rPr>
      <w:rFonts w:ascii="宋体" w:hAnsi="Times New Roman" w:eastAsia="宋体" w:cs="宋体"/>
      <w:szCs w:val="21"/>
      <w:lang w:val="en-US" w:eastAsia="zh-CN" w:bidi="ar-SA"/>
    </w:rPr>
  </w:style>
  <w:style w:type="paragraph" w:customStyle="1" w:styleId="48">
    <w:name w:val="font5"/>
    <w:basedOn w:val="1"/>
    <w:qFormat/>
    <w:uiPriority w:val="0"/>
    <w:pPr>
      <w:widowControl/>
      <w:spacing w:before="100" w:beforeAutospacing="1" w:after="100" w:afterAutospacing="1"/>
      <w:jc w:val="left"/>
    </w:pPr>
    <w:rPr>
      <w:rFonts w:ascii="宋体" w:hAnsi="宋体" w:cs="宋体"/>
      <w:kern w:val="0"/>
      <w:sz w:val="18"/>
      <w:szCs w:val="18"/>
    </w:rPr>
  </w:style>
  <w:style w:type="character" w:customStyle="1" w:styleId="49">
    <w:name w:val="纯文本 字符"/>
    <w:qFormat/>
    <w:uiPriority w:val="0"/>
    <w:rPr>
      <w:rFonts w:ascii="宋体" w:hAnsi="Courier New" w:cs="Courier New"/>
      <w:kern w:val="2"/>
      <w:sz w:val="21"/>
      <w:szCs w:val="21"/>
    </w:rPr>
  </w:style>
  <w:style w:type="paragraph" w:customStyle="1" w:styleId="50">
    <w:name w:val="TOC Heading"/>
    <w:basedOn w:val="2"/>
    <w:next w:val="1"/>
    <w:qFormat/>
    <w:uiPriority w:val="39"/>
    <w:pPr>
      <w:widowControl/>
      <w:spacing w:before="240" w:after="0" w:line="259" w:lineRule="auto"/>
      <w:jc w:val="left"/>
      <w:outlineLvl w:val="9"/>
    </w:pPr>
    <w:rPr>
      <w:rFonts w:ascii="等线 Light" w:hAnsi="等线 Light" w:eastAsia="等线 Light"/>
      <w:b w:val="0"/>
      <w:color w:val="2F5496"/>
      <w:kern w:val="0"/>
      <w:sz w:val="32"/>
      <w:szCs w:val="32"/>
    </w:r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Chars="200"/>
    </w:pPr>
    <w:rPr>
      <w:rFonts w:ascii="Times New Roman" w:hAnsi="Times New Roman" w:eastAsia="宋体" w:cs="Times New Roman"/>
      <w:lang w:val="en-US" w:eastAsia="zh-CN" w:bidi="ar-SA"/>
    </w:rPr>
  </w:style>
  <w:style w:type="paragraph" w:customStyle="1" w:styleId="53">
    <w:name w:val="Table Paragraph"/>
    <w:basedOn w:val="1"/>
    <w:qFormat/>
    <w:uiPriority w:val="1"/>
    <w:rPr>
      <w:rFonts w:ascii="宋体" w:hAnsi="宋体" w:eastAsia="宋体" w:cs="宋体"/>
      <w:lang w:val="zh-CN" w:eastAsia="zh-CN" w:bidi="zh-CN"/>
    </w:rPr>
  </w:style>
  <w:style w:type="paragraph" w:customStyle="1" w:styleId="54">
    <w:name w:val="图表"/>
    <w:basedOn w:val="1"/>
    <w:qFormat/>
    <w:uiPriority w:val="0"/>
    <w:pPr>
      <w:ind w:firstLine="0" w:firstLineChars="0"/>
      <w:jc w:val="center"/>
    </w:pPr>
    <w:rPr>
      <w:rFonts w:ascii="Times" w:hAnsi="Times" w:eastAsia="宋体"/>
      <w:bCs/>
      <w:szCs w:val="32"/>
    </w:rPr>
  </w:style>
  <w:style w:type="character" w:customStyle="1" w:styleId="55">
    <w:name w:val="题注 Char"/>
    <w:link w:val="16"/>
    <w:qFormat/>
    <w:uiPriority w:val="0"/>
    <w:rPr>
      <w:rFonts w:ascii="宋体" w:hAnsi="宋体" w:eastAsia="宋体" w:cs="宋体"/>
      <w:b/>
      <w:bCs/>
      <w:color w:val="000000"/>
      <w:kern w:val="2"/>
      <w:sz w:val="24"/>
      <w:szCs w:val="24"/>
      <w:u w:val="none"/>
      <w:lang w:val="en-US" w:eastAsia="zh-CN" w:bidi="ar-SA"/>
    </w:rPr>
  </w:style>
  <w:style w:type="paragraph" w:customStyle="1" w:styleId="56">
    <w:name w:val="参考文献"/>
    <w:basedOn w:val="1"/>
    <w:qFormat/>
    <w:uiPriority w:val="0"/>
    <w:pPr>
      <w:numPr>
        <w:ilvl w:val="0"/>
        <w:numId w:val="2"/>
      </w:numPr>
      <w:ind w:left="420" w:right="178" w:rightChars="74" w:hanging="420" w:firstLineChars="0"/>
    </w:pPr>
    <w:rPr>
      <w:rFonts w:ascii="宋体" w:hAnsi="宋体" w:eastAsia="宋体" w:cs="宋体"/>
    </w:rPr>
  </w:style>
  <w:style w:type="paragraph" w:styleId="57">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25</Pages>
  <Words>3352</Words>
  <Characters>3718</Characters>
  <Lines>27</Lines>
  <Paragraphs>7</Paragraphs>
  <TotalTime>0</TotalTime>
  <ScaleCrop>false</ScaleCrop>
  <LinksUpToDate>false</LinksUpToDate>
  <CharactersWithSpaces>3968</CharactersWithSpaces>
  <Application>WPS Office_12.1.2.28080_F1E327BC-269C-435d-A152-05C5408002CA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2022-11-20T12:35:00Z</dcterms:created>
  <dc:creator>微软用户</dc:creator>
  <cp:lastModifiedBy>blue</cp:lastModifiedBy>
  <cp:lastPrinted>2018-02-07T14:08:00Z</cp:lastPrinted>
  <dcterms:modified xsi:type="dcterms:W3CDTF">2026-09-08T20:40:23Z</dcterms:modified>
  <dc:title>关于开展安徽省自然科学基金</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1033-12.1.2.28080</vt:lpwstr>
  </property>
  <property fmtid="{D5CDD505-2E9C-101B-9397-08002B2CF9AE}" pid="3" name="ICV">
    <vt:lpwstr>C7A969C828374B04A8D9B2766E7DE83B</vt:lpwstr>
  </property>
  <property fmtid="{D5CDD505-2E9C-101B-9397-08002B2CF9AE}" pid="4" name="KSOTemplateDocerSaveRecord">
    <vt:lpwstr>eyJoZGlkIjoiZjFmZWIzNDg2MmIzZjExOTIzMmViNTBmYTMwYTk0ZWYiLCJ1c2VySWQiOiIxNTgzOTkzNDQ4In0=</vt:lpwstr>
  </property>
</Properties>
</file>