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925E00">
      <w:pPr>
        <w:pStyle w:val="26"/>
        <w:tabs>
          <w:tab w:val="left" w:pos="8640"/>
        </w:tabs>
        <w:spacing w:line="520" w:lineRule="exact"/>
        <w:ind w:right="489" w:rightChars="204"/>
        <w:rPr>
          <w:rFonts w:hint="default" w:ascii="Times New Roman" w:hAnsi="Times New Roman" w:eastAsia="黑体" w:cs="Times New Roman"/>
          <w:sz w:val="24"/>
        </w:rPr>
      </w:pPr>
    </w:p>
    <w:p w14:paraId="365E1352">
      <w:pPr>
        <w:pStyle w:val="26"/>
        <w:tabs>
          <w:tab w:val="left" w:pos="8640"/>
        </w:tabs>
        <w:spacing w:line="520" w:lineRule="exact"/>
        <w:ind w:right="489" w:rightChars="204"/>
        <w:rPr>
          <w:rFonts w:hint="default" w:ascii="Times New Roman" w:hAnsi="Times New Roman" w:eastAsia="黑体" w:cs="Times New Roman"/>
          <w:sz w:val="24"/>
        </w:rPr>
      </w:pPr>
    </w:p>
    <w:p w14:paraId="6F141003">
      <w:pPr>
        <w:pStyle w:val="26"/>
        <w:tabs>
          <w:tab w:val="left" w:pos="8640"/>
        </w:tabs>
        <w:spacing w:line="520" w:lineRule="exact"/>
        <w:ind w:right="489" w:rightChars="204"/>
        <w:rPr>
          <w:rFonts w:hint="default" w:ascii="Times New Roman" w:hAnsi="Times New Roman" w:eastAsia="黑体" w:cs="Times New Roman"/>
          <w:sz w:val="24"/>
        </w:rPr>
      </w:pPr>
      <w:r>
        <w:rPr>
          <w:rFonts w:hint="default" w:ascii="Times New Roman" w:hAnsi="Times New Roman" w:eastAsia="黑体" w:cs="Times New Roman"/>
          <w:sz w:val="24"/>
        </w:rPr>
        <w:t xml:space="preserve"> </w:t>
      </w:r>
    </w:p>
    <w:p w14:paraId="1F218E95">
      <w:pPr>
        <w:spacing w:line="300" w:lineRule="auto"/>
        <w:jc w:val="center"/>
        <w:rPr>
          <w:rFonts w:hint="default" w:ascii="Times New Roman" w:hAnsi="Times New Roman" w:eastAsia="仿宋" w:cs="Times New Roman"/>
          <w:b/>
          <w:sz w:val="32"/>
          <w:szCs w:val="32"/>
        </w:rPr>
        <w:sectPr>
          <w:footerReference r:id="rId7" w:type="first"/>
          <w:headerReference r:id="rId5" w:type="even"/>
          <w:footerReference r:id="rId6" w:type="even"/>
          <w:pgSz w:w="11906" w:h="16838"/>
          <w:pgMar w:top="1440" w:right="1800" w:bottom="1440" w:left="1800" w:header="851" w:footer="992" w:gutter="0"/>
          <w:pgNumType w:fmt="upperRoman" w:start="1"/>
          <w:cols w:space="720" w:num="1"/>
          <w:docGrid w:type="lines" w:linePitch="312" w:charSpace="0"/>
        </w:sectPr>
      </w:pPr>
      <w:bookmarkStart w:id="32" w:name="_GoBack"/>
      <w:bookmarkEnd w:id="32"/>
    </w:p>
    <w:sdt>
      <w:sdtPr>
        <w:rPr>
          <w:rFonts w:hint="default" w:ascii="Times New Roman" w:hAnsi="Times New Roman" w:eastAsia="宋体" w:cs="Times New Roman"/>
          <w:color w:val="000000"/>
          <w:kern w:val="2"/>
          <w:sz w:val="21"/>
          <w:szCs w:val="24"/>
          <w:u w:val="none"/>
          <w:lang w:val="en-US" w:eastAsia="zh-CN" w:bidi="ar-SA"/>
        </w:rPr>
        <w:id w:val="147471818"/>
        <w15:color w:val="DBDBDB"/>
        <w:docPartObj>
          <w:docPartGallery w:val="Table of Contents"/>
          <w:docPartUnique/>
        </w:docPartObj>
      </w:sdtPr>
      <w:sdtEndPr>
        <w:rPr>
          <w:rFonts w:hint="default" w:ascii="Times New Roman" w:hAnsi="Times New Roman" w:eastAsia="宋体" w:cs="Times New Roman"/>
          <w:color w:val="000000"/>
          <w:kern w:val="2"/>
          <w:sz w:val="24"/>
          <w:szCs w:val="24"/>
          <w:u w:val="none"/>
          <w:lang w:val="en-US" w:eastAsia="zh-CN" w:bidi="ar-SA"/>
        </w:rPr>
      </w:sdtEndPr>
      <w:sdtContent>
        <w:p w14:paraId="196B69E5">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14:paraId="1C29E20B">
          <w:pPr>
            <w:pStyle w:val="29"/>
          </w:pPr>
          <w:r>
            <w:rPr>
              <w:rFonts w:hint="default" w:ascii="Times New Roman" w:hAnsi="Times New Roman" w:eastAsia="宋体" w:cs="Times New Roman"/>
              <w:kern w:val="2"/>
              <w:sz w:val="21"/>
              <w:lang w:val="en-US" w:eastAsia="zh-CN" w:bidi="ar-SA"/>
            </w:rPr>
            <w:fldChar w:fldCharType="begin"/>
          </w:r>
          <w:r>
            <w:rPr>
              <w:rFonts w:hint="default" w:ascii="Times New Roman" w:hAnsi="Times New Roman" w:eastAsia="宋体" w:cs="Times New Roman"/>
              <w:kern w:val="2"/>
              <w:sz w:val="21"/>
              <w:lang w:val="en-US" w:eastAsia="zh-CN" w:bidi="ar-SA"/>
            </w:rPr>
            <w:instrText xml:space="preserve">TOC \o "1-3" \h \u </w:instrText>
          </w:r>
          <w:r>
            <w:rPr>
              <w:rFonts w:hint="default" w:ascii="Times New Roman" w:hAnsi="Times New Roman" w:eastAsia="宋体" w:cs="Times New Roman"/>
              <w:kern w:val="2"/>
              <w:sz w:val="21"/>
              <w:lang w:val="en-US" w:eastAsia="zh-CN" w:bidi="ar-SA"/>
            </w:rPr>
            <w:fldChar w:fldCharType="separate"/>
          </w: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_Toc21349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引言</w:t>
          </w:r>
          <w:r>
            <w:tab/>
          </w:r>
          <w:r>
            <w:fldChar w:fldCharType="begin"/>
          </w:r>
          <w:r>
            <w:instrText xml:space="preserve"> PAGEREF _Toc21349 \h </w:instrText>
          </w:r>
          <w:r>
            <w:fldChar w:fldCharType="separate"/>
          </w:r>
          <w:r>
            <w:t>1</w:t>
          </w:r>
          <w:r>
            <w:fldChar w:fldCharType="end"/>
          </w:r>
          <w:r>
            <w:rPr>
              <w:rFonts w:hint="default" w:ascii="Times New Roman" w:hAnsi="Times New Roman" w:eastAsia="宋体" w:cs="Times New Roman"/>
              <w:kern w:val="2"/>
              <w:lang w:val="en-US" w:eastAsia="zh-CN" w:bidi="ar-SA"/>
            </w:rPr>
            <w:fldChar w:fldCharType="end"/>
          </w:r>
        </w:p>
        <w:p w14:paraId="6A7CB34D">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_Toc17395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1. 研究背景与意义</w:t>
          </w:r>
          <w:r>
            <w:tab/>
          </w:r>
          <w:r>
            <w:fldChar w:fldCharType="begin"/>
          </w:r>
          <w:r>
            <w:instrText xml:space="preserve"> PAGEREF _Toc17395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5341157B">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_Toc6308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rPr>
            <w:t xml:space="preserve">1.1. </w:t>
          </w:r>
          <w:r>
            <w:rPr>
              <w:rFonts w:hint="default" w:ascii="Times New Roman" w:hAnsi="Times New Roman" w:cs="Times New Roman"/>
              <w:szCs w:val="28"/>
              <w:lang w:val="en-US" w:eastAsia="zh-CN"/>
            </w:rPr>
            <w:t>研究背景</w:t>
          </w:r>
          <w:r>
            <w:tab/>
          </w:r>
          <w:r>
            <w:fldChar w:fldCharType="begin"/>
          </w:r>
          <w:r>
            <w:instrText xml:space="preserve"> PAGEREF _Toc6308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12FDEA3B">
          <w:pPr>
            <w:pStyle w:val="31"/>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_Toc4658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4"/>
              <w:lang w:val="en-US" w:eastAsia="zh-CN"/>
            </w:rPr>
            <w:t xml:space="preserve">1.1.1. </w:t>
          </w:r>
          <w:r>
            <w:rPr>
              <w:rFonts w:hint="eastAsia" w:ascii="Times New Roman" w:hAnsi="Times New Roman" w:cs="Times New Roman"/>
              <w:szCs w:val="24"/>
              <w:lang w:val="en-US" w:eastAsia="zh-CN"/>
            </w:rPr>
            <w:t>机械制造设施</w:t>
          </w:r>
          <w:r>
            <w:rPr>
              <w:rFonts w:hint="default" w:ascii="Times New Roman" w:hAnsi="Times New Roman" w:cs="Times New Roman"/>
              <w:szCs w:val="24"/>
              <w:lang w:val="en-US" w:eastAsia="zh-CN"/>
            </w:rPr>
            <w:t>分类</w:t>
          </w:r>
          <w:r>
            <w:tab/>
          </w:r>
          <w:r>
            <w:fldChar w:fldCharType="begin"/>
          </w:r>
          <w:r>
            <w:instrText xml:space="preserve"> PAGEREF _Toc4658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5B93E8DD">
          <w:pPr>
            <w:pStyle w:val="31"/>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_Toc16027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4"/>
              <w:lang w:val="en-US" w:eastAsia="zh-CN"/>
            </w:rPr>
            <w:t>1.1.2. 热辐射HS与建筑响应特征</w:t>
          </w:r>
          <w:r>
            <w:tab/>
          </w:r>
          <w:r>
            <w:fldChar w:fldCharType="begin"/>
          </w:r>
          <w:r>
            <w:instrText xml:space="preserve"> PAGEREF _Toc16027 \h </w:instrText>
          </w:r>
          <w:r>
            <w:fldChar w:fldCharType="separate"/>
          </w:r>
          <w:r>
            <w:t>3</w:t>
          </w:r>
          <w:r>
            <w:fldChar w:fldCharType="end"/>
          </w:r>
          <w:r>
            <w:rPr>
              <w:rFonts w:hint="default" w:ascii="Times New Roman" w:hAnsi="Times New Roman" w:eastAsia="宋体" w:cs="Times New Roman"/>
              <w:kern w:val="2"/>
              <w:lang w:val="en-US" w:eastAsia="zh-CN" w:bidi="ar-SA"/>
            </w:rPr>
            <w:fldChar w:fldCharType="end"/>
          </w:r>
        </w:p>
        <w:p w14:paraId="4205E366">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_Toc11864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1.2. 研究目标与范围</w:t>
          </w:r>
          <w:r>
            <w:tab/>
          </w:r>
          <w:r>
            <w:fldChar w:fldCharType="begin"/>
          </w:r>
          <w:r>
            <w:instrText xml:space="preserve"> PAGEREF _Toc11864 \h </w:instrText>
          </w:r>
          <w:r>
            <w:fldChar w:fldCharType="separate"/>
          </w:r>
          <w:r>
            <w:t>3</w:t>
          </w:r>
          <w:r>
            <w:fldChar w:fldCharType="end"/>
          </w:r>
          <w:r>
            <w:rPr>
              <w:rFonts w:hint="default" w:ascii="Times New Roman" w:hAnsi="Times New Roman" w:eastAsia="宋体" w:cs="Times New Roman"/>
              <w:kern w:val="2"/>
              <w:lang w:val="en-US" w:eastAsia="zh-CN" w:bidi="ar-SA"/>
            </w:rPr>
            <w:fldChar w:fldCharType="end"/>
          </w:r>
        </w:p>
        <w:p w14:paraId="461DDDD4">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_Toc32677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2. 数据体系建设</w:t>
          </w:r>
          <w:r>
            <w:tab/>
          </w:r>
          <w:r>
            <w:fldChar w:fldCharType="begin"/>
          </w:r>
          <w:r>
            <w:instrText xml:space="preserve"> PAGEREF _Toc32677 \h </w:instrText>
          </w:r>
          <w:r>
            <w:fldChar w:fldCharType="separate"/>
          </w:r>
          <w:r>
            <w:t>5</w:t>
          </w:r>
          <w:r>
            <w:fldChar w:fldCharType="end"/>
          </w:r>
          <w:r>
            <w:rPr>
              <w:rFonts w:hint="default" w:ascii="Times New Roman" w:hAnsi="Times New Roman" w:eastAsia="宋体" w:cs="Times New Roman"/>
              <w:kern w:val="2"/>
              <w:lang w:val="en-US" w:eastAsia="zh-CN" w:bidi="ar-SA"/>
            </w:rPr>
            <w:fldChar w:fldCharType="end"/>
          </w:r>
        </w:p>
        <w:p w14:paraId="33EFD7FF">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_Toc27615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2.1. 数据组成</w:t>
          </w:r>
          <w:r>
            <w:tab/>
          </w:r>
          <w:r>
            <w:fldChar w:fldCharType="begin"/>
          </w:r>
          <w:r>
            <w:instrText xml:space="preserve"> PAGEREF _Toc27615 \h </w:instrText>
          </w:r>
          <w:r>
            <w:fldChar w:fldCharType="separate"/>
          </w:r>
          <w:r>
            <w:t>5</w:t>
          </w:r>
          <w:r>
            <w:fldChar w:fldCharType="end"/>
          </w:r>
          <w:r>
            <w:rPr>
              <w:rFonts w:hint="default" w:ascii="Times New Roman" w:hAnsi="Times New Roman" w:eastAsia="宋体" w:cs="Times New Roman"/>
              <w:kern w:val="2"/>
              <w:lang w:val="en-US" w:eastAsia="zh-CN" w:bidi="ar-SA"/>
            </w:rPr>
            <w:fldChar w:fldCharType="end"/>
          </w:r>
        </w:p>
        <w:p w14:paraId="05ACEC21">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_Toc443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8"/>
              <w:lang w:val="en-US" w:eastAsia="zh-CN"/>
            </w:rPr>
            <w:t>2.2. 工况覆盖</w:t>
          </w:r>
          <w:r>
            <w:tab/>
          </w:r>
          <w:r>
            <w:fldChar w:fldCharType="begin"/>
          </w:r>
          <w:r>
            <w:instrText xml:space="preserve"> PAGEREF _Toc443 \h </w:instrText>
          </w:r>
          <w:r>
            <w:fldChar w:fldCharType="separate"/>
          </w:r>
          <w:r>
            <w:t>6</w:t>
          </w:r>
          <w:r>
            <w:fldChar w:fldCharType="end"/>
          </w:r>
          <w:r>
            <w:rPr>
              <w:rFonts w:hint="default" w:ascii="Times New Roman" w:hAnsi="Times New Roman" w:eastAsia="宋体" w:cs="Times New Roman"/>
              <w:kern w:val="2"/>
              <w:lang w:val="en-US" w:eastAsia="zh-CN" w:bidi="ar-SA"/>
            </w:rPr>
            <w:fldChar w:fldCharType="end"/>
          </w:r>
        </w:p>
        <w:p w14:paraId="6C6A28BA">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_Toc32698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8"/>
              <w:lang w:val="en-US" w:eastAsia="zh-CN"/>
            </w:rPr>
            <w:t xml:space="preserve">2.3. </w:t>
          </w:r>
          <w:r>
            <w:rPr>
              <w:rFonts w:hint="eastAsia"/>
            </w:rPr>
            <w:t>设施构型与目标特征覆盖</w:t>
          </w:r>
          <w:r>
            <w:tab/>
          </w:r>
          <w:r>
            <w:fldChar w:fldCharType="begin"/>
          </w:r>
          <w:r>
            <w:instrText xml:space="preserve"> PAGEREF _Toc32698 \h </w:instrText>
          </w:r>
          <w:r>
            <w:fldChar w:fldCharType="separate"/>
          </w:r>
          <w:r>
            <w:t>6</w:t>
          </w:r>
          <w:r>
            <w:fldChar w:fldCharType="end"/>
          </w:r>
          <w:r>
            <w:rPr>
              <w:rFonts w:hint="default" w:ascii="Times New Roman" w:hAnsi="Times New Roman" w:eastAsia="宋体" w:cs="Times New Roman"/>
              <w:kern w:val="2"/>
              <w:lang w:val="en-US" w:eastAsia="zh-CN" w:bidi="ar-SA"/>
            </w:rPr>
            <w:fldChar w:fldCharType="end"/>
          </w:r>
        </w:p>
        <w:p w14:paraId="22DE5D99">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_Toc6520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 xml:space="preserve">3. </w:t>
          </w:r>
          <w:r>
            <w:rPr>
              <w:rFonts w:hint="default" w:ascii="Times New Roman" w:hAnsi="Times New Roman" w:cs="Times New Roman"/>
              <w:lang w:val="en-US" w:eastAsia="zh-CN"/>
            </w:rPr>
            <w:t>特征参数工程</w:t>
          </w:r>
          <w:r>
            <w:tab/>
          </w:r>
          <w:r>
            <w:fldChar w:fldCharType="begin"/>
          </w:r>
          <w:r>
            <w:instrText xml:space="preserve"> PAGEREF _Toc6520 \h </w:instrText>
          </w:r>
          <w:r>
            <w:fldChar w:fldCharType="separate"/>
          </w:r>
          <w:r>
            <w:t>8</w:t>
          </w:r>
          <w:r>
            <w:fldChar w:fldCharType="end"/>
          </w:r>
          <w:r>
            <w:rPr>
              <w:rFonts w:hint="default" w:ascii="Times New Roman" w:hAnsi="Times New Roman" w:eastAsia="宋体" w:cs="Times New Roman"/>
              <w:kern w:val="2"/>
              <w:lang w:val="en-US" w:eastAsia="zh-CN" w:bidi="ar-SA"/>
            </w:rPr>
            <w:fldChar w:fldCharType="end"/>
          </w:r>
        </w:p>
        <w:p w14:paraId="5C9FA89F">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_Toc22976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3.1. 特征分类</w:t>
          </w:r>
          <w:r>
            <w:tab/>
          </w:r>
          <w:r>
            <w:fldChar w:fldCharType="begin"/>
          </w:r>
          <w:r>
            <w:instrText xml:space="preserve"> PAGEREF _Toc22976 \h </w:instrText>
          </w:r>
          <w:r>
            <w:fldChar w:fldCharType="separate"/>
          </w:r>
          <w:r>
            <w:t>8</w:t>
          </w:r>
          <w:r>
            <w:fldChar w:fldCharType="end"/>
          </w:r>
          <w:r>
            <w:rPr>
              <w:rFonts w:hint="default" w:ascii="Times New Roman" w:hAnsi="Times New Roman" w:eastAsia="宋体" w:cs="Times New Roman"/>
              <w:kern w:val="2"/>
              <w:lang w:val="en-US" w:eastAsia="zh-CN" w:bidi="ar-SA"/>
            </w:rPr>
            <w:fldChar w:fldCharType="end"/>
          </w:r>
        </w:p>
        <w:p w14:paraId="512BA436">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_Toc22101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3.2. </w:t>
          </w:r>
          <w:r>
            <w:rPr>
              <w:rFonts w:hint="default" w:ascii="Times New Roman" w:hAnsi="Times New Roman" w:cs="Times New Roman"/>
              <w:lang w:val="en-US" w:eastAsia="zh-CN"/>
            </w:rPr>
            <w:t>特征处理</w:t>
          </w:r>
          <w:r>
            <w:tab/>
          </w:r>
          <w:r>
            <w:fldChar w:fldCharType="begin"/>
          </w:r>
          <w:r>
            <w:instrText xml:space="preserve"> PAGEREF _Toc22101 \h </w:instrText>
          </w:r>
          <w:r>
            <w:fldChar w:fldCharType="separate"/>
          </w:r>
          <w:r>
            <w:t>10</w:t>
          </w:r>
          <w:r>
            <w:fldChar w:fldCharType="end"/>
          </w:r>
          <w:r>
            <w:rPr>
              <w:rFonts w:hint="default" w:ascii="Times New Roman" w:hAnsi="Times New Roman" w:eastAsia="宋体" w:cs="Times New Roman"/>
              <w:kern w:val="2"/>
              <w:lang w:val="en-US" w:eastAsia="zh-CN" w:bidi="ar-SA"/>
            </w:rPr>
            <w:fldChar w:fldCharType="end"/>
          </w:r>
        </w:p>
        <w:p w14:paraId="4794BF76">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_Toc13947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3.3. 特征重要性分析</w:t>
          </w:r>
          <w:r>
            <w:tab/>
          </w:r>
          <w:r>
            <w:fldChar w:fldCharType="begin"/>
          </w:r>
          <w:r>
            <w:instrText xml:space="preserve"> PAGEREF _Toc13947 \h </w:instrText>
          </w:r>
          <w:r>
            <w:fldChar w:fldCharType="separate"/>
          </w:r>
          <w:r>
            <w:t>10</w:t>
          </w:r>
          <w:r>
            <w:fldChar w:fldCharType="end"/>
          </w:r>
          <w:r>
            <w:rPr>
              <w:rFonts w:hint="default" w:ascii="Times New Roman" w:hAnsi="Times New Roman" w:eastAsia="宋体" w:cs="Times New Roman"/>
              <w:kern w:val="2"/>
              <w:lang w:val="en-US" w:eastAsia="zh-CN" w:bidi="ar-SA"/>
            </w:rPr>
            <w:fldChar w:fldCharType="end"/>
          </w:r>
        </w:p>
        <w:p w14:paraId="59FE7548">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_Toc10694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4. 代理模型架构设计</w:t>
          </w:r>
          <w:r>
            <w:tab/>
          </w:r>
          <w:r>
            <w:fldChar w:fldCharType="begin"/>
          </w:r>
          <w:r>
            <w:instrText xml:space="preserve"> PAGEREF _Toc10694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54BB6147">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_Toc5215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 xml:space="preserve">4.1. </w:t>
          </w:r>
          <w:r>
            <w:rPr>
              <w:rFonts w:hint="default" w:ascii="Times New Roman" w:hAnsi="Times New Roman" w:cs="Times New Roman"/>
            </w:rPr>
            <w:t>ExtraTrees 建模原理</w:t>
          </w:r>
          <w:r>
            <w:tab/>
          </w:r>
          <w:r>
            <w:fldChar w:fldCharType="begin"/>
          </w:r>
          <w:r>
            <w:instrText xml:space="preserve"> PAGEREF _Toc5215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23EC4E5C">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_Toc18450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4.2. 连续 Dk 回归</w:t>
          </w:r>
          <w:r>
            <w:tab/>
          </w:r>
          <w:r>
            <w:fldChar w:fldCharType="begin"/>
          </w:r>
          <w:r>
            <w:instrText xml:space="preserve"> PAGEREF _Toc18450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708A8999">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_Toc20400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4.3. </w:t>
          </w:r>
          <w:r>
            <w:rPr>
              <w:rFonts w:hint="default" w:ascii="Times New Roman" w:hAnsi="Times New Roman" w:cs="Times New Roman"/>
              <w:lang w:eastAsia="zh-CN"/>
            </w:rPr>
            <w:t>HS</w:t>
          </w:r>
          <w:r>
            <w:rPr>
              <w:rFonts w:hint="default" w:ascii="Times New Roman" w:hAnsi="Times New Roman" w:cs="Times New Roman"/>
            </w:rPr>
            <w:t>分类</w:t>
          </w:r>
          <w:r>
            <w:tab/>
          </w:r>
          <w:r>
            <w:fldChar w:fldCharType="begin"/>
          </w:r>
          <w:r>
            <w:instrText xml:space="preserve"> PAGEREF _Toc20400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5775EB4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_Toc6433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4.4. 等级一致性约束</w:t>
          </w:r>
          <w:r>
            <w:tab/>
          </w:r>
          <w:r>
            <w:fldChar w:fldCharType="begin"/>
          </w:r>
          <w:r>
            <w:instrText xml:space="preserve"> PAGEREF _Toc6433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470997AB">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_Toc674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4.5. 模型</w:t>
          </w:r>
          <w:r>
            <w:rPr>
              <w:rFonts w:hint="default" w:ascii="Times New Roman" w:hAnsi="Times New Roman" w:cs="Times New Roman"/>
              <w:lang w:val="en-US" w:eastAsia="zh-CN"/>
            </w:rPr>
            <w:t>参数与树数选择</w:t>
          </w:r>
          <w:r>
            <w:tab/>
          </w:r>
          <w:r>
            <w:fldChar w:fldCharType="begin"/>
          </w:r>
          <w:r>
            <w:instrText xml:space="preserve"> PAGEREF _Toc674 \h </w:instrText>
          </w:r>
          <w:r>
            <w:fldChar w:fldCharType="separate"/>
          </w:r>
          <w:r>
            <w:t>14</w:t>
          </w:r>
          <w:r>
            <w:fldChar w:fldCharType="end"/>
          </w:r>
          <w:r>
            <w:rPr>
              <w:rFonts w:hint="default" w:ascii="Times New Roman" w:hAnsi="Times New Roman" w:eastAsia="宋体" w:cs="Times New Roman"/>
              <w:kern w:val="2"/>
              <w:lang w:val="en-US" w:eastAsia="zh-CN" w:bidi="ar-SA"/>
            </w:rPr>
            <w:fldChar w:fldCharType="end"/>
          </w:r>
        </w:p>
        <w:p w14:paraId="5A527B75">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_Toc152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 </w:t>
          </w:r>
          <w:r>
            <w:rPr>
              <w:rFonts w:hint="default" w:ascii="Times New Roman" w:hAnsi="Times New Roman" w:cs="Times New Roman"/>
              <w:lang w:val="en-US" w:eastAsia="zh-CN"/>
            </w:rPr>
            <w:t>模型训练与验证</w:t>
          </w:r>
          <w:r>
            <w:tab/>
          </w:r>
          <w:r>
            <w:fldChar w:fldCharType="begin"/>
          </w:r>
          <w:r>
            <w:instrText xml:space="preserve"> PAGEREF _Toc152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5B617F80">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_Toc29560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5.1. </w:t>
          </w:r>
          <w:r>
            <w:rPr>
              <w:rFonts w:hint="default" w:ascii="Times New Roman" w:hAnsi="Times New Roman" w:cs="Times New Roman"/>
              <w:lang w:val="en-US" w:eastAsia="zh-CN"/>
            </w:rPr>
            <w:t>数据划分</w:t>
          </w:r>
          <w:r>
            <w:tab/>
          </w:r>
          <w:r>
            <w:fldChar w:fldCharType="begin"/>
          </w:r>
          <w:r>
            <w:instrText xml:space="preserve"> PAGEREF _Toc29560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48DDCEAB">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_Toc16380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5.2. </w:t>
          </w:r>
          <w:r>
            <w:rPr>
              <w:rFonts w:hint="default" w:ascii="Times New Roman" w:hAnsi="Times New Roman" w:cs="Times New Roman"/>
              <w:lang w:val="en-US" w:eastAsia="zh-CN"/>
            </w:rPr>
            <w:t>评价指标</w:t>
          </w:r>
          <w:r>
            <w:tab/>
          </w:r>
          <w:r>
            <w:fldChar w:fldCharType="begin"/>
          </w:r>
          <w:r>
            <w:instrText xml:space="preserve"> PAGEREF _Toc16380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71F5FA67">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_Toc26804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5.3. </w:t>
          </w:r>
          <w:r>
            <w:rPr>
              <w:rFonts w:hint="default" w:ascii="Times New Roman" w:hAnsi="Times New Roman" w:cs="Times New Roman"/>
              <w:lang w:val="en-US" w:eastAsia="zh-CN"/>
            </w:rPr>
            <w:t>综合模型评价结果</w:t>
          </w:r>
          <w:r>
            <w:tab/>
          </w:r>
          <w:r>
            <w:fldChar w:fldCharType="begin"/>
          </w:r>
          <w:r>
            <w:instrText xml:space="preserve"> PAGEREF _Toc26804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72CF3A8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_Toc2734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5.4. 模型性能评估</w:t>
          </w:r>
          <w:r>
            <w:tab/>
          </w:r>
          <w:r>
            <w:fldChar w:fldCharType="begin"/>
          </w:r>
          <w:r>
            <w:instrText xml:space="preserve"> PAGEREF _Toc2734 \h </w:instrText>
          </w:r>
          <w:r>
            <w:fldChar w:fldCharType="separate"/>
          </w:r>
          <w:r>
            <w:t>17</w:t>
          </w:r>
          <w:r>
            <w:fldChar w:fldCharType="end"/>
          </w:r>
          <w:r>
            <w:rPr>
              <w:rFonts w:hint="default" w:ascii="Times New Roman" w:hAnsi="Times New Roman" w:eastAsia="宋体" w:cs="Times New Roman"/>
              <w:kern w:val="2"/>
              <w:lang w:val="en-US" w:eastAsia="zh-CN" w:bidi="ar-SA"/>
            </w:rPr>
            <w:fldChar w:fldCharType="end"/>
          </w:r>
        </w:p>
        <w:p w14:paraId="69A39827">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_Toc15245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6. 仿真程序集成与界面展示</w:t>
          </w:r>
          <w:r>
            <w:tab/>
          </w:r>
          <w:r>
            <w:fldChar w:fldCharType="begin"/>
          </w:r>
          <w:r>
            <w:instrText xml:space="preserve"> PAGEREF _Toc15245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50286125">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_Toc25339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6.1. 系统集成架构</w:t>
          </w:r>
          <w:r>
            <w:tab/>
          </w:r>
          <w:r>
            <w:fldChar w:fldCharType="begin"/>
          </w:r>
          <w:r>
            <w:instrText xml:space="preserve"> PAGEREF _Toc25339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72B30FA5">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_Toc835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6.2. </w:t>
          </w:r>
          <w:r>
            <w:rPr>
              <w:rFonts w:hint="default" w:ascii="Times New Roman" w:hAnsi="Times New Roman" w:cs="Times New Roman"/>
              <w:lang w:val="en-US" w:eastAsia="zh-CN"/>
            </w:rPr>
            <w:t>程序操作流程</w:t>
          </w:r>
          <w:r>
            <w:tab/>
          </w:r>
          <w:r>
            <w:fldChar w:fldCharType="begin"/>
          </w:r>
          <w:r>
            <w:instrText xml:space="preserve"> PAGEREF _Toc835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1315CE0D">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_Toc20641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7. 总结</w:t>
          </w:r>
          <w:r>
            <w:tab/>
          </w:r>
          <w:r>
            <w:fldChar w:fldCharType="begin"/>
          </w:r>
          <w:r>
            <w:instrText xml:space="preserve"> PAGEREF _Toc20641 \h </w:instrText>
          </w:r>
          <w:r>
            <w:fldChar w:fldCharType="separate"/>
          </w:r>
          <w:r>
            <w:t>21</w:t>
          </w:r>
          <w:r>
            <w:fldChar w:fldCharType="end"/>
          </w:r>
          <w:r>
            <w:rPr>
              <w:rFonts w:hint="default" w:ascii="Times New Roman" w:hAnsi="Times New Roman" w:eastAsia="宋体" w:cs="Times New Roman"/>
              <w:kern w:val="2"/>
              <w:lang w:val="en-US" w:eastAsia="zh-CN" w:bidi="ar-SA"/>
            </w:rPr>
            <w:fldChar w:fldCharType="end"/>
          </w:r>
        </w:p>
        <w:p w14:paraId="6D5FC62E">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_Toc18456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eastAsia="宋体" w:cs="Times New Roman"/>
              <w:szCs w:val="28"/>
              <w:lang w:val="en-US" w:eastAsia="zh-CN"/>
            </w:rPr>
            <w:t>参考文献</w:t>
          </w:r>
          <w:r>
            <w:tab/>
          </w:r>
          <w:r>
            <w:fldChar w:fldCharType="begin"/>
          </w:r>
          <w:r>
            <w:instrText xml:space="preserve"> PAGEREF _Toc18456 \h </w:instrText>
          </w:r>
          <w:r>
            <w:fldChar w:fldCharType="separate"/>
          </w:r>
          <w:r>
            <w:t>22</w:t>
          </w:r>
          <w:r>
            <w:fldChar w:fldCharType="end"/>
          </w:r>
          <w:r>
            <w:rPr>
              <w:rFonts w:hint="default" w:ascii="Times New Roman" w:hAnsi="Times New Roman" w:eastAsia="宋体" w:cs="Times New Roman"/>
              <w:kern w:val="2"/>
              <w:lang w:val="en-US" w:eastAsia="zh-CN" w:bidi="ar-SA"/>
            </w:rPr>
            <w:fldChar w:fldCharType="end"/>
          </w:r>
        </w:p>
        <w:p w14:paraId="00253A2B">
          <w:pPr>
            <w:rPr>
              <w:rFonts w:hint="default" w:ascii="Times New Roman" w:hAnsi="Times New Roman" w:eastAsia="宋体" w:cs="Times New Roman"/>
              <w:color w:val="000000"/>
              <w:kern w:val="2"/>
              <w:sz w:val="24"/>
              <w:szCs w:val="24"/>
              <w:u w:val="none"/>
              <w:lang w:val="en-US" w:eastAsia="zh-CN" w:bidi="ar-SA"/>
            </w:rPr>
          </w:pPr>
          <w:r>
            <w:rPr>
              <w:rFonts w:hint="default" w:ascii="Times New Roman" w:hAnsi="Times New Roman" w:eastAsia="宋体" w:cs="Times New Roman"/>
              <w:kern w:val="2"/>
              <w:lang w:val="en-US" w:eastAsia="zh-CN" w:bidi="ar-SA"/>
            </w:rPr>
            <w:fldChar w:fldCharType="end"/>
          </w:r>
        </w:p>
      </w:sdtContent>
    </w:sdt>
    <w:p w14:paraId="0037EFA8">
      <w:pPr>
        <w:rPr>
          <w:rFonts w:hint="default" w:ascii="Times New Roman" w:hAnsi="Times New Roman" w:eastAsia="宋体" w:cs="Times New Roman"/>
          <w:color w:val="000000"/>
          <w:kern w:val="2"/>
          <w:sz w:val="24"/>
          <w:szCs w:val="24"/>
          <w:u w:val="none"/>
          <w:lang w:val="en-US" w:eastAsia="zh-CN" w:bidi="ar-SA"/>
        </w:rPr>
        <w:sectPr>
          <w:footerReference r:id="rId11" w:type="first"/>
          <w:footerReference r:id="rId9" w:type="default"/>
          <w:headerReference r:id="rId8" w:type="even"/>
          <w:footerReference r:id="rId10" w:type="even"/>
          <w:pgSz w:w="11906" w:h="16838"/>
          <w:pgMar w:top="1440" w:right="1800" w:bottom="1440" w:left="1800" w:header="851" w:footer="992" w:gutter="0"/>
          <w:pgNumType w:fmt="upperRoman" w:start="1"/>
          <w:cols w:space="720" w:num="1"/>
          <w:docGrid w:type="lines" w:linePitch="326" w:charSpace="0"/>
        </w:sectPr>
      </w:pPr>
    </w:p>
    <w:p w14:paraId="328A2C14">
      <w:pPr>
        <w:outlineLvl w:val="0"/>
        <w:rPr>
          <w:rStyle w:val="23"/>
          <w:rFonts w:hint="default" w:ascii="Times New Roman" w:hAnsi="Times New Roman" w:cs="Times New Roman"/>
          <w:b/>
          <w:sz w:val="32"/>
          <w:szCs w:val="32"/>
          <w:lang w:val="en-US" w:eastAsia="zh-CN"/>
        </w:rPr>
      </w:pPr>
      <w:bookmarkStart w:id="0" w:name="_Toc8722"/>
      <w:bookmarkStart w:id="1" w:name="_Toc21349"/>
      <w:r>
        <w:rPr>
          <w:rStyle w:val="23"/>
          <w:rFonts w:hint="default" w:ascii="Times New Roman" w:hAnsi="Times New Roman" w:cs="Times New Roman"/>
          <w:b/>
          <w:sz w:val="32"/>
          <w:szCs w:val="32"/>
          <w:lang w:val="en-US" w:eastAsia="zh-CN"/>
        </w:rPr>
        <w:t>引言</w:t>
      </w:r>
      <w:bookmarkEnd w:id="0"/>
      <w:bookmarkEnd w:id="1"/>
    </w:p>
    <w:p w14:paraId="759EE9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机械制造设施承担零部件加工、部件装配、整机总装和综合制造等任务，生产线连续性、关键机床与控制系统的可用性直接影响产能恢复。本报告覆盖总装、部件装配、切削加工、综合机械制造及不同尺度的通用机械加工厂房。此类设施通常采用大跨生产空间，内部布置机床、装配线、起重与输送设备、控制和配电单元，并伴随油品、涂装材料、包装材料及局部气体供应。外部热辐射从不同方位和俯仰角作用时，围护结构、门窗、物流门和通风开口对能量传递的影响不同，使设施级毁伤同时具有非线性、方向性和尺度效应。</w:t>
      </w:r>
    </w:p>
    <w:p w14:paraId="3369B0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本报告建立基于 FDS 数值模拟数据的机械制造设施工程预测方法。模型以热源工况特征与设施构型及目标特征为输入，同时预测连续毁伤指数 Dk 和四级毁伤结果。通过等级约束机制，连续值与工程等级保持一致，可用于热辐射工况快速筛查、阈值方向分析和代表性工况选择。</w:t>
      </w:r>
    </w:p>
    <w:p w14:paraId="6D5BA6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仿宋_GB2312" w:cs="Times New Roman"/>
          <w:sz w:val="24"/>
          <w:szCs w:val="24"/>
          <w:lang w:val="en-US" w:eastAsia="zh-CN"/>
        </w:rPr>
        <w:sectPr>
          <w:footerReference r:id="rId12" w:type="default"/>
          <w:pgSz w:w="11906" w:h="16838"/>
          <w:pgMar w:top="1440" w:right="1800" w:bottom="1440" w:left="1800" w:header="851" w:footer="992" w:gutter="0"/>
          <w:pgNumType w:fmt="decimal" w:start="1"/>
          <w:cols w:space="720" w:num="1"/>
          <w:docGrid w:type="lines" w:linePitch="326" w:charSpace="0"/>
        </w:sectPr>
      </w:pPr>
      <w:r>
        <w:rPr>
          <w:rFonts w:hint="default" w:ascii="Times New Roman" w:hAnsi="Times New Roman" w:cs="Times New Roman"/>
          <w:sz w:val="24"/>
          <w:szCs w:val="24"/>
        </w:rPr>
        <w:t>当前合格数据共包含6558条模拟工况，其中机械制造设施为923条工况，包括4个特异设施模型和3个大、中、小等效设施模型。模型对各设施分别训练逐设施代理模型，以保证评价口径和模型参数一致；同时对机械制造类测试子集和各机械制造设施分别进行专项统计，并通过专项因素重要性分析解释阈值分布特征。</w:t>
      </w:r>
    </w:p>
    <w:p w14:paraId="7E0AF3C6">
      <w:pPr>
        <w:pStyle w:val="2"/>
        <w:bidi w:val="0"/>
        <w:ind w:left="432" w:leftChars="0" w:hanging="432" w:firstLineChars="0"/>
        <w:rPr>
          <w:rStyle w:val="23"/>
          <w:rFonts w:hint="default" w:ascii="Times New Roman" w:hAnsi="Times New Roman" w:cs="Times New Roman"/>
          <w:b/>
          <w:szCs w:val="32"/>
          <w:lang w:val="en-US" w:eastAsia="zh-CN"/>
        </w:rPr>
      </w:pPr>
      <w:bookmarkStart w:id="2" w:name="_Toc17395"/>
      <w:r>
        <w:rPr>
          <w:rStyle w:val="23"/>
          <w:rFonts w:hint="default" w:ascii="Times New Roman" w:hAnsi="Times New Roman" w:cs="Times New Roman"/>
          <w:b/>
          <w:szCs w:val="32"/>
          <w:lang w:val="en-US" w:eastAsia="zh-CN"/>
        </w:rPr>
        <w:t>研究背景与意义</w:t>
      </w:r>
      <w:bookmarkEnd w:id="2"/>
    </w:p>
    <w:p w14:paraId="72ACFC29">
      <w:pPr>
        <w:pStyle w:val="3"/>
        <w:bidi w:val="0"/>
        <w:rPr>
          <w:rFonts w:hint="default" w:ascii="Times New Roman" w:hAnsi="Times New Roman" w:cs="Times New Roman"/>
          <w:lang w:val="en-US"/>
        </w:rPr>
      </w:pPr>
      <w:bookmarkStart w:id="3" w:name="_Toc6308"/>
      <w:r>
        <w:rPr>
          <w:rStyle w:val="23"/>
          <w:rFonts w:hint="default" w:ascii="Times New Roman" w:hAnsi="Times New Roman" w:cs="Times New Roman"/>
          <w:b/>
          <w:szCs w:val="28"/>
          <w:lang w:val="en-US" w:eastAsia="zh-CN"/>
        </w:rPr>
        <w:t>研究背景</w:t>
      </w:r>
      <w:bookmarkEnd w:id="3"/>
    </w:p>
    <w:p w14:paraId="575CD42A">
      <w:pPr>
        <w:pStyle w:val="4"/>
        <w:bidi w:val="0"/>
        <w:rPr>
          <w:rStyle w:val="23"/>
          <w:rFonts w:hint="default" w:ascii="Times New Roman" w:hAnsi="Times New Roman" w:cs="Times New Roman"/>
          <w:b/>
          <w:szCs w:val="24"/>
          <w:lang w:val="en-US" w:eastAsia="zh-CN"/>
        </w:rPr>
      </w:pPr>
      <w:bookmarkStart w:id="4" w:name="_Toc4658"/>
      <w:r>
        <w:rPr>
          <w:rStyle w:val="23"/>
          <w:rFonts w:hint="eastAsia" w:ascii="Times New Roman" w:hAnsi="Times New Roman" w:cs="Times New Roman"/>
          <w:b/>
          <w:szCs w:val="24"/>
          <w:lang w:val="en-US" w:eastAsia="zh-CN"/>
        </w:rPr>
        <w:t>机械制造设施</w:t>
      </w:r>
      <w:r>
        <w:rPr>
          <w:rStyle w:val="23"/>
          <w:rFonts w:hint="default" w:ascii="Times New Roman" w:hAnsi="Times New Roman" w:cs="Times New Roman"/>
          <w:b/>
          <w:szCs w:val="24"/>
          <w:lang w:val="en-US" w:eastAsia="zh-CN"/>
        </w:rPr>
        <w:t>分类</w:t>
      </w:r>
      <w:bookmarkEnd w:id="4"/>
    </w:p>
    <w:p w14:paraId="78483EEB">
      <w:pPr>
        <w:bidi w:val="0"/>
        <w:rPr>
          <w:rStyle w:val="23"/>
          <w:rFonts w:hint="default" w:ascii="Times New Roman" w:hAnsi="Times New Roman" w:cs="Times New Roman"/>
          <w:szCs w:val="24"/>
          <w:lang w:val="en-US" w:eastAsia="zh-CN"/>
        </w:rPr>
      </w:pPr>
      <w:r>
        <w:rPr>
          <w:rStyle w:val="23"/>
          <w:rFonts w:hint="default" w:ascii="Times New Roman" w:hAnsi="Times New Roman" w:cs="Times New Roman"/>
          <w:szCs w:val="24"/>
          <w:lang w:val="en-US" w:eastAsia="zh-CN"/>
        </w:rPr>
        <w:t>本报告涉及的机械制造设施共 7 个。其中，弗莱马斯特总装设施、格里森切削工具设施、哈比森-费希尔部装设施和特斯拉机械制造设施属于具有明确工程对象的特异设施模型；大型、中型和小型机械制造等效设施用于表征不同尺度下的通用厂房、设备和目标组合，属于等效设施模型。两类模型均包含完整的计算域、建筑与设备几何、开口、测点和资产损伤信息。</w:t>
      </w:r>
    </w:p>
    <w:p w14:paraId="32D7E748">
      <w:pPr>
        <w:bidi w:val="0"/>
        <w:rPr>
          <w:rStyle w:val="23"/>
          <w:rFonts w:hint="default" w:ascii="Times New Roman" w:hAnsi="Times New Roman" w:cs="Times New Roman"/>
          <w:szCs w:val="24"/>
          <w:lang w:val="en-US" w:eastAsia="zh-CN"/>
        </w:rPr>
      </w:pPr>
      <w:r>
        <w:rPr>
          <w:rStyle w:val="23"/>
          <w:rFonts w:hint="default" w:ascii="Times New Roman" w:hAnsi="Times New Roman" w:cs="Times New Roman"/>
          <w:szCs w:val="24"/>
          <w:lang w:val="en-US" w:eastAsia="zh-CN"/>
        </w:rPr>
        <w:t>总装设施通常需要连续大空间与较大的物流开口，部装设施以装配工位、局部生产单元和物料暂存区为主，切削加工设施则具有机床密集、切削液与润滑系统集中的特点，综合机械制造设施同时包含加工、装配、物流和辅助动力区域。厂房多采用钢结构或钢筋混凝土结构，外墙、屋面、采光带、门窗和通风系统共同决定外部辐射的衰减与进入路径。物流门、卷帘门及通风百叶较集中的方向，可能使迎火侧设备更直接受热；围护完整或设备远离外墙的方向则可能保持较低设施级损伤。</w:t>
      </w:r>
    </w:p>
    <w:p w14:paraId="61B7A719">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lang w:val="en-US" w:eastAsia="zh-CN"/>
        </w:rPr>
        <w:t xml:space="preserve"> </w:t>
      </w:r>
      <w:r>
        <w:rPr>
          <w:rFonts w:hint="eastAsia" w:ascii="Times New Roman" w:hAnsi="Times New Roman" w:cs="Times New Roman"/>
          <w:lang w:eastAsia="zh-CN"/>
        </w:rPr>
        <w:t>机械制造</w:t>
      </w:r>
      <w:r>
        <w:rPr>
          <w:rFonts w:hint="default" w:ascii="Times New Roman" w:hAnsi="Times New Roman" w:cs="Times New Roman"/>
        </w:rPr>
        <w:t>设施与分类体系</w:t>
      </w:r>
    </w:p>
    <w:tbl>
      <w:tblPr>
        <w:tblStyle w:val="2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2C7C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000000" w:sz="12" w:space="0"/>
              <w:left w:val="nil"/>
              <w:bottom w:val="single" w:color="000000" w:sz="4" w:space="0"/>
              <w:right w:val="nil"/>
              <w:tl2br w:val="nil"/>
            </w:tcBorders>
            <w:shd w:val="clear" w:color="auto" w:fill="FFFFFF"/>
          </w:tcPr>
          <w:p w14:paraId="5B860980">
            <w:pPr>
              <w:pStyle w:val="54"/>
              <w:bidi w:val="0"/>
              <w:rPr>
                <w:rFonts w:hint="default"/>
              </w:rPr>
            </w:pPr>
            <w:r>
              <w:rPr>
                <w:rFonts w:hint="default"/>
              </w:rPr>
              <w:t>设施名称</w:t>
            </w:r>
          </w:p>
        </w:tc>
        <w:tc>
          <w:tcPr>
            <w:tcW w:w="1250" w:type="pct"/>
            <w:tcBorders>
              <w:top w:val="single" w:color="000000" w:sz="12" w:space="0"/>
              <w:left w:val="nil"/>
              <w:bottom w:val="single" w:color="000000" w:sz="4" w:space="0"/>
              <w:right w:val="nil"/>
            </w:tcBorders>
            <w:shd w:val="clear" w:color="auto" w:fill="FFFFFF"/>
          </w:tcPr>
          <w:p w14:paraId="0403BEEA">
            <w:pPr>
              <w:pStyle w:val="54"/>
              <w:bidi w:val="0"/>
              <w:rPr>
                <w:rFonts w:hint="default"/>
              </w:rPr>
            </w:pPr>
            <w:r>
              <w:rPr>
                <w:rFonts w:hint="default"/>
              </w:rPr>
              <w:t>模型类型</w:t>
            </w:r>
          </w:p>
        </w:tc>
        <w:tc>
          <w:tcPr>
            <w:tcW w:w="1250" w:type="pct"/>
            <w:tcBorders>
              <w:top w:val="single" w:color="000000" w:sz="12" w:space="0"/>
              <w:left w:val="nil"/>
              <w:bottom w:val="single" w:color="000000" w:sz="4" w:space="0"/>
              <w:right w:val="nil"/>
            </w:tcBorders>
            <w:shd w:val="clear" w:color="auto" w:fill="FFFFFF"/>
          </w:tcPr>
          <w:p w14:paraId="6539DC2C">
            <w:pPr>
              <w:pStyle w:val="54"/>
              <w:bidi w:val="0"/>
              <w:rPr>
                <w:rFonts w:hint="default"/>
              </w:rPr>
            </w:pPr>
            <w:r>
              <w:rPr>
                <w:rFonts w:hint="default"/>
              </w:rPr>
              <w:t>工程分类</w:t>
            </w:r>
          </w:p>
        </w:tc>
        <w:tc>
          <w:tcPr>
            <w:tcW w:w="1250" w:type="pct"/>
            <w:tcBorders>
              <w:top w:val="single" w:color="000000" w:sz="12" w:space="0"/>
              <w:left w:val="nil"/>
              <w:bottom w:val="single" w:color="000000" w:sz="4" w:space="0"/>
              <w:right w:val="nil"/>
            </w:tcBorders>
            <w:shd w:val="clear" w:color="auto" w:fill="FFFFFF"/>
          </w:tcPr>
          <w:p w14:paraId="23452240">
            <w:pPr>
              <w:pStyle w:val="54"/>
              <w:bidi w:val="0"/>
              <w:rPr>
                <w:rFonts w:hint="default"/>
              </w:rPr>
            </w:pPr>
            <w:r>
              <w:rPr>
                <w:rFonts w:hint="default"/>
              </w:rPr>
              <w:t>工况数</w:t>
            </w:r>
          </w:p>
        </w:tc>
      </w:tr>
      <w:tr w14:paraId="2C3B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9" w:type="pct"/>
            <w:tcBorders>
              <w:top w:val="single" w:color="000000" w:sz="4" w:space="0"/>
              <w:left w:val="nil"/>
              <w:bottom w:val="nil"/>
              <w:right w:val="nil"/>
            </w:tcBorders>
            <w:shd w:val="clear" w:color="auto" w:fill="FFFFFF"/>
            <w:vAlign w:val="top"/>
          </w:tcPr>
          <w:p w14:paraId="5857A957">
            <w:pPr>
              <w:pStyle w:val="54"/>
              <w:bidi w:val="0"/>
              <w:rPr>
                <w:rFonts w:hint="default"/>
              </w:rPr>
            </w:pPr>
            <w:r>
              <w:rPr>
                <w:rFonts w:hint="eastAsia"/>
              </w:rPr>
              <w:t>弗莱马斯特总装设施</w:t>
            </w:r>
          </w:p>
        </w:tc>
        <w:tc>
          <w:tcPr>
            <w:tcW w:w="1250" w:type="pct"/>
            <w:tcBorders>
              <w:top w:val="single" w:color="000000" w:sz="4" w:space="0"/>
              <w:left w:val="nil"/>
              <w:bottom w:val="nil"/>
              <w:right w:val="nil"/>
            </w:tcBorders>
            <w:shd w:val="clear" w:color="auto" w:fill="FFFFFF"/>
            <w:vAlign w:val="top"/>
          </w:tcPr>
          <w:p w14:paraId="0E65D300">
            <w:pPr>
              <w:pStyle w:val="54"/>
              <w:bidi w:val="0"/>
              <w:rPr>
                <w:rFonts w:hint="default"/>
              </w:rPr>
            </w:pPr>
            <w:r>
              <w:rPr>
                <w:rFonts w:hint="eastAsia"/>
              </w:rPr>
              <w:t>特异设施模型</w:t>
            </w:r>
          </w:p>
        </w:tc>
        <w:tc>
          <w:tcPr>
            <w:tcW w:w="1250" w:type="pct"/>
            <w:tcBorders>
              <w:top w:val="single" w:color="000000" w:sz="4" w:space="0"/>
              <w:left w:val="nil"/>
              <w:bottom w:val="nil"/>
              <w:right w:val="nil"/>
            </w:tcBorders>
            <w:shd w:val="clear" w:color="auto" w:fill="FFFFFF"/>
            <w:vAlign w:val="top"/>
          </w:tcPr>
          <w:p w14:paraId="1FF1582D">
            <w:pPr>
              <w:pStyle w:val="54"/>
              <w:bidi w:val="0"/>
              <w:rPr>
                <w:rFonts w:hint="default"/>
              </w:rPr>
            </w:pPr>
            <w:r>
              <w:rPr>
                <w:rFonts w:hint="eastAsia"/>
              </w:rPr>
              <w:t>总装设施</w:t>
            </w:r>
          </w:p>
        </w:tc>
        <w:tc>
          <w:tcPr>
            <w:tcW w:w="1250" w:type="pct"/>
            <w:tcBorders>
              <w:top w:val="single" w:color="000000" w:sz="4" w:space="0"/>
              <w:left w:val="nil"/>
              <w:bottom w:val="nil"/>
              <w:right w:val="nil"/>
            </w:tcBorders>
            <w:shd w:val="clear" w:color="auto" w:fill="FFFFFF"/>
            <w:vAlign w:val="top"/>
          </w:tcPr>
          <w:p w14:paraId="43B38E20">
            <w:pPr>
              <w:pStyle w:val="54"/>
              <w:bidi w:val="0"/>
              <w:rPr>
                <w:rFonts w:hint="default"/>
                <w:lang w:val="en-US" w:eastAsia="zh-CN"/>
              </w:rPr>
            </w:pPr>
            <w:r>
              <w:t>108</w:t>
            </w:r>
          </w:p>
        </w:tc>
      </w:tr>
      <w:tr w14:paraId="4A7C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nil"/>
              <w:left w:val="nil"/>
              <w:bottom w:val="nil"/>
              <w:right w:val="nil"/>
            </w:tcBorders>
            <w:shd w:val="clear" w:color="auto" w:fill="FFFFFF"/>
            <w:vAlign w:val="top"/>
          </w:tcPr>
          <w:p w14:paraId="720A26A9">
            <w:pPr>
              <w:pStyle w:val="54"/>
              <w:bidi w:val="0"/>
              <w:rPr>
                <w:rFonts w:hint="default"/>
              </w:rPr>
            </w:pPr>
            <w:r>
              <w:rPr>
                <w:rFonts w:hint="eastAsia"/>
              </w:rPr>
              <w:t>格里森切削工具设施</w:t>
            </w:r>
          </w:p>
        </w:tc>
        <w:tc>
          <w:tcPr>
            <w:tcW w:w="1250" w:type="pct"/>
            <w:tcBorders>
              <w:top w:val="nil"/>
              <w:left w:val="nil"/>
              <w:bottom w:val="nil"/>
              <w:right w:val="nil"/>
            </w:tcBorders>
            <w:shd w:val="clear" w:color="auto" w:fill="FFFFFF"/>
            <w:vAlign w:val="top"/>
          </w:tcPr>
          <w:p w14:paraId="33B4C62B">
            <w:pPr>
              <w:pStyle w:val="54"/>
              <w:bidi w:val="0"/>
              <w:rPr>
                <w:rFonts w:hint="default"/>
              </w:rPr>
            </w:pPr>
            <w:r>
              <w:rPr>
                <w:rFonts w:hint="eastAsia"/>
              </w:rPr>
              <w:t>特异设施模型</w:t>
            </w:r>
          </w:p>
        </w:tc>
        <w:tc>
          <w:tcPr>
            <w:tcW w:w="1250" w:type="pct"/>
            <w:tcBorders>
              <w:top w:val="nil"/>
              <w:left w:val="nil"/>
              <w:bottom w:val="nil"/>
              <w:right w:val="nil"/>
            </w:tcBorders>
            <w:shd w:val="clear" w:color="auto" w:fill="FFFFFF"/>
            <w:vAlign w:val="top"/>
          </w:tcPr>
          <w:p w14:paraId="5B31D5AA">
            <w:pPr>
              <w:pStyle w:val="54"/>
              <w:bidi w:val="0"/>
              <w:rPr>
                <w:rFonts w:hint="default"/>
              </w:rPr>
            </w:pPr>
            <w:r>
              <w:rPr>
                <w:rFonts w:hint="eastAsia"/>
              </w:rPr>
              <w:t>切削加工设施</w:t>
            </w:r>
          </w:p>
        </w:tc>
        <w:tc>
          <w:tcPr>
            <w:tcW w:w="1250" w:type="pct"/>
            <w:tcBorders>
              <w:top w:val="nil"/>
              <w:left w:val="nil"/>
              <w:bottom w:val="nil"/>
              <w:right w:val="nil"/>
            </w:tcBorders>
            <w:shd w:val="clear" w:color="auto" w:fill="FFFFFF"/>
            <w:vAlign w:val="top"/>
          </w:tcPr>
          <w:p w14:paraId="137C91A9">
            <w:pPr>
              <w:pStyle w:val="54"/>
              <w:bidi w:val="0"/>
              <w:rPr>
                <w:rFonts w:hint="default"/>
              </w:rPr>
            </w:pPr>
            <w:r>
              <w:t>108</w:t>
            </w:r>
          </w:p>
        </w:tc>
      </w:tr>
      <w:tr w14:paraId="3A14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nil"/>
              <w:left w:val="nil"/>
              <w:bottom w:val="nil"/>
              <w:right w:val="nil"/>
            </w:tcBorders>
            <w:shd w:val="clear" w:color="auto" w:fill="FFFFFF"/>
            <w:vAlign w:val="top"/>
          </w:tcPr>
          <w:p w14:paraId="3D21322A">
            <w:pPr>
              <w:pStyle w:val="54"/>
              <w:bidi w:val="0"/>
              <w:rPr>
                <w:rFonts w:hint="default"/>
              </w:rPr>
            </w:pPr>
            <w:r>
              <w:rPr>
                <w:rFonts w:hint="eastAsia"/>
              </w:rPr>
              <w:t>哈比森-费希尔部装设施</w:t>
            </w:r>
          </w:p>
        </w:tc>
        <w:tc>
          <w:tcPr>
            <w:tcW w:w="1250" w:type="pct"/>
            <w:tcBorders>
              <w:top w:val="nil"/>
              <w:left w:val="nil"/>
              <w:bottom w:val="nil"/>
              <w:right w:val="nil"/>
            </w:tcBorders>
            <w:shd w:val="clear" w:color="auto" w:fill="FFFFFF"/>
            <w:vAlign w:val="top"/>
          </w:tcPr>
          <w:p w14:paraId="49D5C868">
            <w:pPr>
              <w:pStyle w:val="54"/>
              <w:bidi w:val="0"/>
              <w:rPr>
                <w:rFonts w:hint="default"/>
              </w:rPr>
            </w:pPr>
            <w:r>
              <w:rPr>
                <w:rFonts w:hint="eastAsia"/>
              </w:rPr>
              <w:t>特异设施模型</w:t>
            </w:r>
          </w:p>
        </w:tc>
        <w:tc>
          <w:tcPr>
            <w:tcW w:w="1250" w:type="pct"/>
            <w:tcBorders>
              <w:top w:val="nil"/>
              <w:left w:val="nil"/>
              <w:bottom w:val="nil"/>
              <w:right w:val="nil"/>
            </w:tcBorders>
            <w:shd w:val="clear" w:color="auto" w:fill="FFFFFF"/>
            <w:vAlign w:val="top"/>
          </w:tcPr>
          <w:p w14:paraId="67A44A59">
            <w:pPr>
              <w:pStyle w:val="54"/>
              <w:bidi w:val="0"/>
              <w:rPr>
                <w:rFonts w:hint="default"/>
              </w:rPr>
            </w:pPr>
            <w:r>
              <w:rPr>
                <w:rFonts w:hint="eastAsia"/>
              </w:rPr>
              <w:t>部件装配设施</w:t>
            </w:r>
          </w:p>
        </w:tc>
        <w:tc>
          <w:tcPr>
            <w:tcW w:w="1250" w:type="pct"/>
            <w:tcBorders>
              <w:top w:val="nil"/>
              <w:left w:val="nil"/>
              <w:bottom w:val="nil"/>
              <w:right w:val="nil"/>
            </w:tcBorders>
            <w:shd w:val="clear" w:color="auto" w:fill="FFFFFF"/>
            <w:vAlign w:val="top"/>
          </w:tcPr>
          <w:p w14:paraId="05B75F87">
            <w:pPr>
              <w:pStyle w:val="54"/>
              <w:bidi w:val="0"/>
              <w:rPr>
                <w:rFonts w:hint="default"/>
              </w:rPr>
            </w:pPr>
            <w:r>
              <w:t>108</w:t>
            </w:r>
          </w:p>
        </w:tc>
      </w:tr>
      <w:tr w14:paraId="1BDB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nil"/>
              <w:left w:val="nil"/>
              <w:bottom w:val="nil"/>
              <w:right w:val="nil"/>
            </w:tcBorders>
            <w:shd w:val="clear" w:color="auto" w:fill="FFFFFF"/>
            <w:vAlign w:val="top"/>
          </w:tcPr>
          <w:p w14:paraId="041B25F4">
            <w:pPr>
              <w:pStyle w:val="54"/>
              <w:bidi w:val="0"/>
              <w:rPr>
                <w:rFonts w:hint="default"/>
              </w:rPr>
            </w:pPr>
            <w:r>
              <w:rPr>
                <w:rFonts w:hint="eastAsia"/>
              </w:rPr>
              <w:t>特斯拉机械制造设施</w:t>
            </w:r>
          </w:p>
        </w:tc>
        <w:tc>
          <w:tcPr>
            <w:tcW w:w="1250" w:type="pct"/>
            <w:tcBorders>
              <w:top w:val="nil"/>
              <w:left w:val="nil"/>
              <w:bottom w:val="nil"/>
              <w:right w:val="nil"/>
            </w:tcBorders>
            <w:shd w:val="clear" w:color="auto" w:fill="FFFFFF"/>
            <w:vAlign w:val="top"/>
          </w:tcPr>
          <w:p w14:paraId="2AB87A8E">
            <w:pPr>
              <w:pStyle w:val="54"/>
              <w:bidi w:val="0"/>
              <w:rPr>
                <w:rFonts w:hint="default"/>
              </w:rPr>
            </w:pPr>
            <w:r>
              <w:rPr>
                <w:rFonts w:hint="eastAsia"/>
              </w:rPr>
              <w:t>特异设施模型</w:t>
            </w:r>
          </w:p>
        </w:tc>
        <w:tc>
          <w:tcPr>
            <w:tcW w:w="1250" w:type="pct"/>
            <w:tcBorders>
              <w:top w:val="nil"/>
              <w:left w:val="nil"/>
              <w:bottom w:val="nil"/>
              <w:right w:val="nil"/>
            </w:tcBorders>
            <w:shd w:val="clear" w:color="auto" w:fill="FFFFFF"/>
            <w:vAlign w:val="top"/>
          </w:tcPr>
          <w:p w14:paraId="11B467C6">
            <w:pPr>
              <w:pStyle w:val="54"/>
              <w:bidi w:val="0"/>
              <w:rPr>
                <w:rFonts w:hint="default"/>
              </w:rPr>
            </w:pPr>
            <w:r>
              <w:rPr>
                <w:rFonts w:hint="eastAsia"/>
              </w:rPr>
              <w:t>综合机械制造设施</w:t>
            </w:r>
          </w:p>
        </w:tc>
        <w:tc>
          <w:tcPr>
            <w:tcW w:w="1250" w:type="pct"/>
            <w:tcBorders>
              <w:top w:val="nil"/>
              <w:left w:val="nil"/>
              <w:bottom w:val="nil"/>
              <w:right w:val="nil"/>
            </w:tcBorders>
            <w:shd w:val="clear" w:color="auto" w:fill="FFFFFF"/>
            <w:vAlign w:val="top"/>
          </w:tcPr>
          <w:p w14:paraId="0EC78552">
            <w:pPr>
              <w:pStyle w:val="54"/>
              <w:bidi w:val="0"/>
              <w:rPr>
                <w:rFonts w:hint="default"/>
              </w:rPr>
            </w:pPr>
            <w:r>
              <w:t>83</w:t>
            </w:r>
          </w:p>
        </w:tc>
      </w:tr>
      <w:tr w14:paraId="6A9C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9" w:type="pct"/>
            <w:tcBorders>
              <w:top w:val="nil"/>
              <w:left w:val="nil"/>
              <w:bottom w:val="nil"/>
              <w:right w:val="nil"/>
            </w:tcBorders>
            <w:shd w:val="clear" w:color="auto" w:fill="FFFFFF"/>
            <w:vAlign w:val="top"/>
          </w:tcPr>
          <w:p w14:paraId="467277A9">
            <w:pPr>
              <w:pStyle w:val="54"/>
              <w:bidi w:val="0"/>
              <w:rPr>
                <w:rFonts w:hint="default"/>
              </w:rPr>
            </w:pPr>
            <w:r>
              <w:rPr>
                <w:rFonts w:hint="eastAsia"/>
              </w:rPr>
              <w:t>大型机械制造等效设施</w:t>
            </w:r>
          </w:p>
        </w:tc>
        <w:tc>
          <w:tcPr>
            <w:tcW w:w="1250" w:type="pct"/>
            <w:tcBorders>
              <w:top w:val="nil"/>
              <w:left w:val="nil"/>
              <w:bottom w:val="nil"/>
              <w:right w:val="nil"/>
            </w:tcBorders>
            <w:shd w:val="clear" w:color="auto" w:fill="FFFFFF"/>
            <w:vAlign w:val="top"/>
          </w:tcPr>
          <w:p w14:paraId="7918F26A">
            <w:pPr>
              <w:pStyle w:val="54"/>
              <w:bidi w:val="0"/>
              <w:rPr>
                <w:rFonts w:hint="default"/>
              </w:rPr>
            </w:pPr>
            <w:r>
              <w:rPr>
                <w:rFonts w:hint="eastAsia"/>
              </w:rPr>
              <w:t>等效设施模型</w:t>
            </w:r>
          </w:p>
        </w:tc>
        <w:tc>
          <w:tcPr>
            <w:tcW w:w="1250" w:type="pct"/>
            <w:tcBorders>
              <w:top w:val="nil"/>
              <w:left w:val="nil"/>
              <w:bottom w:val="nil"/>
              <w:right w:val="nil"/>
            </w:tcBorders>
            <w:shd w:val="clear" w:color="auto" w:fill="FFFFFF"/>
            <w:vAlign w:val="top"/>
          </w:tcPr>
          <w:p w14:paraId="07EA38C2">
            <w:pPr>
              <w:pStyle w:val="54"/>
              <w:bidi w:val="0"/>
              <w:rPr>
                <w:rFonts w:hint="default"/>
              </w:rPr>
            </w:pPr>
            <w:r>
              <w:rPr>
                <w:rFonts w:hint="eastAsia"/>
              </w:rPr>
              <w:t>通用机械制造设施（大）</w:t>
            </w:r>
          </w:p>
        </w:tc>
        <w:tc>
          <w:tcPr>
            <w:tcW w:w="1250" w:type="pct"/>
            <w:tcBorders>
              <w:top w:val="nil"/>
              <w:left w:val="nil"/>
              <w:bottom w:val="nil"/>
              <w:right w:val="nil"/>
            </w:tcBorders>
            <w:shd w:val="clear" w:color="auto" w:fill="FFFFFF"/>
            <w:vAlign w:val="top"/>
          </w:tcPr>
          <w:p w14:paraId="00D69DE4">
            <w:pPr>
              <w:pStyle w:val="54"/>
              <w:bidi w:val="0"/>
              <w:rPr>
                <w:rFonts w:hint="default"/>
              </w:rPr>
            </w:pPr>
            <w:r>
              <w:t>108</w:t>
            </w:r>
          </w:p>
        </w:tc>
      </w:tr>
      <w:tr w14:paraId="7E20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nil"/>
              <w:left w:val="nil"/>
              <w:bottom w:val="nil"/>
              <w:right w:val="nil"/>
            </w:tcBorders>
            <w:shd w:val="clear" w:color="auto" w:fill="FFFFFF"/>
            <w:vAlign w:val="top"/>
          </w:tcPr>
          <w:p w14:paraId="16ED943F">
            <w:pPr>
              <w:pStyle w:val="54"/>
              <w:bidi w:val="0"/>
              <w:rPr>
                <w:rFonts w:hint="default"/>
              </w:rPr>
            </w:pPr>
            <w:r>
              <w:rPr>
                <w:rFonts w:hint="eastAsia"/>
              </w:rPr>
              <w:t>中型机械制造等效设施</w:t>
            </w:r>
          </w:p>
        </w:tc>
        <w:tc>
          <w:tcPr>
            <w:tcW w:w="1250" w:type="pct"/>
            <w:tcBorders>
              <w:top w:val="nil"/>
              <w:left w:val="nil"/>
              <w:bottom w:val="nil"/>
              <w:right w:val="nil"/>
            </w:tcBorders>
            <w:shd w:val="clear" w:color="auto" w:fill="FFFFFF"/>
            <w:vAlign w:val="top"/>
          </w:tcPr>
          <w:p w14:paraId="70C968A7">
            <w:pPr>
              <w:pStyle w:val="54"/>
              <w:bidi w:val="0"/>
              <w:rPr>
                <w:rFonts w:hint="default"/>
              </w:rPr>
            </w:pPr>
            <w:r>
              <w:rPr>
                <w:rFonts w:hint="eastAsia"/>
              </w:rPr>
              <w:t>等效设施模型</w:t>
            </w:r>
          </w:p>
        </w:tc>
        <w:tc>
          <w:tcPr>
            <w:tcW w:w="1250" w:type="pct"/>
            <w:tcBorders>
              <w:top w:val="nil"/>
              <w:left w:val="nil"/>
              <w:bottom w:val="nil"/>
              <w:right w:val="nil"/>
            </w:tcBorders>
            <w:shd w:val="clear" w:color="auto" w:fill="FFFFFF"/>
            <w:vAlign w:val="top"/>
          </w:tcPr>
          <w:p w14:paraId="22B991A6">
            <w:pPr>
              <w:pStyle w:val="54"/>
              <w:bidi w:val="0"/>
              <w:rPr>
                <w:rFonts w:hint="default"/>
              </w:rPr>
            </w:pPr>
            <w:r>
              <w:rPr>
                <w:rFonts w:hint="eastAsia"/>
              </w:rPr>
              <w:t>通用机械制造设施（中）</w:t>
            </w:r>
          </w:p>
        </w:tc>
        <w:tc>
          <w:tcPr>
            <w:tcW w:w="1250" w:type="pct"/>
            <w:tcBorders>
              <w:top w:val="nil"/>
              <w:left w:val="nil"/>
              <w:bottom w:val="nil"/>
              <w:right w:val="nil"/>
            </w:tcBorders>
            <w:shd w:val="clear" w:color="auto" w:fill="FFFFFF"/>
            <w:vAlign w:val="top"/>
          </w:tcPr>
          <w:p w14:paraId="2A279B46">
            <w:pPr>
              <w:pStyle w:val="54"/>
              <w:bidi w:val="0"/>
              <w:rPr>
                <w:rFonts w:hint="default"/>
              </w:rPr>
            </w:pPr>
            <w:r>
              <w:t>132</w:t>
            </w:r>
          </w:p>
        </w:tc>
      </w:tr>
      <w:tr w14:paraId="2B07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nil"/>
              <w:left w:val="nil"/>
              <w:bottom w:val="nil"/>
              <w:right w:val="nil"/>
            </w:tcBorders>
            <w:shd w:val="clear" w:color="auto" w:fill="FFFFFF"/>
            <w:vAlign w:val="top"/>
          </w:tcPr>
          <w:p w14:paraId="6BC04F7E">
            <w:pPr>
              <w:pStyle w:val="54"/>
              <w:bidi w:val="0"/>
              <w:rPr>
                <w:rFonts w:hint="default"/>
              </w:rPr>
            </w:pPr>
            <w:r>
              <w:rPr>
                <w:rFonts w:hint="eastAsia"/>
              </w:rPr>
              <w:t>小型机械制造等效设施</w:t>
            </w:r>
          </w:p>
        </w:tc>
        <w:tc>
          <w:tcPr>
            <w:tcW w:w="1250" w:type="pct"/>
            <w:tcBorders>
              <w:top w:val="nil"/>
              <w:left w:val="nil"/>
              <w:bottom w:val="nil"/>
              <w:right w:val="nil"/>
            </w:tcBorders>
            <w:shd w:val="clear" w:color="auto" w:fill="FFFFFF"/>
            <w:vAlign w:val="top"/>
          </w:tcPr>
          <w:p w14:paraId="43699418">
            <w:pPr>
              <w:pStyle w:val="54"/>
              <w:bidi w:val="0"/>
              <w:rPr>
                <w:rFonts w:hint="default"/>
              </w:rPr>
            </w:pPr>
            <w:r>
              <w:rPr>
                <w:rFonts w:hint="eastAsia"/>
              </w:rPr>
              <w:t>等效设施模型</w:t>
            </w:r>
          </w:p>
        </w:tc>
        <w:tc>
          <w:tcPr>
            <w:tcW w:w="1250" w:type="pct"/>
            <w:tcBorders>
              <w:top w:val="nil"/>
              <w:left w:val="nil"/>
              <w:bottom w:val="nil"/>
              <w:right w:val="nil"/>
            </w:tcBorders>
            <w:shd w:val="clear" w:color="auto" w:fill="FFFFFF"/>
            <w:vAlign w:val="top"/>
          </w:tcPr>
          <w:p w14:paraId="4458B166">
            <w:pPr>
              <w:pStyle w:val="54"/>
              <w:bidi w:val="0"/>
              <w:rPr>
                <w:rFonts w:hint="default"/>
              </w:rPr>
            </w:pPr>
            <w:r>
              <w:rPr>
                <w:rFonts w:hint="eastAsia"/>
              </w:rPr>
              <w:t>通用机械制造设施（小）</w:t>
            </w:r>
          </w:p>
        </w:tc>
        <w:tc>
          <w:tcPr>
            <w:tcW w:w="1250" w:type="pct"/>
            <w:tcBorders>
              <w:top w:val="nil"/>
              <w:left w:val="nil"/>
              <w:bottom w:val="nil"/>
              <w:right w:val="nil"/>
            </w:tcBorders>
            <w:shd w:val="clear" w:color="auto" w:fill="FFFFFF"/>
            <w:vAlign w:val="top"/>
          </w:tcPr>
          <w:p w14:paraId="21B376D3">
            <w:pPr>
              <w:pStyle w:val="54"/>
              <w:bidi w:val="0"/>
              <w:rPr>
                <w:rFonts w:hint="default"/>
              </w:rPr>
            </w:pPr>
            <w:r>
              <w:t>156</w:t>
            </w:r>
          </w:p>
        </w:tc>
      </w:tr>
      <w:tr w14:paraId="67F1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nil"/>
              <w:left w:val="nil"/>
              <w:bottom w:val="single" w:color="000000" w:sz="12" w:space="0"/>
              <w:right w:val="nil"/>
            </w:tcBorders>
            <w:shd w:val="clear" w:color="auto" w:fill="FFFFFF"/>
            <w:vAlign w:val="top"/>
          </w:tcPr>
          <w:p w14:paraId="6992E017">
            <w:pPr>
              <w:pStyle w:val="54"/>
              <w:bidi w:val="0"/>
              <w:rPr>
                <w:rFonts w:hint="default"/>
              </w:rPr>
            </w:pPr>
            <w:r>
              <w:t xml:space="preserve">7 </w:t>
            </w:r>
            <w:r>
              <w:rPr>
                <w:rFonts w:hint="eastAsia"/>
              </w:rPr>
              <w:t>个设施</w:t>
            </w:r>
          </w:p>
        </w:tc>
        <w:tc>
          <w:tcPr>
            <w:tcW w:w="1250" w:type="pct"/>
            <w:tcBorders>
              <w:top w:val="nil"/>
              <w:left w:val="nil"/>
              <w:bottom w:val="single" w:color="000000" w:sz="12" w:space="0"/>
              <w:right w:val="nil"/>
            </w:tcBorders>
            <w:shd w:val="clear" w:color="auto" w:fill="FFFFFF"/>
            <w:vAlign w:val="top"/>
          </w:tcPr>
          <w:p w14:paraId="1A4619AB">
            <w:pPr>
              <w:pStyle w:val="54"/>
              <w:bidi w:val="0"/>
              <w:rPr>
                <w:rFonts w:hint="default"/>
              </w:rPr>
            </w:pPr>
            <w:r>
              <w:t xml:space="preserve">4 </w:t>
            </w:r>
            <w:r>
              <w:rPr>
                <w:rFonts w:hint="eastAsia"/>
              </w:rPr>
              <w:t>个特异设施模型、3</w:t>
            </w:r>
            <w:r>
              <w:t xml:space="preserve"> </w:t>
            </w:r>
            <w:r>
              <w:rPr>
                <w:rFonts w:hint="eastAsia"/>
              </w:rPr>
              <w:t>个等效设施模型</w:t>
            </w:r>
          </w:p>
        </w:tc>
        <w:tc>
          <w:tcPr>
            <w:tcW w:w="1250" w:type="pct"/>
            <w:tcBorders>
              <w:top w:val="nil"/>
              <w:left w:val="nil"/>
              <w:bottom w:val="single" w:color="000000" w:sz="12" w:space="0"/>
              <w:right w:val="nil"/>
            </w:tcBorders>
            <w:shd w:val="clear" w:color="auto" w:fill="FFFFFF"/>
            <w:vAlign w:val="top"/>
          </w:tcPr>
          <w:p w14:paraId="0676C7DC">
            <w:pPr>
              <w:pStyle w:val="54"/>
              <w:bidi w:val="0"/>
              <w:rPr>
                <w:rFonts w:hint="default"/>
              </w:rPr>
            </w:pPr>
            <w:r>
              <w:t>—</w:t>
            </w:r>
          </w:p>
        </w:tc>
        <w:tc>
          <w:tcPr>
            <w:tcW w:w="1250" w:type="pct"/>
            <w:tcBorders>
              <w:top w:val="nil"/>
              <w:left w:val="nil"/>
              <w:bottom w:val="single" w:color="000000" w:sz="12" w:space="0"/>
              <w:right w:val="nil"/>
            </w:tcBorders>
            <w:shd w:val="clear" w:color="auto" w:fill="FFFFFF"/>
            <w:vAlign w:val="top"/>
          </w:tcPr>
          <w:p>
            <w:r>
              <w:t>923</w:t>
            </w:r>
          </w:p>
        </w:tc>
      </w:tr>
    </w:tbl>
    <w:p w14:paraId="419CACE4">
      <w:pPr>
        <w:pStyle w:val="4"/>
        <w:numPr>
          <w:ilvl w:val="2"/>
          <w:numId w:val="0"/>
        </w:numPr>
        <w:bidi w:val="0"/>
        <w:ind w:leftChars="0"/>
        <w:rPr>
          <w:rStyle w:val="23"/>
          <w:rFonts w:hint="default" w:ascii="Times New Roman" w:hAnsi="Times New Roman" w:cs="Times New Roman"/>
          <w:szCs w:val="24"/>
          <w:lang w:val="en-US" w:eastAsia="zh-CN"/>
        </w:rPr>
      </w:pPr>
    </w:p>
    <w:p w14:paraId="4FE876A7">
      <w:pPr>
        <w:pStyle w:val="4"/>
        <w:bidi w:val="0"/>
        <w:ind w:left="720" w:leftChars="0" w:hanging="720" w:firstLineChars="0"/>
        <w:rPr>
          <w:rStyle w:val="23"/>
          <w:rFonts w:hint="default" w:ascii="Times New Roman" w:hAnsi="Times New Roman" w:cs="Times New Roman"/>
          <w:szCs w:val="24"/>
          <w:lang w:val="en-US" w:eastAsia="zh-CN"/>
        </w:rPr>
      </w:pPr>
      <w:bookmarkStart w:id="5" w:name="_Toc16027"/>
      <w:r>
        <w:rPr>
          <w:rStyle w:val="23"/>
          <w:rFonts w:hint="default" w:ascii="Times New Roman" w:hAnsi="Times New Roman" w:cs="Times New Roman"/>
          <w:szCs w:val="24"/>
          <w:lang w:val="en-US" w:eastAsia="zh-CN"/>
        </w:rPr>
        <w:t>热辐射HS与建筑响应特征</w:t>
      </w:r>
      <w:bookmarkEnd w:id="5"/>
    </w:p>
    <w:p w14:paraId="50043004">
      <w:pPr>
        <w:rPr>
          <w:rFonts w:hint="eastAsia" w:ascii="Times New Roman" w:hAnsi="Times New Roman" w:cs="Times New Roman"/>
          <w:lang w:val="en-US" w:eastAsia="zh-CN"/>
        </w:rPr>
      </w:pPr>
      <w:r>
        <w:rPr>
          <w:rFonts w:hint="eastAsia" w:ascii="Times New Roman" w:hAnsi="Times New Roman" w:cs="Times New Roman"/>
          <w:lang w:val="en-US" w:eastAsia="zh-CN"/>
        </w:rPr>
        <w:t>机械制造设施的设施级毁伤主要受热源强度、作用时间、受热方向、厂房尺度、迎火侧开口和生产设备分布共同影响。热通量和热剂量决定输入能量；方位角和俯仰角决定具体受热墙面以及辐射进入厂房的路径；厂房尺度通过迎火侧墙面面积、总开口比例等模型输入反映热量作用的空间条件；迎火侧机床、控制设备、油品及其他敏感目标比例则决定可能形成有效损伤的资产数量和价值。</w:t>
      </w:r>
    </w:p>
    <w:p w14:paraId="7CD2D4C7">
      <w:pPr>
        <w:rPr>
          <w:rFonts w:hint="default" w:ascii="Times New Roman" w:hAnsi="Times New Roman" w:cs="Times New Roman"/>
          <w:lang w:val="en-US" w:eastAsia="zh-CN"/>
        </w:rPr>
      </w:pPr>
      <w:r>
        <w:rPr>
          <w:rFonts w:hint="eastAsia" w:ascii="Times New Roman" w:hAnsi="Times New Roman" w:cs="Times New Roman"/>
          <w:lang w:val="en-US" w:eastAsia="zh-CN"/>
        </w:rPr>
        <w:t>不同工程对象的响应可能存在显著差异。围护较完整、敏感资产距外墙较远的总装或加工设施，在现有短时作用下可能只产生局部温升；设备集中、迎火侧开口较大或高价值目标直接暴露的方向，则可能在较低热通量下跨越设施级阈值。大、中、小等效设施进一步反映了建筑体量、目标密度和局部损伤占总资产价值比例随尺度变化的影响。</w:t>
      </w:r>
    </w:p>
    <w:p w14:paraId="271C3BF3">
      <w:pPr>
        <w:rPr>
          <w:rFonts w:hint="default" w:ascii="Times New Roman" w:hAnsi="Times New Roman" w:cs="Times New Roman"/>
          <w:lang w:val="en-US" w:eastAsia="zh-CN"/>
        </w:rPr>
      </w:pPr>
    </w:p>
    <w:p w14:paraId="3926F55F">
      <w:pPr>
        <w:pStyle w:val="3"/>
        <w:bidi w:val="0"/>
        <w:ind w:left="575" w:leftChars="0" w:hanging="575" w:firstLineChars="0"/>
        <w:rPr>
          <w:rFonts w:hint="default" w:ascii="Times New Roman" w:hAnsi="Times New Roman" w:cs="Times New Roman"/>
          <w:lang w:val="en-US" w:eastAsia="zh-CN"/>
        </w:rPr>
      </w:pPr>
      <w:bookmarkStart w:id="6" w:name="_Toc11864"/>
      <w:r>
        <w:rPr>
          <w:rFonts w:hint="default" w:ascii="Times New Roman" w:hAnsi="Times New Roman" w:cs="Times New Roman"/>
          <w:lang w:val="en-US" w:eastAsia="zh-CN"/>
        </w:rPr>
        <w:t>研究目标与范围</w:t>
      </w:r>
      <w:bookmarkEnd w:id="6"/>
    </w:p>
    <w:p w14:paraId="0B29D725">
      <w:pPr>
        <w:rPr>
          <w:rFonts w:hint="default" w:ascii="Times New Roman" w:hAnsi="Times New Roman" w:cs="Times New Roman"/>
          <w:lang w:val="en-US" w:eastAsia="zh-CN"/>
        </w:rPr>
      </w:pPr>
      <w:r>
        <w:rPr>
          <w:rFonts w:hint="default" w:ascii="Times New Roman" w:hAnsi="Times New Roman" w:cs="Times New Roman"/>
          <w:lang w:val="en-US" w:eastAsia="zh-CN"/>
        </w:rPr>
        <w:t>本研究面向机械制造设施的工程快速评估需求，在 FDS 计算结果基础上建立热辐射工况与设施级 Dk 之间的映射。模型既输出连续 Dk，用于同等级内部的风险排序，又输出基本完好、轻微破坏、中等破坏和严重破坏四级结果，用于工程判定。通过批量扫描热通量、方位角、俯仰角和持续时间，可形成各机械制造设施在不同方向与工况下的毁伤响应规律，为重点方向识别和精细仿真工况选择提供依据。</w:t>
      </w:r>
    </w:p>
    <w:p w14:paraId="66F485C2">
      <w:pPr>
        <w:rPr>
          <w:rFonts w:hint="default" w:ascii="Times New Roman" w:hAnsi="Times New Roman" w:cs="Times New Roman"/>
          <w:lang w:val="en-US" w:eastAsia="zh-CN"/>
        </w:rPr>
      </w:pPr>
      <w:r>
        <w:rPr>
          <w:rFonts w:hint="default" w:ascii="Times New Roman" w:hAnsi="Times New Roman" w:cs="Times New Roman"/>
          <w:lang w:val="en-US" w:eastAsia="zh-CN"/>
        </w:rPr>
        <w:t>基于项目需求和工程实际，确定以下具体技术指标：</w:t>
      </w:r>
    </w:p>
    <w:p w14:paraId="2205C845">
      <w:pPr>
        <w:rPr>
          <w:rFonts w:hint="default" w:ascii="Times New Roman" w:hAnsi="Times New Roman" w:cs="Times New Roman"/>
        </w:rPr>
      </w:pPr>
      <w:r>
        <w:rPr>
          <w:rFonts w:hint="default" w:ascii="Times New Roman" w:hAnsi="Times New Roman" w:cs="Times New Roman"/>
        </w:rPr>
        <w:t>（1）单次计算仿真时间不超过1分钟；</w:t>
      </w:r>
    </w:p>
    <w:p w14:paraId="533616FA">
      <w:pPr>
        <w:rPr>
          <w:rFonts w:hint="default" w:ascii="Times New Roman" w:hAnsi="Times New Roman" w:cs="Times New Roman"/>
        </w:rPr>
      </w:pPr>
      <w:r>
        <w:rPr>
          <w:rFonts w:hint="default" w:ascii="Times New Roman" w:hAnsi="Times New Roman" w:cs="Times New Roman"/>
        </w:rPr>
        <w:t>（2）预测结果较精算结果误差不超过5%，满足工程应用的精度要求；</w:t>
      </w:r>
    </w:p>
    <w:p w14:paraId="7E82569F">
      <w:pPr>
        <w:rPr>
          <w:rFonts w:hint="default" w:ascii="Times New Roman" w:hAnsi="Times New Roman" w:cs="Times New Roman"/>
        </w:rPr>
      </w:pPr>
      <w:r>
        <w:rPr>
          <w:rFonts w:hint="default" w:ascii="Times New Roman" w:hAnsi="Times New Roman" w:cs="Times New Roman"/>
        </w:rPr>
        <w:t>（3）覆盖</w:t>
      </w:r>
      <w:r>
        <w:rPr>
          <w:rFonts w:hint="eastAsia" w:ascii="Times New Roman" w:hAnsi="Times New Roman" w:cs="Times New Roman"/>
          <w:lang w:eastAsia="zh-CN"/>
        </w:rPr>
        <w:t>机械制造</w:t>
      </w:r>
      <w:r>
        <w:rPr>
          <w:rFonts w:hint="default" w:ascii="Times New Roman" w:hAnsi="Times New Roman" w:cs="Times New Roman"/>
        </w:rPr>
        <w:t>设施和的</w:t>
      </w:r>
      <w:r>
        <w:rPr>
          <w:rFonts w:hint="default" w:ascii="Times New Roman" w:hAnsi="Times New Roman" w:cs="Times New Roman"/>
          <w:lang w:eastAsia="zh-CN"/>
        </w:rPr>
        <w:t>HS</w:t>
      </w:r>
      <w:r>
        <w:rPr>
          <w:rFonts w:hint="default" w:ascii="Times New Roman" w:hAnsi="Times New Roman" w:cs="Times New Roman"/>
        </w:rPr>
        <w:t>评估场景；</w:t>
      </w:r>
    </w:p>
    <w:p w14:paraId="18D9561D">
      <w:pPr>
        <w:rPr>
          <w:rFonts w:hint="default" w:ascii="Times New Roman" w:hAnsi="Times New Roman" w:eastAsia="宋体" w:cs="Times New Roman"/>
          <w:lang w:eastAsia="zh-CN"/>
        </w:rPr>
      </w:pPr>
      <w:r>
        <w:rPr>
          <w:rFonts w:hint="default" w:ascii="Times New Roman" w:hAnsi="Times New Roman" w:cs="Times New Roman"/>
        </w:rPr>
        <w:t>（4）提供设施整体的</w:t>
      </w:r>
      <w:r>
        <w:rPr>
          <w:rFonts w:hint="default" w:ascii="Times New Roman" w:hAnsi="Times New Roman" w:cs="Times New Roman"/>
          <w:lang w:eastAsia="zh-CN"/>
        </w:rPr>
        <w:t>HS</w:t>
      </w:r>
      <w:r>
        <w:rPr>
          <w:rFonts w:hint="default" w:ascii="Times New Roman" w:hAnsi="Times New Roman" w:cs="Times New Roman"/>
        </w:rPr>
        <w:t>等级输出；</w:t>
      </w:r>
    </w:p>
    <w:p w14:paraId="1DD275FC">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代理模型技术指标要求</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34"/>
        <w:gridCol w:w="2132"/>
      </w:tblGrid>
      <w:tr w14:paraId="48F2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single" w:color="000000" w:sz="12" w:space="0"/>
              <w:left w:val="nil"/>
              <w:bottom w:val="single" w:color="000000" w:sz="4" w:space="0"/>
              <w:right w:val="nil"/>
              <w:tl2br w:val="nil"/>
            </w:tcBorders>
            <w:shd w:val="clear" w:color="auto" w:fill="FFFFFF"/>
          </w:tcPr>
          <w:p w14:paraId="1D454B51">
            <w:pPr>
              <w:pStyle w:val="54"/>
              <w:bidi w:val="0"/>
              <w:rPr>
                <w:rFonts w:hint="default"/>
              </w:rPr>
            </w:pPr>
            <w:r>
              <w:rPr>
                <w:rFonts w:hint="default"/>
              </w:rPr>
              <w:t>指标类别</w:t>
            </w:r>
          </w:p>
        </w:tc>
        <w:tc>
          <w:tcPr>
            <w:tcW w:w="2128" w:type="dxa"/>
            <w:tcBorders>
              <w:top w:val="single" w:color="000000" w:sz="12" w:space="0"/>
              <w:left w:val="nil"/>
              <w:bottom w:val="single" w:color="000000" w:sz="4" w:space="0"/>
              <w:right w:val="nil"/>
            </w:tcBorders>
            <w:shd w:val="clear" w:color="auto" w:fill="FFFFFF"/>
          </w:tcPr>
          <w:p w14:paraId="26FE02A9">
            <w:pPr>
              <w:pStyle w:val="54"/>
              <w:bidi w:val="0"/>
              <w:rPr>
                <w:rFonts w:hint="default"/>
              </w:rPr>
            </w:pPr>
            <w:r>
              <w:rPr>
                <w:rFonts w:hint="default"/>
              </w:rPr>
              <w:t>具体指标</w:t>
            </w:r>
          </w:p>
        </w:tc>
        <w:tc>
          <w:tcPr>
            <w:tcW w:w="2134" w:type="dxa"/>
            <w:tcBorders>
              <w:top w:val="single" w:color="000000" w:sz="12" w:space="0"/>
              <w:left w:val="nil"/>
              <w:bottom w:val="single" w:color="000000" w:sz="4" w:space="0"/>
              <w:right w:val="nil"/>
            </w:tcBorders>
            <w:shd w:val="clear" w:color="auto" w:fill="FFFFFF"/>
          </w:tcPr>
          <w:p w14:paraId="7BEB0FFF">
            <w:pPr>
              <w:pStyle w:val="54"/>
              <w:bidi w:val="0"/>
              <w:rPr>
                <w:rFonts w:hint="default"/>
              </w:rPr>
            </w:pPr>
            <w:r>
              <w:rPr>
                <w:rFonts w:hint="default"/>
              </w:rPr>
              <w:t>目标值</w:t>
            </w:r>
          </w:p>
        </w:tc>
        <w:tc>
          <w:tcPr>
            <w:tcW w:w="2132" w:type="dxa"/>
            <w:tcBorders>
              <w:top w:val="single" w:color="000000" w:sz="12" w:space="0"/>
              <w:left w:val="nil"/>
              <w:bottom w:val="single" w:color="000000" w:sz="4" w:space="0"/>
              <w:right w:val="nil"/>
            </w:tcBorders>
            <w:shd w:val="clear" w:color="auto" w:fill="FFFFFF"/>
          </w:tcPr>
          <w:p w14:paraId="289FB2FE">
            <w:pPr>
              <w:pStyle w:val="54"/>
              <w:bidi w:val="0"/>
              <w:rPr>
                <w:rFonts w:hint="default"/>
              </w:rPr>
            </w:pPr>
            <w:r>
              <w:rPr>
                <w:rFonts w:hint="default"/>
              </w:rPr>
              <w:t>备注</w:t>
            </w:r>
          </w:p>
        </w:tc>
      </w:tr>
      <w:tr w14:paraId="2ECE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single" w:color="000000" w:sz="4" w:space="0"/>
              <w:left w:val="nil"/>
              <w:bottom w:val="nil"/>
              <w:right w:val="nil"/>
            </w:tcBorders>
            <w:shd w:val="clear" w:color="auto" w:fill="FFFFFF"/>
          </w:tcPr>
          <w:p w14:paraId="6B87D6B8">
            <w:pPr>
              <w:pStyle w:val="54"/>
              <w:bidi w:val="0"/>
              <w:rPr>
                <w:rFonts w:hint="default"/>
              </w:rPr>
            </w:pPr>
            <w:r>
              <w:rPr>
                <w:rFonts w:hint="default"/>
              </w:rPr>
              <w:t>计算效率</w:t>
            </w:r>
          </w:p>
        </w:tc>
        <w:tc>
          <w:tcPr>
            <w:tcW w:w="2128" w:type="dxa"/>
            <w:tcBorders>
              <w:top w:val="single" w:color="000000" w:sz="4" w:space="0"/>
              <w:left w:val="nil"/>
              <w:bottom w:val="nil"/>
              <w:right w:val="nil"/>
            </w:tcBorders>
            <w:shd w:val="clear" w:color="auto" w:fill="FFFFFF"/>
          </w:tcPr>
          <w:p w14:paraId="7BB8284A">
            <w:pPr>
              <w:pStyle w:val="54"/>
              <w:bidi w:val="0"/>
              <w:rPr>
                <w:rFonts w:hint="default"/>
              </w:rPr>
            </w:pPr>
            <w:r>
              <w:rPr>
                <w:rFonts w:hint="default"/>
              </w:rPr>
              <w:t>单次预测时间</w:t>
            </w:r>
          </w:p>
        </w:tc>
        <w:tc>
          <w:tcPr>
            <w:tcW w:w="2134" w:type="dxa"/>
            <w:tcBorders>
              <w:top w:val="single" w:color="000000" w:sz="4" w:space="0"/>
              <w:left w:val="nil"/>
              <w:bottom w:val="nil"/>
              <w:right w:val="nil"/>
            </w:tcBorders>
            <w:shd w:val="clear" w:color="auto" w:fill="FFFFFF"/>
          </w:tcPr>
          <w:p w14:paraId="5B791A2E">
            <w:pPr>
              <w:pStyle w:val="54"/>
              <w:bidi w:val="0"/>
              <w:rPr>
                <w:rFonts w:hint="default"/>
              </w:rPr>
            </w:pPr>
            <w:r>
              <w:rPr>
                <w:rFonts w:hint="default"/>
              </w:rPr>
              <w:t>&lt;1分钟</w:t>
            </w:r>
          </w:p>
        </w:tc>
        <w:tc>
          <w:tcPr>
            <w:tcW w:w="2132" w:type="dxa"/>
            <w:tcBorders>
              <w:top w:val="single" w:color="000000" w:sz="4" w:space="0"/>
              <w:left w:val="nil"/>
              <w:bottom w:val="nil"/>
              <w:right w:val="nil"/>
            </w:tcBorders>
            <w:shd w:val="clear" w:color="auto" w:fill="FFFFFF"/>
          </w:tcPr>
          <w:p>
            <w:r>
              <w:t>首次加载约数秒；本地热缓存平均约0.72 s，含依赖导入、模型加载、特征计算和推理</w:t>
            </w:r>
          </w:p>
        </w:tc>
      </w:tr>
      <w:tr w14:paraId="5FF9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nil"/>
              <w:left w:val="nil"/>
              <w:bottom w:val="nil"/>
              <w:right w:val="nil"/>
            </w:tcBorders>
            <w:shd w:val="clear" w:color="auto" w:fill="FFFFFF"/>
          </w:tcPr>
          <w:p w14:paraId="2A82A000">
            <w:pPr>
              <w:pStyle w:val="54"/>
              <w:bidi w:val="0"/>
              <w:rPr>
                <w:rFonts w:hint="default"/>
              </w:rPr>
            </w:pPr>
            <w:r>
              <w:rPr>
                <w:rFonts w:hint="default"/>
              </w:rPr>
              <w:t>预测精度</w:t>
            </w:r>
          </w:p>
        </w:tc>
        <w:tc>
          <w:tcPr>
            <w:tcW w:w="2128" w:type="dxa"/>
            <w:tcBorders>
              <w:top w:val="nil"/>
              <w:left w:val="nil"/>
              <w:bottom w:val="nil"/>
              <w:right w:val="nil"/>
            </w:tcBorders>
            <w:shd w:val="clear" w:color="auto" w:fill="FFFFFF"/>
          </w:tcPr>
          <w:p w14:paraId="7B630FEA">
            <w:pPr>
              <w:pStyle w:val="54"/>
              <w:bidi w:val="0"/>
              <w:rPr>
                <w:rFonts w:hint="default"/>
              </w:rPr>
            </w:pPr>
            <w:r>
              <w:rPr>
                <w:rFonts w:hint="default"/>
              </w:rPr>
              <w:t>预测误差</w:t>
            </w:r>
          </w:p>
        </w:tc>
        <w:tc>
          <w:tcPr>
            <w:tcW w:w="2134" w:type="dxa"/>
            <w:tcBorders>
              <w:top w:val="nil"/>
              <w:left w:val="nil"/>
              <w:bottom w:val="nil"/>
              <w:right w:val="nil"/>
            </w:tcBorders>
            <w:shd w:val="clear" w:color="auto" w:fill="FFFFFF"/>
          </w:tcPr>
          <w:p w14:paraId="29317397">
            <w:pPr>
              <w:pStyle w:val="54"/>
              <w:bidi w:val="0"/>
              <w:rPr>
                <w:rFonts w:hint="default"/>
              </w:rPr>
            </w:pPr>
            <w:r>
              <w:rPr>
                <w:rFonts w:hint="default"/>
              </w:rPr>
              <w:t>&lt;5%</w:t>
            </w:r>
          </w:p>
        </w:tc>
        <w:tc>
          <w:tcPr>
            <w:tcW w:w="2132" w:type="dxa"/>
            <w:tcBorders>
              <w:top w:val="nil"/>
              <w:left w:val="nil"/>
              <w:bottom w:val="nil"/>
              <w:right w:val="nil"/>
            </w:tcBorders>
            <w:shd w:val="clear" w:color="auto" w:fill="FFFFFF"/>
          </w:tcPr>
          <w:p w14:paraId="4583721A">
            <w:pPr>
              <w:pStyle w:val="54"/>
              <w:bidi w:val="0"/>
              <w:rPr>
                <w:rFonts w:hint="default"/>
              </w:rPr>
            </w:pPr>
            <w:r>
              <w:rPr>
                <w:rFonts w:hint="default"/>
              </w:rPr>
              <w:t>较精算结果对比</w:t>
            </w:r>
          </w:p>
        </w:tc>
      </w:tr>
      <w:tr w14:paraId="3E97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8" w:type="dxa"/>
            <w:tcBorders>
              <w:top w:val="nil"/>
              <w:left w:val="nil"/>
              <w:bottom w:val="single" w:color="000000" w:sz="12" w:space="0"/>
              <w:right w:val="nil"/>
            </w:tcBorders>
            <w:shd w:val="clear" w:color="auto" w:fill="FFFFFF"/>
            <w:vAlign w:val="top"/>
          </w:tcPr>
          <w:p w14:paraId="2AE0D3BB">
            <w:pPr>
              <w:pStyle w:val="54"/>
              <w:bidi w:val="0"/>
              <w:rPr>
                <w:rFonts w:hint="default"/>
              </w:rPr>
            </w:pPr>
            <w:r>
              <w:rPr>
                <w:rFonts w:hint="default"/>
              </w:rPr>
              <w:t>覆盖范围</w:t>
            </w:r>
          </w:p>
        </w:tc>
        <w:tc>
          <w:tcPr>
            <w:tcW w:w="2128" w:type="dxa"/>
            <w:tcBorders>
              <w:top w:val="nil"/>
              <w:left w:val="nil"/>
              <w:bottom w:val="single" w:color="000000" w:sz="12" w:space="0"/>
              <w:right w:val="nil"/>
            </w:tcBorders>
            <w:shd w:val="clear" w:color="auto" w:fill="FFFFFF"/>
            <w:vAlign w:val="top"/>
          </w:tcPr>
          <w:p w14:paraId="655C1EAD">
            <w:pPr>
              <w:pStyle w:val="54"/>
              <w:bidi w:val="0"/>
              <w:rPr>
                <w:rFonts w:hint="default"/>
              </w:rPr>
            </w:pPr>
            <w:r>
              <w:rPr>
                <w:rFonts w:hint="eastAsia"/>
                <w:lang w:eastAsia="zh-CN"/>
              </w:rPr>
              <w:t>机械制造</w:t>
            </w:r>
            <w:r>
              <w:rPr>
                <w:rFonts w:hint="default"/>
              </w:rPr>
              <w:t>设施</w:t>
            </w:r>
          </w:p>
        </w:tc>
        <w:tc>
          <w:tcPr>
            <w:tcW w:w="2134" w:type="dxa"/>
            <w:tcBorders>
              <w:top w:val="nil"/>
              <w:left w:val="nil"/>
              <w:bottom w:val="single" w:color="000000" w:sz="12" w:space="0"/>
              <w:right w:val="nil"/>
            </w:tcBorders>
            <w:shd w:val="clear" w:color="auto" w:fill="FFFFFF"/>
            <w:vAlign w:val="top"/>
          </w:tcPr>
          <w:p w14:paraId="378214BC">
            <w:pPr>
              <w:pStyle w:val="54"/>
              <w:bidi w:val="0"/>
              <w:rPr>
                <w:rFonts w:hint="default"/>
              </w:rPr>
            </w:pPr>
          </w:p>
        </w:tc>
        <w:tc>
          <w:tcPr>
            <w:tcW w:w="2132" w:type="dxa"/>
            <w:tcBorders>
              <w:top w:val="nil"/>
              <w:left w:val="nil"/>
              <w:bottom w:val="single" w:color="000000" w:sz="12" w:space="0"/>
              <w:right w:val="nil"/>
            </w:tcBorders>
            <w:shd w:val="clear" w:color="auto" w:fill="FFFFFF"/>
            <w:vAlign w:val="top"/>
          </w:tcPr>
          <w:p w14:paraId="52BD309C">
            <w:pPr>
              <w:pStyle w:val="54"/>
              <w:bidi w:val="0"/>
              <w:rPr>
                <w:rFonts w:hint="default"/>
              </w:rPr>
            </w:pPr>
            <w:r>
              <w:rPr>
                <w:rFonts w:hint="default"/>
              </w:rPr>
              <w:t>发射控制中心等</w:t>
            </w:r>
          </w:p>
        </w:tc>
      </w:tr>
    </w:tbl>
    <w:p w14:paraId="55F85E15">
      <w:pPr>
        <w:rPr>
          <w:rFonts w:hint="default" w:ascii="Times New Roman" w:hAnsi="Times New Roman" w:cs="Times New Roman"/>
          <w:lang w:val="en-US" w:eastAsia="zh-CN"/>
        </w:rPr>
      </w:pPr>
    </w:p>
    <w:p w14:paraId="5670DDF6">
      <w:pPr>
        <w:spacing w:line="360" w:lineRule="auto"/>
        <w:jc w:val="left"/>
        <w:outlineLvl w:val="0"/>
        <w:rPr>
          <w:rStyle w:val="23"/>
          <w:rFonts w:hint="default" w:ascii="Times New Roman" w:hAnsi="Times New Roman" w:cs="Times New Roman"/>
          <w:b/>
          <w:sz w:val="32"/>
          <w:szCs w:val="32"/>
          <w:lang w:val="en-US" w:eastAsia="zh-CN"/>
        </w:rPr>
        <w:sectPr>
          <w:footerReference r:id="rId13" w:type="default"/>
          <w:pgSz w:w="11906" w:h="16838"/>
          <w:pgMar w:top="1440" w:right="1800" w:bottom="1440" w:left="1800" w:header="851" w:footer="992" w:gutter="0"/>
          <w:pgNumType w:fmt="decimal"/>
          <w:cols w:space="720" w:num="1"/>
          <w:docGrid w:type="lines" w:linePitch="326" w:charSpace="0"/>
        </w:sectPr>
      </w:pPr>
    </w:p>
    <w:p w14:paraId="2D09EB4F">
      <w:pPr>
        <w:pStyle w:val="2"/>
        <w:bidi w:val="0"/>
        <w:ind w:left="432" w:leftChars="0" w:hanging="432" w:firstLineChars="0"/>
        <w:rPr>
          <w:rStyle w:val="23"/>
          <w:rFonts w:hint="default" w:ascii="Times New Roman" w:hAnsi="Times New Roman" w:cs="Times New Roman"/>
          <w:b/>
          <w:szCs w:val="32"/>
          <w:lang w:val="en-US" w:eastAsia="zh-CN"/>
        </w:rPr>
      </w:pPr>
      <w:bookmarkStart w:id="7" w:name="_Toc32677"/>
      <w:r>
        <w:rPr>
          <w:rStyle w:val="23"/>
          <w:rFonts w:hint="default" w:ascii="Times New Roman" w:hAnsi="Times New Roman" w:cs="Times New Roman"/>
          <w:b/>
          <w:szCs w:val="32"/>
          <w:lang w:val="en-US" w:eastAsia="zh-CN"/>
        </w:rPr>
        <w:t>数据体系建设</w:t>
      </w:r>
      <w:bookmarkEnd w:id="7"/>
    </w:p>
    <w:p w14:paraId="02438708">
      <w:pPr>
        <w:pStyle w:val="3"/>
        <w:bidi w:val="0"/>
        <w:rPr>
          <w:rFonts w:hint="default" w:ascii="Times New Roman" w:hAnsi="Times New Roman" w:cs="Times New Roman"/>
          <w:lang w:val="en-US" w:eastAsia="zh-CN"/>
        </w:rPr>
      </w:pPr>
      <w:bookmarkStart w:id="8" w:name="_Toc27615"/>
      <w:r>
        <w:rPr>
          <w:rFonts w:hint="default" w:ascii="Times New Roman" w:hAnsi="Times New Roman" w:cs="Times New Roman"/>
          <w:lang w:val="en-US" w:eastAsia="zh-CN"/>
        </w:rPr>
        <w:t>数据组成</w:t>
      </w:r>
      <w:bookmarkEnd w:id="8"/>
    </w:p>
    <w:p w14:paraId="12060DCA">
      <w:pPr>
        <w:rPr>
          <w:rFonts w:hint="default" w:ascii="Times New Roman" w:hAnsi="Times New Roman" w:cs="Times New Roman"/>
          <w:lang w:val="en-US" w:eastAsia="zh-CN"/>
        </w:rPr>
      </w:pPr>
      <w:r>
        <w:rPr>
          <w:rFonts w:hint="default" w:ascii="Times New Roman" w:hAnsi="Times New Roman" w:cs="Times New Roman"/>
          <w:lang w:val="en-US" w:eastAsia="zh-CN"/>
        </w:rPr>
        <w:t>每条工况由设施 FDS 模型和对应的损伤计算结果共同组成。FDS 模型提供建筑计算域、障碍物、门窗与通风口、设备测点、敏感目标位置以及热辐射输入；损伤计算结果提供设施修复成本、资产价值和连续毁伤指数 Dk。经过完整性、有效性和取值范围检查后，形成 6558 条合格工况，其中机械制造设施 923 条。</w:t>
      </w:r>
    </w:p>
    <w:p w14:paraId="13F994B4">
      <w:pPr>
        <w:rPr>
          <w:rFonts w:hint="default" w:ascii="Times New Roman" w:hAnsi="Times New Roman" w:cs="Times New Roman"/>
          <w:lang w:val="en-US" w:eastAsia="zh-CN"/>
        </w:rPr>
      </w:pPr>
      <w:r>
        <w:rPr>
          <w:rFonts w:hint="default" w:ascii="Times New Roman" w:hAnsi="Times New Roman" w:cs="Times New Roman"/>
          <w:lang w:val="en-US" w:eastAsia="zh-CN"/>
        </w:rPr>
        <w:t>大、中、小等效设施按建筑平面尺度划分，用以表征不同体量下目标密度、开口比例和局部损伤占总资产价值比例的差异。由于实际厂房尺度是连续分布，无法逐一模拟，各规模档以一段长度、宽度范围定义，模拟时取该范围内的代表值。机械制造等效设施涵盖总装、部装和机械加工等典型生产空间，各规模的几何参数范围与代表值如下表所示。</w:t>
      </w:r>
    </w:p>
    <w:p w14:paraId="037D313A">
      <w:pPr>
        <w:pStyle w:val="16"/>
        <w:bidi w:val="0"/>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t xml:space="preserve"> </w:t>
      </w:r>
      <w:r>
        <w:rPr>
          <w:rFonts w:hint="eastAsia"/>
        </w:rPr>
        <w:t>机械制造等效设施规模分级与典型几何参数</w:t>
      </w:r>
    </w:p>
    <w:tbl>
      <w:tblPr>
        <w:tblStyle w:val="12"/>
        <w:tblW w:w="0" w:type="auto"/>
        <w:tblInd w:w="0" w:type="dxa"/>
        <w:tblLayout w:type="autofit"/>
        <w:tblCellMar>
          <w:top w:w="0" w:type="dxa"/>
          <w:left w:w="108" w:type="dxa"/>
          <w:bottom w:w="0" w:type="dxa"/>
          <w:right w:w="108" w:type="dxa"/>
        </w:tblCellMar>
      </w:tblPr>
      <w:tblGrid>
        <w:gridCol w:w="1018"/>
        <w:gridCol w:w="568"/>
        <w:gridCol w:w="1424"/>
        <w:gridCol w:w="1360"/>
        <w:gridCol w:w="1332"/>
        <w:gridCol w:w="2251"/>
        <w:gridCol w:w="569"/>
      </w:tblGrid>
      <w:tr w14:paraId="2175D395">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43BBBDCC">
            <w:pPr>
              <w:pStyle w:val="54"/>
              <w:bidi w:val="0"/>
            </w:pPr>
            <w:r>
              <w:rPr>
                <w:rFonts w:hint="eastAsia"/>
              </w:rPr>
              <w:t>建筑功能</w:t>
            </w:r>
          </w:p>
        </w:tc>
        <w:tc>
          <w:tcPr>
            <w:tcBorders>
              <w:top w:val="single" w:color="000000" w:sz="12" w:space="0"/>
              <w:left w:val="nil"/>
              <w:bottom w:val="single" w:color="000000" w:sz="4" w:space="0"/>
              <w:right w:val="nil"/>
            </w:tcBorders>
            <w:shd w:val="clear" w:color="auto" w:fill="FFFFFF"/>
          </w:tcPr>
          <w:p w14:paraId="7B1EE486">
            <w:pPr>
              <w:pStyle w:val="54"/>
              <w:bidi w:val="0"/>
            </w:pPr>
            <w:r>
              <w:rPr>
                <w:rFonts w:hint="eastAsia"/>
              </w:rPr>
              <w:t>规模</w:t>
            </w:r>
          </w:p>
        </w:tc>
        <w:tc>
          <w:tcPr>
            <w:tcBorders>
              <w:top w:val="single" w:color="000000" w:sz="12" w:space="0"/>
              <w:left w:val="nil"/>
              <w:bottom w:val="single" w:color="000000" w:sz="4" w:space="0"/>
              <w:right w:val="nil"/>
            </w:tcBorders>
            <w:shd w:val="clear" w:color="auto" w:fill="FFFFFF"/>
          </w:tcPr>
          <w:p w14:paraId="55DA6C52">
            <w:pPr>
              <w:pStyle w:val="54"/>
              <w:bidi w:val="0"/>
            </w:pPr>
            <w:r>
              <w:rPr>
                <w:rFonts w:hint="eastAsia"/>
              </w:rPr>
              <w:t>长度范围（m）</w:t>
            </w:r>
          </w:p>
        </w:tc>
        <w:tc>
          <w:tcPr>
            <w:tcBorders>
              <w:top w:val="single" w:color="000000" w:sz="12" w:space="0"/>
              <w:left w:val="nil"/>
              <w:bottom w:val="single" w:color="000000" w:sz="4" w:space="0"/>
              <w:right w:val="nil"/>
            </w:tcBorders>
            <w:shd w:val="clear" w:color="auto" w:fill="FFFFFF"/>
          </w:tcPr>
          <w:p w14:paraId="2532710D">
            <w:pPr>
              <w:pStyle w:val="54"/>
              <w:bidi w:val="0"/>
            </w:pPr>
            <w:r>
              <w:rPr>
                <w:rFonts w:hint="eastAsia"/>
              </w:rPr>
              <w:t>宽度范围（m）</w:t>
            </w:r>
          </w:p>
        </w:tc>
        <w:tc>
          <w:tcPr>
            <w:tcBorders>
              <w:top w:val="single" w:color="000000" w:sz="12" w:space="0"/>
              <w:left w:val="nil"/>
              <w:bottom w:val="single" w:color="000000" w:sz="4" w:space="0"/>
              <w:right w:val="nil"/>
            </w:tcBorders>
            <w:shd w:val="clear" w:color="auto" w:fill="FFFFFF"/>
          </w:tcPr>
          <w:p w14:paraId="6E1899B5">
            <w:pPr>
              <w:pStyle w:val="54"/>
              <w:bidi w:val="0"/>
            </w:pPr>
            <w:r>
              <w:rPr>
                <w:rFonts w:hint="eastAsia"/>
              </w:rPr>
              <w:t>高度范围（m）</w:t>
            </w:r>
          </w:p>
        </w:tc>
        <w:tc>
          <w:tcPr>
            <w:tcBorders>
              <w:top w:val="single" w:color="000000" w:sz="12" w:space="0"/>
              <w:left w:val="nil"/>
              <w:bottom w:val="single" w:color="000000" w:sz="4" w:space="0"/>
              <w:right w:val="nil"/>
            </w:tcBorders>
            <w:shd w:val="clear" w:color="auto" w:fill="FFFFFF"/>
          </w:tcPr>
          <w:p w14:paraId="027F6C83">
            <w:pPr>
              <w:pStyle w:val="54"/>
              <w:bidi w:val="0"/>
            </w:pPr>
            <w:r>
              <w:rPr>
                <w:rFonts w:hint="eastAsia"/>
              </w:rPr>
              <w:t>模拟代表值（长×宽×高）</w:t>
            </w:r>
          </w:p>
        </w:tc>
        <w:tc>
          <w:tcPr>
            <w:tcBorders>
              <w:top w:val="single" w:color="000000" w:sz="12" w:space="0"/>
              <w:left w:val="nil"/>
              <w:bottom w:val="single" w:color="000000" w:sz="4" w:space="0"/>
              <w:right w:val="nil"/>
            </w:tcBorders>
            <w:shd w:val="clear" w:color="auto" w:fill="FFFFFF"/>
          </w:tcPr>
          <w:p w14:paraId="4D654625">
            <w:pPr>
              <w:pStyle w:val="54"/>
              <w:bidi w:val="0"/>
            </w:pPr>
            <w:r>
              <w:rPr>
                <w:rFonts w:hint="eastAsia"/>
              </w:rPr>
              <w:t>层数</w:t>
            </w:r>
          </w:p>
        </w:tc>
      </w:tr>
      <w:tr w14:paraId="1F317834">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8EFD7F4">
            <w:pPr>
              <w:pStyle w:val="54"/>
              <w:bidi w:val="0"/>
            </w:pPr>
            <w:r>
              <w:rPr>
                <w:rFonts w:hint="eastAsia"/>
              </w:rPr>
              <w:t>总装车间</w:t>
            </w:r>
          </w:p>
        </w:tc>
        <w:tc>
          <w:tcPr>
            <w:tcBorders>
              <w:top w:val="single" w:color="000000" w:sz="4" w:space="0"/>
              <w:left w:val="nil"/>
              <w:bottom w:val="nil"/>
              <w:right w:val="nil"/>
            </w:tcBorders>
            <w:shd w:val="clear" w:color="auto" w:fill="FFFFFF"/>
          </w:tcPr>
          <w:p w14:paraId="68F81BD5">
            <w:pPr>
              <w:pStyle w:val="54"/>
              <w:bidi w:val="0"/>
            </w:pPr>
            <w:r>
              <w:rPr>
                <w:rFonts w:hint="eastAsia"/>
              </w:rPr>
              <w:t>小</w:t>
            </w:r>
          </w:p>
        </w:tc>
        <w:tc>
          <w:tcPr>
            <w:tcBorders>
              <w:top w:val="single" w:color="000000" w:sz="4" w:space="0"/>
              <w:left w:val="nil"/>
              <w:bottom w:val="nil"/>
              <w:right w:val="nil"/>
            </w:tcBorders>
            <w:shd w:val="clear" w:color="auto" w:fill="FFFFFF"/>
          </w:tcPr>
          <w:p w14:paraId="5A199EB0">
            <w:pPr>
              <w:pStyle w:val="54"/>
              <w:bidi w:val="0"/>
            </w:pPr>
            <w:r>
              <w:rPr>
                <w:rFonts w:hint="eastAsia"/>
                <w:lang w:val="en-US" w:eastAsia="zh-CN"/>
              </w:rPr>
              <w:t>&lt;</w:t>
            </w:r>
            <w:r>
              <w:t>140</w:t>
            </w:r>
          </w:p>
        </w:tc>
        <w:tc>
          <w:tcPr>
            <w:tcBorders>
              <w:top w:val="single" w:color="000000" w:sz="4" w:space="0"/>
              <w:left w:val="nil"/>
              <w:bottom w:val="nil"/>
              <w:right w:val="nil"/>
            </w:tcBorders>
            <w:shd w:val="clear" w:color="auto" w:fill="FFFFFF"/>
          </w:tcPr>
          <w:p w14:paraId="69B7F519">
            <w:pPr>
              <w:pStyle w:val="54"/>
              <w:bidi w:val="0"/>
            </w:pPr>
            <w:r>
              <w:rPr>
                <w:rFonts w:hint="eastAsia"/>
                <w:lang w:val="en-US" w:eastAsia="zh-CN"/>
              </w:rPr>
              <w:t>&lt;</w:t>
            </w:r>
            <w:r>
              <w:t>75</w:t>
            </w:r>
          </w:p>
        </w:tc>
        <w:tc>
          <w:tcPr>
            <w:tcBorders>
              <w:top w:val="single" w:color="000000" w:sz="4" w:space="0"/>
              <w:left w:val="nil"/>
              <w:bottom w:val="nil"/>
              <w:right w:val="nil"/>
            </w:tcBorders>
            <w:shd w:val="clear" w:color="auto" w:fill="FFFFFF"/>
          </w:tcPr>
          <w:p w14:paraId="65DF5C21">
            <w:pPr>
              <w:pStyle w:val="54"/>
              <w:bidi w:val="0"/>
            </w:pPr>
            <w:r>
              <w:rPr>
                <w:rFonts w:hint="eastAsia"/>
                <w:lang w:val="en-US" w:eastAsia="zh-CN"/>
              </w:rPr>
              <w:t>&lt;</w:t>
            </w:r>
            <w:r>
              <w:t>10</w:t>
            </w:r>
          </w:p>
        </w:tc>
        <w:tc>
          <w:tcPr>
            <w:tcBorders>
              <w:top w:val="single" w:color="000000" w:sz="4" w:space="0"/>
              <w:left w:val="nil"/>
              <w:bottom w:val="nil"/>
              <w:right w:val="nil"/>
            </w:tcBorders>
            <w:shd w:val="clear" w:color="auto" w:fill="FFFFFF"/>
          </w:tcPr>
          <w:p w14:paraId="660CD4B1">
            <w:pPr>
              <w:pStyle w:val="54"/>
              <w:bidi w:val="0"/>
            </w:pPr>
            <w:r>
              <w:t>120×60×8</w:t>
            </w:r>
          </w:p>
        </w:tc>
        <w:tc>
          <w:tcPr>
            <w:tcBorders>
              <w:top w:val="single" w:color="000000" w:sz="4" w:space="0"/>
              <w:left w:val="nil"/>
              <w:bottom w:val="nil"/>
              <w:right w:val="nil"/>
            </w:tcBorders>
            <w:shd w:val="clear" w:color="auto" w:fill="FFFFFF"/>
          </w:tcPr>
          <w:p w14:paraId="7B7C92CB">
            <w:pPr>
              <w:pStyle w:val="54"/>
              <w:bidi w:val="0"/>
            </w:pPr>
            <w:r>
              <w:t>1</w:t>
            </w:r>
          </w:p>
        </w:tc>
      </w:tr>
      <w:tr w14:paraId="47D2F276">
        <w:tblPrEx>
          <w:tblCellMar>
            <w:top w:w="0" w:type="dxa"/>
            <w:left w:w="108" w:type="dxa"/>
            <w:bottom w:w="0" w:type="dxa"/>
            <w:right w:w="108" w:type="dxa"/>
          </w:tblCellMar>
        </w:tblPrEx>
        <w:tc>
          <w:tcPr>
            <w:tcBorders>
              <w:top w:val="nil"/>
              <w:left w:val="nil"/>
              <w:bottom w:val="nil"/>
              <w:right w:val="nil"/>
            </w:tcBorders>
            <w:shd w:val="clear" w:color="auto" w:fill="FFFFFF"/>
          </w:tcPr>
          <w:p w14:paraId="093D7596">
            <w:pPr>
              <w:pStyle w:val="54"/>
              <w:bidi w:val="0"/>
            </w:pPr>
            <w:r>
              <w:rPr>
                <w:rFonts w:hint="eastAsia"/>
              </w:rPr>
              <w:t>总装车间</w:t>
            </w:r>
          </w:p>
        </w:tc>
        <w:tc>
          <w:tcPr>
            <w:tcBorders>
              <w:top w:val="nil"/>
              <w:left w:val="nil"/>
              <w:bottom w:val="nil"/>
              <w:right w:val="nil"/>
            </w:tcBorders>
            <w:shd w:val="clear" w:color="auto" w:fill="FFFFFF"/>
          </w:tcPr>
          <w:p w14:paraId="0AFEB22F">
            <w:pPr>
              <w:pStyle w:val="54"/>
              <w:bidi w:val="0"/>
            </w:pPr>
            <w:r>
              <w:rPr>
                <w:rFonts w:hint="eastAsia"/>
              </w:rPr>
              <w:t>中</w:t>
            </w:r>
          </w:p>
        </w:tc>
        <w:tc>
          <w:tcPr>
            <w:tcBorders>
              <w:top w:val="nil"/>
              <w:left w:val="nil"/>
              <w:bottom w:val="nil"/>
              <w:right w:val="nil"/>
            </w:tcBorders>
            <w:shd w:val="clear" w:color="auto" w:fill="FFFFFF"/>
          </w:tcPr>
          <w:p w14:paraId="1A12C685">
            <w:pPr>
              <w:pStyle w:val="54"/>
              <w:bidi w:val="0"/>
            </w:pPr>
            <w:r>
              <w:t>140–185</w:t>
            </w:r>
          </w:p>
        </w:tc>
        <w:tc>
          <w:tcPr>
            <w:tcBorders>
              <w:top w:val="nil"/>
              <w:left w:val="nil"/>
              <w:bottom w:val="nil"/>
              <w:right w:val="nil"/>
            </w:tcBorders>
            <w:shd w:val="clear" w:color="auto" w:fill="FFFFFF"/>
          </w:tcPr>
          <w:p w14:paraId="4C3654C5">
            <w:pPr>
              <w:pStyle w:val="54"/>
              <w:bidi w:val="0"/>
            </w:pPr>
            <w:r>
              <w:t>75–100</w:t>
            </w:r>
          </w:p>
        </w:tc>
        <w:tc>
          <w:tcPr>
            <w:tcBorders>
              <w:top w:val="nil"/>
              <w:left w:val="nil"/>
              <w:bottom w:val="nil"/>
              <w:right w:val="nil"/>
            </w:tcBorders>
            <w:shd w:val="clear" w:color="auto" w:fill="FFFFFF"/>
          </w:tcPr>
          <w:p w14:paraId="12BCE08E">
            <w:pPr>
              <w:pStyle w:val="54"/>
              <w:bidi w:val="0"/>
            </w:pPr>
            <w:r>
              <w:t>10–14</w:t>
            </w:r>
          </w:p>
        </w:tc>
        <w:tc>
          <w:tcPr>
            <w:tcBorders>
              <w:top w:val="nil"/>
              <w:left w:val="nil"/>
              <w:bottom w:val="nil"/>
              <w:right w:val="nil"/>
            </w:tcBorders>
            <w:shd w:val="clear" w:color="auto" w:fill="FFFFFF"/>
          </w:tcPr>
          <w:p w14:paraId="100DAC8F">
            <w:pPr>
              <w:pStyle w:val="54"/>
              <w:bidi w:val="0"/>
            </w:pPr>
            <w:r>
              <w:t>157.5×86×12</w:t>
            </w:r>
          </w:p>
        </w:tc>
        <w:tc>
          <w:tcPr>
            <w:tcBorders>
              <w:top w:val="nil"/>
              <w:left w:val="nil"/>
              <w:bottom w:val="nil"/>
              <w:right w:val="nil"/>
            </w:tcBorders>
            <w:shd w:val="clear" w:color="auto" w:fill="FFFFFF"/>
          </w:tcPr>
          <w:p w14:paraId="393068F6">
            <w:pPr>
              <w:pStyle w:val="54"/>
              <w:bidi w:val="0"/>
            </w:pPr>
            <w:r>
              <w:t>1</w:t>
            </w:r>
          </w:p>
        </w:tc>
      </w:tr>
      <w:tr w14:paraId="1AE901FF">
        <w:tc>
          <w:tcPr>
            <w:tcBorders>
              <w:top w:val="nil"/>
              <w:left w:val="nil"/>
              <w:bottom w:val="nil"/>
              <w:right w:val="nil"/>
            </w:tcBorders>
            <w:shd w:val="clear" w:color="auto" w:fill="FFFFFF"/>
          </w:tcPr>
          <w:p w14:paraId="18E62B41">
            <w:pPr>
              <w:pStyle w:val="54"/>
              <w:bidi w:val="0"/>
            </w:pPr>
            <w:r>
              <w:rPr>
                <w:rFonts w:hint="eastAsia"/>
              </w:rPr>
              <w:t>总装车间</w:t>
            </w:r>
          </w:p>
        </w:tc>
        <w:tc>
          <w:tcPr>
            <w:tcBorders>
              <w:top w:val="nil"/>
              <w:left w:val="nil"/>
              <w:bottom w:val="nil"/>
              <w:right w:val="nil"/>
            </w:tcBorders>
            <w:shd w:val="clear" w:color="auto" w:fill="FFFFFF"/>
          </w:tcPr>
          <w:p w14:paraId="1A413D47">
            <w:pPr>
              <w:pStyle w:val="54"/>
              <w:bidi w:val="0"/>
            </w:pPr>
            <w:r>
              <w:rPr>
                <w:rFonts w:hint="eastAsia"/>
              </w:rPr>
              <w:t>大</w:t>
            </w:r>
          </w:p>
        </w:tc>
        <w:tc>
          <w:tcPr>
            <w:tcBorders>
              <w:top w:val="nil"/>
              <w:left w:val="nil"/>
              <w:bottom w:val="nil"/>
              <w:right w:val="nil"/>
            </w:tcBorders>
            <w:shd w:val="clear" w:color="auto" w:fill="FFFFFF"/>
          </w:tcPr>
          <w:p w14:paraId="0AAA85BF">
            <w:pPr>
              <w:pStyle w:val="54"/>
              <w:bidi w:val="0"/>
            </w:pPr>
            <w:r>
              <w:rPr>
                <w:rFonts w:hint="eastAsia"/>
                <w:lang w:val="en-US" w:eastAsia="zh-CN"/>
              </w:rPr>
              <w:t>&gt;</w:t>
            </w:r>
            <w:r>
              <w:t>185</w:t>
            </w:r>
          </w:p>
        </w:tc>
        <w:tc>
          <w:tcPr>
            <w:tcBorders>
              <w:top w:val="nil"/>
              <w:left w:val="nil"/>
              <w:bottom w:val="nil"/>
              <w:right w:val="nil"/>
            </w:tcBorders>
            <w:shd w:val="clear" w:color="auto" w:fill="FFFFFF"/>
          </w:tcPr>
          <w:p w14:paraId="0A353E9E">
            <w:pPr>
              <w:pStyle w:val="54"/>
              <w:bidi w:val="0"/>
            </w:pPr>
            <w:r>
              <w:rPr>
                <w:rFonts w:hint="eastAsia"/>
                <w:lang w:val="en-US" w:eastAsia="zh-CN"/>
              </w:rPr>
              <w:t>&gt;</w:t>
            </w:r>
            <w:r>
              <w:t>100</w:t>
            </w:r>
          </w:p>
        </w:tc>
        <w:tc>
          <w:tcPr>
            <w:tcBorders>
              <w:top w:val="nil"/>
              <w:left w:val="nil"/>
              <w:bottom w:val="nil"/>
              <w:right w:val="nil"/>
            </w:tcBorders>
            <w:shd w:val="clear" w:color="auto" w:fill="FFFFFF"/>
          </w:tcPr>
          <w:p w14:paraId="60F6A125">
            <w:pPr>
              <w:pStyle w:val="54"/>
              <w:bidi w:val="0"/>
            </w:pPr>
            <w:r>
              <w:rPr>
                <w:rFonts w:hint="eastAsia"/>
                <w:lang w:val="en-US" w:eastAsia="zh-CN"/>
              </w:rPr>
              <w:t>&gt;</w:t>
            </w:r>
            <w:r>
              <w:t>14</w:t>
            </w:r>
          </w:p>
        </w:tc>
        <w:tc>
          <w:tcPr>
            <w:tcBorders>
              <w:top w:val="nil"/>
              <w:left w:val="nil"/>
              <w:bottom w:val="nil"/>
              <w:right w:val="nil"/>
            </w:tcBorders>
            <w:shd w:val="clear" w:color="auto" w:fill="FFFFFF"/>
          </w:tcPr>
          <w:p w14:paraId="0870E4AD">
            <w:pPr>
              <w:pStyle w:val="54"/>
              <w:bidi w:val="0"/>
            </w:pPr>
            <w:r>
              <w:t>210×115×16</w:t>
            </w:r>
          </w:p>
        </w:tc>
        <w:tc>
          <w:tcPr>
            <w:tcBorders>
              <w:top w:val="nil"/>
              <w:left w:val="nil"/>
              <w:bottom w:val="nil"/>
              <w:right w:val="nil"/>
            </w:tcBorders>
            <w:shd w:val="clear" w:color="auto" w:fill="FFFFFF"/>
          </w:tcPr>
          <w:p w14:paraId="5106BA7F">
            <w:pPr>
              <w:pStyle w:val="54"/>
              <w:bidi w:val="0"/>
            </w:pPr>
            <w:r>
              <w:t>1</w:t>
            </w:r>
          </w:p>
        </w:tc>
      </w:tr>
      <w:tr w14:paraId="1BBC5EEA">
        <w:tblPrEx>
          <w:tblCellMar>
            <w:top w:w="0" w:type="dxa"/>
            <w:left w:w="108" w:type="dxa"/>
            <w:bottom w:w="0" w:type="dxa"/>
            <w:right w:w="108" w:type="dxa"/>
          </w:tblCellMar>
        </w:tblPrEx>
        <w:tc>
          <w:tcPr>
            <w:tcBorders>
              <w:top w:val="nil"/>
              <w:left w:val="nil"/>
              <w:bottom w:val="nil"/>
              <w:right w:val="nil"/>
            </w:tcBorders>
            <w:shd w:val="clear" w:color="auto" w:fill="FFFFFF"/>
          </w:tcPr>
          <w:p w14:paraId="2D33D985">
            <w:pPr>
              <w:pStyle w:val="54"/>
              <w:bidi w:val="0"/>
            </w:pPr>
            <w:r>
              <w:rPr>
                <w:rFonts w:hint="eastAsia"/>
              </w:rPr>
              <w:t>部装车间</w:t>
            </w:r>
          </w:p>
        </w:tc>
        <w:tc>
          <w:tcPr>
            <w:tcBorders>
              <w:top w:val="nil"/>
              <w:left w:val="nil"/>
              <w:bottom w:val="nil"/>
              <w:right w:val="nil"/>
            </w:tcBorders>
            <w:shd w:val="clear" w:color="auto" w:fill="FFFFFF"/>
          </w:tcPr>
          <w:p w14:paraId="014250CD">
            <w:pPr>
              <w:pStyle w:val="54"/>
              <w:bidi w:val="0"/>
            </w:pPr>
            <w:r>
              <w:rPr>
                <w:rFonts w:hint="eastAsia"/>
              </w:rPr>
              <w:t>小</w:t>
            </w:r>
          </w:p>
        </w:tc>
        <w:tc>
          <w:tcPr>
            <w:tcBorders>
              <w:top w:val="nil"/>
              <w:left w:val="nil"/>
              <w:bottom w:val="nil"/>
              <w:right w:val="nil"/>
            </w:tcBorders>
            <w:shd w:val="clear" w:color="auto" w:fill="FFFFFF"/>
          </w:tcPr>
          <w:p w14:paraId="33CBFBBA">
            <w:pPr>
              <w:pStyle w:val="54"/>
              <w:bidi w:val="0"/>
            </w:pPr>
            <w:r>
              <w:rPr>
                <w:rFonts w:hint="eastAsia"/>
                <w:lang w:val="en-US" w:eastAsia="zh-CN"/>
              </w:rPr>
              <w:t>&lt;</w:t>
            </w:r>
            <w:r>
              <w:t>110</w:t>
            </w:r>
          </w:p>
        </w:tc>
        <w:tc>
          <w:tcPr>
            <w:tcBorders>
              <w:top w:val="nil"/>
              <w:left w:val="nil"/>
              <w:bottom w:val="nil"/>
              <w:right w:val="nil"/>
            </w:tcBorders>
            <w:shd w:val="clear" w:color="auto" w:fill="FFFFFF"/>
          </w:tcPr>
          <w:p w14:paraId="208344BB">
            <w:pPr>
              <w:pStyle w:val="54"/>
              <w:bidi w:val="0"/>
            </w:pPr>
            <w:r>
              <w:rPr>
                <w:rFonts w:hint="eastAsia"/>
                <w:lang w:val="en-US" w:eastAsia="zh-CN"/>
              </w:rPr>
              <w:t>&lt;</w:t>
            </w:r>
            <w:r>
              <w:t>60</w:t>
            </w:r>
          </w:p>
        </w:tc>
        <w:tc>
          <w:tcPr>
            <w:tcBorders>
              <w:top w:val="nil"/>
              <w:left w:val="nil"/>
              <w:bottom w:val="nil"/>
              <w:right w:val="nil"/>
            </w:tcBorders>
            <w:shd w:val="clear" w:color="auto" w:fill="FFFFFF"/>
          </w:tcPr>
          <w:p w14:paraId="5C43ABF1">
            <w:pPr>
              <w:pStyle w:val="54"/>
              <w:bidi w:val="0"/>
            </w:pPr>
            <w:r>
              <w:rPr>
                <w:rFonts w:hint="eastAsia"/>
                <w:lang w:val="en-US" w:eastAsia="zh-CN"/>
              </w:rPr>
              <w:t>&lt;</w:t>
            </w:r>
            <w:r>
              <w:t>8</w:t>
            </w:r>
          </w:p>
        </w:tc>
        <w:tc>
          <w:tcPr>
            <w:tcBorders>
              <w:top w:val="nil"/>
              <w:left w:val="nil"/>
              <w:bottom w:val="nil"/>
              <w:right w:val="nil"/>
            </w:tcBorders>
            <w:shd w:val="clear" w:color="auto" w:fill="FFFFFF"/>
          </w:tcPr>
          <w:p w14:paraId="062EB36D">
            <w:pPr>
              <w:pStyle w:val="54"/>
              <w:bidi w:val="0"/>
            </w:pPr>
            <w:r>
              <w:t>95×50×7</w:t>
            </w:r>
          </w:p>
        </w:tc>
        <w:tc>
          <w:tcPr>
            <w:tcBorders>
              <w:top w:val="nil"/>
              <w:left w:val="nil"/>
              <w:bottom w:val="nil"/>
              <w:right w:val="nil"/>
            </w:tcBorders>
            <w:shd w:val="clear" w:color="auto" w:fill="FFFFFF"/>
          </w:tcPr>
          <w:p w14:paraId="610957F9">
            <w:pPr>
              <w:pStyle w:val="54"/>
              <w:bidi w:val="0"/>
            </w:pPr>
            <w:r>
              <w:t>1</w:t>
            </w:r>
          </w:p>
        </w:tc>
      </w:tr>
      <w:tr w14:paraId="32F4057A">
        <w:tblPrEx>
          <w:tblCellMar>
            <w:top w:w="0" w:type="dxa"/>
            <w:left w:w="108" w:type="dxa"/>
            <w:bottom w:w="0" w:type="dxa"/>
            <w:right w:w="108" w:type="dxa"/>
          </w:tblCellMar>
        </w:tblPrEx>
        <w:tc>
          <w:tcPr>
            <w:tcBorders>
              <w:top w:val="nil"/>
              <w:left w:val="nil"/>
              <w:bottom w:val="nil"/>
              <w:right w:val="nil"/>
            </w:tcBorders>
            <w:shd w:val="clear" w:color="auto" w:fill="FFFFFF"/>
          </w:tcPr>
          <w:p w14:paraId="53871772">
            <w:pPr>
              <w:pStyle w:val="54"/>
              <w:bidi w:val="0"/>
            </w:pPr>
            <w:r>
              <w:rPr>
                <w:rFonts w:hint="eastAsia"/>
              </w:rPr>
              <w:t>部装车间</w:t>
            </w:r>
          </w:p>
        </w:tc>
        <w:tc>
          <w:tcPr>
            <w:tcBorders>
              <w:top w:val="nil"/>
              <w:left w:val="nil"/>
              <w:bottom w:val="nil"/>
              <w:right w:val="nil"/>
            </w:tcBorders>
            <w:shd w:val="clear" w:color="auto" w:fill="FFFFFF"/>
          </w:tcPr>
          <w:p w14:paraId="56DE6F92">
            <w:pPr>
              <w:pStyle w:val="54"/>
              <w:bidi w:val="0"/>
            </w:pPr>
            <w:r>
              <w:rPr>
                <w:rFonts w:hint="eastAsia"/>
              </w:rPr>
              <w:t>中</w:t>
            </w:r>
          </w:p>
        </w:tc>
        <w:tc>
          <w:tcPr>
            <w:tcBorders>
              <w:top w:val="nil"/>
              <w:left w:val="nil"/>
              <w:bottom w:val="nil"/>
              <w:right w:val="nil"/>
            </w:tcBorders>
            <w:shd w:val="clear" w:color="auto" w:fill="FFFFFF"/>
          </w:tcPr>
          <w:p w14:paraId="0D394E17">
            <w:pPr>
              <w:pStyle w:val="54"/>
              <w:bidi w:val="0"/>
            </w:pPr>
            <w:r>
              <w:t>110–150</w:t>
            </w:r>
          </w:p>
        </w:tc>
        <w:tc>
          <w:tcPr>
            <w:tcBorders>
              <w:top w:val="nil"/>
              <w:left w:val="nil"/>
              <w:bottom w:val="nil"/>
              <w:right w:val="nil"/>
            </w:tcBorders>
            <w:shd w:val="clear" w:color="auto" w:fill="FFFFFF"/>
          </w:tcPr>
          <w:p w14:paraId="261A26E1">
            <w:pPr>
              <w:pStyle w:val="54"/>
              <w:bidi w:val="0"/>
            </w:pPr>
            <w:r>
              <w:t>60–82</w:t>
            </w:r>
          </w:p>
        </w:tc>
        <w:tc>
          <w:tcPr>
            <w:tcBorders>
              <w:top w:val="nil"/>
              <w:left w:val="nil"/>
              <w:bottom w:val="nil"/>
              <w:right w:val="nil"/>
            </w:tcBorders>
            <w:shd w:val="clear" w:color="auto" w:fill="FFFFFF"/>
          </w:tcPr>
          <w:p w14:paraId="3C3C73EA">
            <w:pPr>
              <w:pStyle w:val="54"/>
              <w:bidi w:val="0"/>
            </w:pPr>
            <w:r>
              <w:t>8–10</w:t>
            </w:r>
          </w:p>
        </w:tc>
        <w:tc>
          <w:tcPr>
            <w:tcBorders>
              <w:top w:val="nil"/>
              <w:left w:val="nil"/>
              <w:bottom w:val="nil"/>
              <w:right w:val="nil"/>
            </w:tcBorders>
            <w:shd w:val="clear" w:color="auto" w:fill="FFFFFF"/>
          </w:tcPr>
          <w:p w14:paraId="36571FC7">
            <w:pPr>
              <w:pStyle w:val="54"/>
              <w:bidi w:val="0"/>
            </w:pPr>
            <w:r>
              <w:t>130×70×9</w:t>
            </w:r>
          </w:p>
        </w:tc>
        <w:tc>
          <w:tcPr>
            <w:tcBorders>
              <w:top w:val="nil"/>
              <w:left w:val="nil"/>
              <w:bottom w:val="nil"/>
              <w:right w:val="nil"/>
            </w:tcBorders>
            <w:shd w:val="clear" w:color="auto" w:fill="FFFFFF"/>
          </w:tcPr>
          <w:p w14:paraId="297CDE94">
            <w:pPr>
              <w:pStyle w:val="54"/>
              <w:bidi w:val="0"/>
            </w:pPr>
            <w:r>
              <w:t>1</w:t>
            </w:r>
          </w:p>
        </w:tc>
      </w:tr>
      <w:tr w14:paraId="2A6A3DB2">
        <w:tblPrEx>
          <w:tblCellMar>
            <w:top w:w="0" w:type="dxa"/>
            <w:left w:w="108" w:type="dxa"/>
            <w:bottom w:w="0" w:type="dxa"/>
            <w:right w:w="108" w:type="dxa"/>
          </w:tblCellMar>
        </w:tblPrEx>
        <w:tc>
          <w:tcPr>
            <w:tcBorders>
              <w:top w:val="nil"/>
              <w:left w:val="nil"/>
              <w:bottom w:val="nil"/>
              <w:right w:val="nil"/>
            </w:tcBorders>
            <w:shd w:val="clear" w:color="auto" w:fill="FFFFFF"/>
          </w:tcPr>
          <w:p w14:paraId="527B60C8">
            <w:pPr>
              <w:pStyle w:val="54"/>
              <w:bidi w:val="0"/>
            </w:pPr>
            <w:r>
              <w:rPr>
                <w:rFonts w:hint="eastAsia"/>
              </w:rPr>
              <w:t>部装车间</w:t>
            </w:r>
          </w:p>
        </w:tc>
        <w:tc>
          <w:tcPr>
            <w:tcBorders>
              <w:top w:val="nil"/>
              <w:left w:val="nil"/>
              <w:bottom w:val="nil"/>
              <w:right w:val="nil"/>
            </w:tcBorders>
            <w:shd w:val="clear" w:color="auto" w:fill="FFFFFF"/>
          </w:tcPr>
          <w:p w14:paraId="25CE81D0">
            <w:pPr>
              <w:pStyle w:val="54"/>
              <w:bidi w:val="0"/>
            </w:pPr>
            <w:r>
              <w:rPr>
                <w:rFonts w:hint="eastAsia"/>
              </w:rPr>
              <w:t>大</w:t>
            </w:r>
          </w:p>
        </w:tc>
        <w:tc>
          <w:tcPr>
            <w:tcBorders>
              <w:top w:val="nil"/>
              <w:left w:val="nil"/>
              <w:bottom w:val="nil"/>
              <w:right w:val="nil"/>
            </w:tcBorders>
            <w:shd w:val="clear" w:color="auto" w:fill="FFFFFF"/>
          </w:tcPr>
          <w:p w14:paraId="63E6F617">
            <w:pPr>
              <w:pStyle w:val="54"/>
              <w:bidi w:val="0"/>
            </w:pPr>
            <w:r>
              <w:rPr>
                <w:rFonts w:hint="eastAsia"/>
                <w:lang w:val="en-US" w:eastAsia="zh-CN"/>
              </w:rPr>
              <w:t>&gt;</w:t>
            </w:r>
            <w:r>
              <w:t>150</w:t>
            </w:r>
          </w:p>
        </w:tc>
        <w:tc>
          <w:tcPr>
            <w:tcBorders>
              <w:top w:val="nil"/>
              <w:left w:val="nil"/>
              <w:bottom w:val="nil"/>
              <w:right w:val="nil"/>
            </w:tcBorders>
            <w:shd w:val="clear" w:color="auto" w:fill="FFFFFF"/>
          </w:tcPr>
          <w:p w14:paraId="4BDCC905">
            <w:pPr>
              <w:pStyle w:val="54"/>
              <w:bidi w:val="0"/>
            </w:pPr>
            <w:r>
              <w:rPr>
                <w:rFonts w:hint="eastAsia"/>
                <w:lang w:val="en-US" w:eastAsia="zh-CN"/>
              </w:rPr>
              <w:t>&gt;</w:t>
            </w:r>
            <w:r>
              <w:t>82</w:t>
            </w:r>
          </w:p>
        </w:tc>
        <w:tc>
          <w:tcPr>
            <w:tcBorders>
              <w:top w:val="nil"/>
              <w:left w:val="nil"/>
              <w:bottom w:val="nil"/>
              <w:right w:val="nil"/>
            </w:tcBorders>
            <w:shd w:val="clear" w:color="auto" w:fill="FFFFFF"/>
          </w:tcPr>
          <w:p w14:paraId="35178B9B">
            <w:pPr>
              <w:pStyle w:val="54"/>
              <w:bidi w:val="0"/>
            </w:pPr>
            <w:r>
              <w:rPr>
                <w:rFonts w:hint="eastAsia"/>
                <w:lang w:val="en-US" w:eastAsia="zh-CN"/>
              </w:rPr>
              <w:t>&gt;</w:t>
            </w:r>
            <w:r>
              <w:t>10</w:t>
            </w:r>
          </w:p>
        </w:tc>
        <w:tc>
          <w:tcPr>
            <w:tcBorders>
              <w:top w:val="nil"/>
              <w:left w:val="nil"/>
              <w:bottom w:val="nil"/>
              <w:right w:val="nil"/>
            </w:tcBorders>
            <w:shd w:val="clear" w:color="auto" w:fill="FFFFFF"/>
          </w:tcPr>
          <w:p w14:paraId="77FC60F1">
            <w:pPr>
              <w:pStyle w:val="54"/>
              <w:bidi w:val="0"/>
            </w:pPr>
            <w:r>
              <w:t>175×95×11</w:t>
            </w:r>
          </w:p>
        </w:tc>
        <w:tc>
          <w:tcPr>
            <w:tcBorders>
              <w:top w:val="nil"/>
              <w:left w:val="nil"/>
              <w:bottom w:val="nil"/>
              <w:right w:val="nil"/>
            </w:tcBorders>
            <w:shd w:val="clear" w:color="auto" w:fill="FFFFFF"/>
          </w:tcPr>
          <w:p w14:paraId="1FC32CAF">
            <w:pPr>
              <w:pStyle w:val="54"/>
              <w:bidi w:val="0"/>
            </w:pPr>
            <w:r>
              <w:t>1</w:t>
            </w:r>
          </w:p>
        </w:tc>
      </w:tr>
      <w:tr w14:paraId="184AADF0">
        <w:tc>
          <w:tcPr>
            <w:tcBorders>
              <w:top w:val="nil"/>
              <w:left w:val="nil"/>
              <w:bottom w:val="nil"/>
              <w:right w:val="nil"/>
            </w:tcBorders>
            <w:shd w:val="clear" w:color="auto" w:fill="FFFFFF"/>
          </w:tcPr>
          <w:p w14:paraId="3D2AD77A">
            <w:pPr>
              <w:pStyle w:val="54"/>
              <w:bidi w:val="0"/>
            </w:pPr>
            <w:r>
              <w:rPr>
                <w:rFonts w:hint="eastAsia"/>
              </w:rPr>
              <w:t>机械加工车间</w:t>
            </w:r>
          </w:p>
        </w:tc>
        <w:tc>
          <w:tcPr>
            <w:tcBorders>
              <w:top w:val="nil"/>
              <w:left w:val="nil"/>
              <w:bottom w:val="nil"/>
              <w:right w:val="nil"/>
            </w:tcBorders>
            <w:shd w:val="clear" w:color="auto" w:fill="FFFFFF"/>
          </w:tcPr>
          <w:p w14:paraId="33842194">
            <w:pPr>
              <w:pStyle w:val="54"/>
              <w:bidi w:val="0"/>
            </w:pPr>
            <w:r>
              <w:rPr>
                <w:rFonts w:hint="eastAsia"/>
              </w:rPr>
              <w:t>小</w:t>
            </w:r>
          </w:p>
        </w:tc>
        <w:tc>
          <w:tcPr>
            <w:tcBorders>
              <w:top w:val="nil"/>
              <w:left w:val="nil"/>
              <w:bottom w:val="nil"/>
              <w:right w:val="nil"/>
            </w:tcBorders>
            <w:shd w:val="clear" w:color="auto" w:fill="FFFFFF"/>
          </w:tcPr>
          <w:p w14:paraId="5888C5D7">
            <w:pPr>
              <w:pStyle w:val="54"/>
              <w:bidi w:val="0"/>
            </w:pPr>
            <w:r>
              <w:rPr>
                <w:rFonts w:hint="eastAsia"/>
                <w:lang w:val="en-US" w:eastAsia="zh-CN"/>
              </w:rPr>
              <w:t>&lt;</w:t>
            </w:r>
            <w:r>
              <w:t>115</w:t>
            </w:r>
          </w:p>
        </w:tc>
        <w:tc>
          <w:tcPr>
            <w:tcBorders>
              <w:top w:val="nil"/>
              <w:left w:val="nil"/>
              <w:bottom w:val="nil"/>
              <w:right w:val="nil"/>
            </w:tcBorders>
            <w:shd w:val="clear" w:color="auto" w:fill="FFFFFF"/>
          </w:tcPr>
          <w:p w14:paraId="04F4965B">
            <w:pPr>
              <w:pStyle w:val="54"/>
              <w:bidi w:val="0"/>
            </w:pPr>
            <w:r>
              <w:rPr>
                <w:rFonts w:hint="eastAsia"/>
                <w:lang w:val="en-US" w:eastAsia="zh-CN"/>
              </w:rPr>
              <w:t>&lt;</w:t>
            </w:r>
            <w:r>
              <w:t>60</w:t>
            </w:r>
          </w:p>
        </w:tc>
        <w:tc>
          <w:tcPr>
            <w:tcBorders>
              <w:top w:val="nil"/>
              <w:left w:val="nil"/>
              <w:bottom w:val="nil"/>
              <w:right w:val="nil"/>
            </w:tcBorders>
            <w:shd w:val="clear" w:color="auto" w:fill="FFFFFF"/>
          </w:tcPr>
          <w:p w14:paraId="5F128ABE">
            <w:pPr>
              <w:pStyle w:val="54"/>
              <w:bidi w:val="0"/>
            </w:pPr>
            <w:r>
              <w:rPr>
                <w:rFonts w:hint="eastAsia"/>
                <w:lang w:val="en-US" w:eastAsia="zh-CN"/>
              </w:rPr>
              <w:t>&lt;</w:t>
            </w:r>
            <w:r>
              <w:t>8</w:t>
            </w:r>
          </w:p>
        </w:tc>
        <w:tc>
          <w:tcPr>
            <w:tcBorders>
              <w:top w:val="nil"/>
              <w:left w:val="nil"/>
              <w:bottom w:val="nil"/>
              <w:right w:val="nil"/>
            </w:tcBorders>
            <w:shd w:val="clear" w:color="auto" w:fill="FFFFFF"/>
          </w:tcPr>
          <w:p w14:paraId="7AE651CB">
            <w:pPr>
              <w:pStyle w:val="54"/>
              <w:bidi w:val="0"/>
            </w:pPr>
            <w:r>
              <w:t>100×52×7</w:t>
            </w:r>
          </w:p>
        </w:tc>
        <w:tc>
          <w:tcPr>
            <w:tcBorders>
              <w:top w:val="nil"/>
              <w:left w:val="nil"/>
              <w:bottom w:val="nil"/>
              <w:right w:val="nil"/>
            </w:tcBorders>
            <w:shd w:val="clear" w:color="auto" w:fill="FFFFFF"/>
          </w:tcPr>
          <w:p w14:paraId="09A3B206">
            <w:pPr>
              <w:pStyle w:val="54"/>
              <w:bidi w:val="0"/>
            </w:pPr>
            <w:r>
              <w:t>1</w:t>
            </w:r>
          </w:p>
        </w:tc>
      </w:tr>
      <w:tr w14:paraId="6E0E97A6">
        <w:tblPrEx>
          <w:tblCellMar>
            <w:top w:w="0" w:type="dxa"/>
            <w:left w:w="108" w:type="dxa"/>
            <w:bottom w:w="0" w:type="dxa"/>
            <w:right w:w="108" w:type="dxa"/>
          </w:tblCellMar>
        </w:tblPrEx>
        <w:tc>
          <w:tcPr>
            <w:tcBorders>
              <w:top w:val="nil"/>
              <w:left w:val="nil"/>
              <w:bottom w:val="nil"/>
              <w:right w:val="nil"/>
            </w:tcBorders>
            <w:shd w:val="clear" w:color="auto" w:fill="FFFFFF"/>
          </w:tcPr>
          <w:p w14:paraId="69F926D5">
            <w:pPr>
              <w:pStyle w:val="54"/>
              <w:bidi w:val="0"/>
            </w:pPr>
            <w:r>
              <w:rPr>
                <w:rFonts w:hint="eastAsia"/>
              </w:rPr>
              <w:t>机械加工车间</w:t>
            </w:r>
          </w:p>
        </w:tc>
        <w:tc>
          <w:tcPr>
            <w:tcBorders>
              <w:top w:val="nil"/>
              <w:left w:val="nil"/>
              <w:bottom w:val="nil"/>
              <w:right w:val="nil"/>
            </w:tcBorders>
            <w:shd w:val="clear" w:color="auto" w:fill="FFFFFF"/>
          </w:tcPr>
          <w:p w14:paraId="324DE8CB">
            <w:pPr>
              <w:pStyle w:val="54"/>
              <w:bidi w:val="0"/>
            </w:pPr>
            <w:r>
              <w:rPr>
                <w:rFonts w:hint="eastAsia"/>
              </w:rPr>
              <w:t>中</w:t>
            </w:r>
          </w:p>
        </w:tc>
        <w:tc>
          <w:tcPr>
            <w:tcBorders>
              <w:top w:val="nil"/>
              <w:left w:val="nil"/>
              <w:bottom w:val="nil"/>
              <w:right w:val="nil"/>
            </w:tcBorders>
            <w:shd w:val="clear" w:color="auto" w:fill="FFFFFF"/>
          </w:tcPr>
          <w:p w14:paraId="3582D24F">
            <w:pPr>
              <w:pStyle w:val="54"/>
              <w:bidi w:val="0"/>
            </w:pPr>
            <w:r>
              <w:t>115–155</w:t>
            </w:r>
          </w:p>
        </w:tc>
        <w:tc>
          <w:tcPr>
            <w:tcBorders>
              <w:top w:val="nil"/>
              <w:left w:val="nil"/>
              <w:bottom w:val="nil"/>
              <w:right w:val="nil"/>
            </w:tcBorders>
            <w:shd w:val="clear" w:color="auto" w:fill="FFFFFF"/>
          </w:tcPr>
          <w:p w14:paraId="4C5E7C0F">
            <w:pPr>
              <w:pStyle w:val="54"/>
              <w:bidi w:val="0"/>
            </w:pPr>
            <w:r>
              <w:t>60–82</w:t>
            </w:r>
          </w:p>
        </w:tc>
        <w:tc>
          <w:tcPr>
            <w:tcBorders>
              <w:top w:val="nil"/>
              <w:left w:val="nil"/>
              <w:bottom w:val="nil"/>
              <w:right w:val="nil"/>
            </w:tcBorders>
            <w:shd w:val="clear" w:color="auto" w:fill="FFFFFF"/>
          </w:tcPr>
          <w:p w14:paraId="5E327ACC">
            <w:pPr>
              <w:pStyle w:val="54"/>
              <w:bidi w:val="0"/>
            </w:pPr>
            <w:r>
              <w:t>8–9</w:t>
            </w:r>
          </w:p>
        </w:tc>
        <w:tc>
          <w:tcPr>
            <w:tcBorders>
              <w:top w:val="nil"/>
              <w:left w:val="nil"/>
              <w:bottom w:val="nil"/>
              <w:right w:val="nil"/>
            </w:tcBorders>
            <w:shd w:val="clear" w:color="auto" w:fill="FFFFFF"/>
          </w:tcPr>
          <w:p w14:paraId="3092652D">
            <w:pPr>
              <w:pStyle w:val="54"/>
              <w:bidi w:val="0"/>
            </w:pPr>
            <w:r>
              <w:t>135×70×8</w:t>
            </w:r>
          </w:p>
        </w:tc>
        <w:tc>
          <w:tcPr>
            <w:tcBorders>
              <w:top w:val="nil"/>
              <w:left w:val="nil"/>
              <w:bottom w:val="nil"/>
              <w:right w:val="nil"/>
            </w:tcBorders>
            <w:shd w:val="clear" w:color="auto" w:fill="FFFFFF"/>
          </w:tcPr>
          <w:p w14:paraId="7E715B01">
            <w:pPr>
              <w:pStyle w:val="54"/>
              <w:bidi w:val="0"/>
            </w:pPr>
            <w:r>
              <w:t>1</w:t>
            </w:r>
          </w:p>
        </w:tc>
      </w:tr>
      <w:tr w14:paraId="3D8A6460">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64BC539">
            <w:pPr>
              <w:pStyle w:val="54"/>
              <w:bidi w:val="0"/>
            </w:pPr>
            <w:r>
              <w:rPr>
                <w:rFonts w:hint="eastAsia"/>
              </w:rPr>
              <w:t>机械加工车间</w:t>
            </w:r>
          </w:p>
        </w:tc>
        <w:tc>
          <w:tcPr>
            <w:tcBorders>
              <w:top w:val="nil"/>
              <w:left w:val="nil"/>
              <w:bottom w:val="single" w:color="000000" w:sz="12" w:space="0"/>
              <w:right w:val="nil"/>
            </w:tcBorders>
            <w:shd w:val="clear" w:color="auto" w:fill="FFFFFF"/>
          </w:tcPr>
          <w:p w14:paraId="22CDE34E">
            <w:pPr>
              <w:pStyle w:val="54"/>
              <w:bidi w:val="0"/>
            </w:pPr>
            <w:r>
              <w:rPr>
                <w:rFonts w:hint="eastAsia"/>
              </w:rPr>
              <w:t>大</w:t>
            </w:r>
          </w:p>
        </w:tc>
        <w:tc>
          <w:tcPr>
            <w:tcBorders>
              <w:top w:val="nil"/>
              <w:left w:val="nil"/>
              <w:bottom w:val="single" w:color="000000" w:sz="12" w:space="0"/>
              <w:right w:val="nil"/>
            </w:tcBorders>
            <w:shd w:val="clear" w:color="auto" w:fill="FFFFFF"/>
          </w:tcPr>
          <w:p w14:paraId="548D4B52">
            <w:pPr>
              <w:pStyle w:val="54"/>
              <w:bidi w:val="0"/>
            </w:pPr>
            <w:r>
              <w:rPr>
                <w:rFonts w:hint="eastAsia"/>
                <w:lang w:val="en-US" w:eastAsia="zh-CN"/>
              </w:rPr>
              <w:t>&gt;</w:t>
            </w:r>
            <w:r>
              <w:t>155</w:t>
            </w:r>
          </w:p>
        </w:tc>
        <w:tc>
          <w:tcPr>
            <w:tcBorders>
              <w:top w:val="nil"/>
              <w:left w:val="nil"/>
              <w:bottom w:val="single" w:color="000000" w:sz="12" w:space="0"/>
              <w:right w:val="nil"/>
            </w:tcBorders>
            <w:shd w:val="clear" w:color="auto" w:fill="FFFFFF"/>
          </w:tcPr>
          <w:p w14:paraId="5D0D1F18">
            <w:pPr>
              <w:pStyle w:val="54"/>
              <w:bidi w:val="0"/>
            </w:pPr>
            <w:r>
              <w:rPr>
                <w:rFonts w:hint="eastAsia"/>
                <w:lang w:val="en-US" w:eastAsia="zh-CN"/>
              </w:rPr>
              <w:t>&gt;</w:t>
            </w:r>
            <w:r>
              <w:t>82</w:t>
            </w:r>
          </w:p>
        </w:tc>
        <w:tc>
          <w:tcPr>
            <w:tcBorders>
              <w:top w:val="nil"/>
              <w:left w:val="nil"/>
              <w:bottom w:val="single" w:color="000000" w:sz="12" w:space="0"/>
              <w:right w:val="nil"/>
            </w:tcBorders>
            <w:shd w:val="clear" w:color="auto" w:fill="FFFFFF"/>
          </w:tcPr>
          <w:p w14:paraId="0F03F491">
            <w:pPr>
              <w:pStyle w:val="54"/>
              <w:bidi w:val="0"/>
            </w:pPr>
            <w:r>
              <w:rPr>
                <w:rFonts w:hint="eastAsia"/>
                <w:lang w:val="en-US" w:eastAsia="zh-CN"/>
              </w:rPr>
              <w:t>&gt;</w:t>
            </w:r>
            <w:r>
              <w:t>9</w:t>
            </w:r>
          </w:p>
        </w:tc>
        <w:tc>
          <w:tcPr>
            <w:tcBorders>
              <w:top w:val="nil"/>
              <w:left w:val="nil"/>
              <w:bottom w:val="single" w:color="000000" w:sz="12" w:space="0"/>
              <w:right w:val="nil"/>
            </w:tcBorders>
            <w:shd w:val="clear" w:color="auto" w:fill="FFFFFF"/>
          </w:tcPr>
          <w:p w14:paraId="6593FAC6">
            <w:pPr>
              <w:pStyle w:val="54"/>
              <w:bidi w:val="0"/>
            </w:pPr>
            <w:r>
              <w:t>180×95×9</w:t>
            </w:r>
          </w:p>
        </w:tc>
        <w:tc>
          <w:tcPr>
            <w:tcBorders>
              <w:top w:val="nil"/>
              <w:left w:val="nil"/>
              <w:bottom w:val="single" w:color="000000" w:sz="12" w:space="0"/>
              <w:right w:val="nil"/>
            </w:tcBorders>
            <w:shd w:val="clear" w:color="auto" w:fill="FFFFFF"/>
          </w:tcPr>
          <w:p w14:paraId="3F0D9DBD">
            <w:pPr>
              <w:pStyle w:val="54"/>
              <w:bidi w:val="0"/>
            </w:pPr>
            <w:r>
              <w:t>1</w:t>
            </w:r>
          </w:p>
        </w:tc>
      </w:tr>
    </w:tbl>
    <w:p w14:paraId="4B35D8D6">
      <w:pPr>
        <w:rPr>
          <w:rFonts w:hint="default" w:ascii="Times New Roman" w:hAnsi="Times New Roman" w:cs="Times New Roman"/>
          <w:lang w:val="en-US" w:eastAsia="zh-CN"/>
        </w:rPr>
      </w:pPr>
      <w:r>
        <w:rPr>
          <w:rFonts w:hint="default" w:ascii="Times New Roman" w:hAnsi="Times New Roman" w:cs="Times New Roman"/>
          <w:lang w:val="en-US" w:eastAsia="zh-CN"/>
        </w:rPr>
        <w:t>从规模分级看，总装车间跨度最大，反映整机装配对连续大空间和物流开口的需求；部装车间以装配工位和局部生产单元为主，尺度相对紧凑；机械加工车间介于两者之间，以机床密集布置为主要特征。三种功能空间在大、中、小三个尺度下均保持单层大跨结构，高度随规模小幅增加，体现了厂房在满足生产净空前提下向水平方向扩展的典型形态。模拟代表值即各规模档在 FDS 建模中实际采用的长宽高，相邻档位之间以代表值中点划分边界。</w:t>
      </w:r>
    </w:p>
    <w:p w14:paraId="0F37218D">
      <w:pPr>
        <w:pStyle w:val="3"/>
        <w:bidi w:val="0"/>
        <w:ind w:left="575" w:leftChars="0" w:hanging="575" w:firstLineChars="0"/>
        <w:rPr>
          <w:rStyle w:val="23"/>
          <w:rFonts w:hint="default" w:ascii="Times New Roman" w:hAnsi="Times New Roman" w:cs="Times New Roman"/>
          <w:b/>
          <w:szCs w:val="28"/>
          <w:lang w:val="en-US" w:eastAsia="zh-CN"/>
        </w:rPr>
      </w:pPr>
      <w:bookmarkStart w:id="9" w:name="_Toc443"/>
      <w:r>
        <w:rPr>
          <w:rStyle w:val="23"/>
          <w:rFonts w:hint="default" w:ascii="Times New Roman" w:hAnsi="Times New Roman" w:cs="Times New Roman"/>
          <w:b/>
          <w:szCs w:val="28"/>
          <w:lang w:val="en-US" w:eastAsia="zh-CN"/>
        </w:rPr>
        <w:t>工况覆盖</w:t>
      </w:r>
      <w:bookmarkEnd w:id="9"/>
    </w:p>
    <w:p w14:paraId="09E42A79">
      <w:pPr>
        <w:rPr>
          <w:rFonts w:hint="eastAsia" w:ascii="Times New Roman" w:hAnsi="Times New Roman" w:cs="Times New Roman"/>
          <w:lang w:val="en-US" w:eastAsia="zh-CN"/>
        </w:rPr>
      </w:pPr>
      <w:r>
        <w:rPr>
          <w:rFonts w:hint="eastAsia" w:ascii="Times New Roman" w:hAnsi="Times New Roman" w:cs="Times New Roman"/>
          <w:lang w:val="en-US" w:eastAsia="zh-CN"/>
        </w:rPr>
        <w:t>机械制造设施工况统一覆盖热通量、方位角、俯仰角和辐射持续时间四类热源条件。全部机械制造数据综合覆盖 500～20000 kW/m²热通量，主要方位角为 0°、90°、180°和 270°，俯仰角为 0°、30°、45°和 60°，辐射持续时间为 1.36 s、2.10 s 和 7.50 s。三个持续时间分别包含 242、243 和 273 条合格工况，可用于比较不同短时热作用条件下的毁伤响应。</w:t>
      </w:r>
    </w:p>
    <w:p w14:paraId="6946762D">
      <w:pPr>
        <w:rPr>
          <w:rFonts w:hint="default" w:ascii="Times New Roman" w:hAnsi="Times New Roman" w:cs="Times New Roman"/>
          <w:lang w:val="en-US" w:eastAsia="zh-CN"/>
        </w:rPr>
      </w:pPr>
      <w:r>
        <w:rPr>
          <w:rFonts w:hint="eastAsia" w:ascii="Times New Roman" w:hAnsi="Times New Roman" w:cs="Times New Roman"/>
          <w:lang w:val="en-US" w:eastAsia="zh-CN"/>
        </w:rPr>
        <w:t>设施计算域、开口与敏感目标采用各自 FDS 模型中的实际参数。工况组合在统一规则下组织，使模型能够学习热源条件与设施工程特征之间的耦合作用，同时保持特异设施模型和等效设施模型的数据表达一致。</w:t>
      </w:r>
    </w:p>
    <w:p w14:paraId="5B791336">
      <w:pPr>
        <w:rPr>
          <w:rFonts w:hint="default" w:ascii="Times New Roman" w:hAnsi="Times New Roman" w:cs="Times New Roman"/>
          <w:lang w:val="en-US" w:eastAsia="zh-CN"/>
        </w:rPr>
      </w:pPr>
    </w:p>
    <w:p w14:paraId="03946950">
      <w:pPr>
        <w:pStyle w:val="3"/>
        <w:bidi w:val="0"/>
        <w:ind w:left="575" w:leftChars="0" w:hanging="575" w:firstLineChars="0"/>
        <w:rPr>
          <w:rStyle w:val="23"/>
          <w:rFonts w:hint="default" w:ascii="Times New Roman" w:hAnsi="Times New Roman" w:cs="Times New Roman"/>
          <w:b/>
          <w:szCs w:val="28"/>
          <w:lang w:val="en-US" w:eastAsia="zh-CN"/>
        </w:rPr>
      </w:pPr>
      <w:bookmarkStart w:id="10" w:name="_Toc32698"/>
      <w:r>
        <w:rPr>
          <w:rFonts w:hint="eastAsia"/>
        </w:rPr>
        <w:t>设施构型与目标特征覆盖</w:t>
      </w:r>
      <w:bookmarkEnd w:id="10"/>
    </w:p>
    <w:p w14:paraId="47DB4138">
      <w:pPr>
        <w:spacing w:line="312"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机械制造设施中的可燃物与敏感目标具有明显的工艺聚集性。切削和磨削区域关注切削液、润滑油、液压油、油雾及金属粉尘，装配和总装区域关注电缆、塑料和橡胶部件、包装材料、涂装或清洗用液体以及局部气瓶和供气装置；机床、机器人、数控系统、配电柜和生产线控制单元则属于高价值敏感目标。不同物料的燃烧、挥发或粉尘风险并不直接构成新的模型变量，而是用于解释实际 FDS 模型中目标布置和方向响应的差异。</w:t>
      </w:r>
    </w:p>
    <w:p w14:paraId="378CA83F">
      <w:pPr>
        <w:spacing w:line="312"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上述信息统一归并到当前特征体系：热通量、持续时间和入射方向归入热源工况特征；厂房尺度、迎火侧墙面、门窗和总开口比例，以及可燃物与敏感目标的密度及迎火侧比例统一归入设施构型及目标特征。设施类别通过"每设施一个模型"的结构体现，不作为独立输入特征，也不恢复旧式材料权重或旧模型输入。</w:t>
      </w:r>
    </w:p>
    <w:p w14:paraId="0AFD81CA">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eastAsia" w:ascii="Times New Roman" w:hAnsi="Times New Roman" w:cs="Times New Roman"/>
          <w:lang w:eastAsia="zh-CN"/>
        </w:rPr>
        <w:t>机械制造</w:t>
      </w:r>
      <w:r>
        <w:rPr>
          <w:rFonts w:hint="default" w:ascii="Times New Roman" w:hAnsi="Times New Roman" w:cs="Times New Roman"/>
        </w:rPr>
        <w:t>设施 D</w:t>
      </w:r>
      <w:r>
        <w:rPr>
          <w:rFonts w:hint="default" w:ascii="Times New Roman" w:hAnsi="Times New Roman" w:cs="Times New Roman"/>
          <w:vertAlign w:val="subscript"/>
        </w:rPr>
        <w:t>k</w:t>
      </w:r>
      <w:r>
        <w:rPr>
          <w:rFonts w:hint="default" w:ascii="Times New Roman" w:hAnsi="Times New Roman" w:cs="Times New Roman"/>
        </w:rPr>
        <w:t xml:space="preserve"> 与HS等级分布</w:t>
      </w:r>
    </w:p>
    <w:tbl>
      <w:tblPr>
        <w:tblStyle w:val="2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071"/>
        <w:gridCol w:w="2071"/>
        <w:gridCol w:w="2308"/>
      </w:tblGrid>
      <w:tr w14:paraId="2554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000000" w:sz="12" w:space="0"/>
              <w:left w:val="nil"/>
              <w:bottom w:val="single" w:color="000000" w:sz="4" w:space="0"/>
              <w:right w:val="nil"/>
              <w:tl2br w:val="nil"/>
            </w:tcBorders>
            <w:shd w:val="clear" w:color="auto" w:fill="FFFFFF"/>
          </w:tcPr>
          <w:p w14:paraId="07EBDDD8">
            <w:pPr>
              <w:pStyle w:val="54"/>
              <w:bidi w:val="0"/>
              <w:rPr>
                <w:rFonts w:hint="default"/>
              </w:rPr>
            </w:pPr>
            <w:r>
              <w:rPr>
                <w:rFonts w:hint="default"/>
                <w:lang w:eastAsia="zh-CN"/>
              </w:rPr>
              <w:t>HS</w:t>
            </w:r>
            <w:r>
              <w:rPr>
                <w:rFonts w:hint="default"/>
              </w:rPr>
              <w:t>等级</w:t>
            </w:r>
          </w:p>
        </w:tc>
        <w:tc>
          <w:tcPr>
            <w:tcW w:w="1215" w:type="pct"/>
            <w:tcBorders>
              <w:top w:val="single" w:color="000000" w:sz="12" w:space="0"/>
              <w:left w:val="nil"/>
              <w:bottom w:val="single" w:color="000000" w:sz="4" w:space="0"/>
              <w:right w:val="nil"/>
            </w:tcBorders>
            <w:shd w:val="clear" w:color="auto" w:fill="FFFFFF"/>
          </w:tcPr>
          <w:p w14:paraId="7987CB5E">
            <w:pPr>
              <w:pStyle w:val="54"/>
              <w:bidi w:val="0"/>
              <w:rPr>
                <w:rFonts w:hint="default"/>
              </w:rPr>
            </w:pPr>
            <w:r>
              <w:rPr>
                <w:rFonts w:hint="default"/>
              </w:rPr>
              <w:t>Dk 范围</w:t>
            </w:r>
          </w:p>
        </w:tc>
        <w:tc>
          <w:tcPr>
            <w:tcW w:w="1215" w:type="pct"/>
            <w:tcBorders>
              <w:top w:val="single" w:color="000000" w:sz="12" w:space="0"/>
              <w:left w:val="nil"/>
              <w:bottom w:val="single" w:color="000000" w:sz="4" w:space="0"/>
              <w:right w:val="nil"/>
            </w:tcBorders>
            <w:shd w:val="clear" w:color="auto" w:fill="FFFFFF"/>
          </w:tcPr>
          <w:p w14:paraId="1163E685">
            <w:pPr>
              <w:pStyle w:val="54"/>
              <w:bidi w:val="0"/>
              <w:rPr>
                <w:rFonts w:hint="eastAsia"/>
                <w:lang w:eastAsia="zh-CN"/>
              </w:rPr>
            </w:pPr>
            <w:r>
              <w:rPr>
                <w:rFonts w:hint="eastAsia"/>
                <w:lang w:val="en-US" w:eastAsia="zh-CN"/>
              </w:rPr>
              <w:t>工况数</w:t>
            </w:r>
          </w:p>
        </w:tc>
        <w:tc>
          <w:tcPr>
            <w:tcW w:w="1354" w:type="pct"/>
            <w:tcBorders>
              <w:top w:val="single" w:color="000000" w:sz="12" w:space="0"/>
              <w:left w:val="nil"/>
              <w:bottom w:val="single" w:color="000000" w:sz="4" w:space="0"/>
              <w:right w:val="nil"/>
            </w:tcBorders>
            <w:shd w:val="clear" w:color="auto" w:fill="FFFFFF"/>
          </w:tcPr>
          <w:p w14:paraId="4B2EE866">
            <w:pPr>
              <w:pStyle w:val="54"/>
              <w:bidi w:val="0"/>
              <w:rPr>
                <w:rFonts w:hint="default"/>
              </w:rPr>
            </w:pPr>
            <w:r>
              <w:rPr>
                <w:rFonts w:hint="default"/>
              </w:rPr>
              <w:t>合计占比</w:t>
            </w:r>
          </w:p>
        </w:tc>
      </w:tr>
      <w:tr w14:paraId="458C7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000000" w:sz="4" w:space="0"/>
              <w:left w:val="nil"/>
              <w:bottom w:val="nil"/>
              <w:right w:val="nil"/>
            </w:tcBorders>
            <w:shd w:val="clear" w:color="auto" w:fill="FFFFFF"/>
          </w:tcPr>
          <w:p w14:paraId="7910FD94">
            <w:pPr>
              <w:pStyle w:val="54"/>
              <w:bidi w:val="0"/>
              <w:rPr>
                <w:rFonts w:hint="default"/>
              </w:rPr>
            </w:pPr>
            <w:r>
              <w:rPr>
                <w:rFonts w:hint="default"/>
              </w:rPr>
              <w:t>基本完好</w:t>
            </w:r>
          </w:p>
        </w:tc>
        <w:tc>
          <w:tcPr>
            <w:tcW w:w="1215" w:type="pct"/>
            <w:tcBorders>
              <w:top w:val="single" w:color="000000" w:sz="4" w:space="0"/>
              <w:left w:val="nil"/>
              <w:bottom w:val="nil"/>
              <w:right w:val="nil"/>
            </w:tcBorders>
            <w:shd w:val="clear" w:color="auto" w:fill="FFFFFF"/>
          </w:tcPr>
          <w:p w14:paraId="678BA151">
            <w:pPr>
              <w:pStyle w:val="54"/>
              <w:bidi w:val="0"/>
              <w:rPr>
                <w:rFonts w:hint="default"/>
              </w:rPr>
            </w:pPr>
            <w:r>
              <w:rPr>
                <w:rFonts w:hint="default"/>
              </w:rPr>
              <w:t>0 &lt;= Dk &lt; 0.04</w:t>
            </w:r>
          </w:p>
        </w:tc>
        <w:tc>
          <w:tcPr>
            <w:tcW w:w="1215" w:type="pct"/>
            <w:tcBorders>
              <w:top w:val="single" w:color="000000" w:sz="4" w:space="0"/>
              <w:left w:val="nil"/>
              <w:bottom w:val="nil"/>
              <w:right w:val="nil"/>
            </w:tcBorders>
            <w:shd w:val="clear" w:color="auto" w:fill="FFFFFF"/>
            <w:vAlign w:val="top"/>
          </w:tcPr>
          <w:p>
            <w:r>
              <w:t>809</w:t>
            </w:r>
          </w:p>
        </w:tc>
        <w:tc>
          <w:tcPr>
            <w:tcW w:w="1354" w:type="pct"/>
            <w:tcBorders>
              <w:top w:val="single" w:color="000000" w:sz="4" w:space="0"/>
              <w:left w:val="nil"/>
              <w:bottom w:val="nil"/>
              <w:right w:val="nil"/>
            </w:tcBorders>
            <w:shd w:val="clear" w:color="auto" w:fill="FFFFFF"/>
            <w:vAlign w:val="top"/>
          </w:tcPr>
          <w:p>
            <w:r>
              <w:t>78.39%</w:t>
            </w:r>
          </w:p>
        </w:tc>
      </w:tr>
      <w:tr w14:paraId="24A2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nil"/>
              <w:left w:val="nil"/>
              <w:bottom w:val="nil"/>
              <w:right w:val="nil"/>
            </w:tcBorders>
            <w:shd w:val="clear" w:color="auto" w:fill="FFFFFF"/>
          </w:tcPr>
          <w:p w14:paraId="52943601">
            <w:pPr>
              <w:pStyle w:val="54"/>
              <w:bidi w:val="0"/>
              <w:rPr>
                <w:rFonts w:hint="default"/>
              </w:rPr>
            </w:pPr>
            <w:r>
              <w:rPr>
                <w:rFonts w:hint="default"/>
              </w:rPr>
              <w:t>轻微破坏</w:t>
            </w:r>
          </w:p>
        </w:tc>
        <w:tc>
          <w:tcPr>
            <w:tcW w:w="1215" w:type="pct"/>
            <w:tcBorders>
              <w:top w:val="nil"/>
              <w:left w:val="nil"/>
              <w:bottom w:val="nil"/>
              <w:right w:val="nil"/>
            </w:tcBorders>
            <w:shd w:val="clear" w:color="auto" w:fill="FFFFFF"/>
          </w:tcPr>
          <w:p w14:paraId="225E7AAF">
            <w:pPr>
              <w:pStyle w:val="54"/>
              <w:bidi w:val="0"/>
              <w:rPr>
                <w:rFonts w:hint="default"/>
              </w:rPr>
            </w:pPr>
            <w:r>
              <w:rPr>
                <w:rFonts w:hint="default"/>
              </w:rPr>
              <w:t>0.04 &lt;= Dk &lt; 0.10</w:t>
            </w:r>
          </w:p>
        </w:tc>
        <w:tc>
          <w:tcPr>
            <w:tcW w:w="1215" w:type="pct"/>
            <w:tcBorders>
              <w:top w:val="nil"/>
              <w:left w:val="nil"/>
              <w:bottom w:val="nil"/>
              <w:right w:val="nil"/>
            </w:tcBorders>
            <w:shd w:val="clear" w:color="auto" w:fill="FFFFFF"/>
            <w:vAlign w:val="top"/>
          </w:tcPr>
          <w:p>
            <w:r>
              <w:t>78</w:t>
            </w:r>
          </w:p>
        </w:tc>
        <w:tc>
          <w:tcPr>
            <w:tcW w:w="1354" w:type="pct"/>
            <w:tcBorders>
              <w:top w:val="nil"/>
              <w:left w:val="nil"/>
              <w:bottom w:val="nil"/>
              <w:right w:val="nil"/>
            </w:tcBorders>
            <w:shd w:val="clear" w:color="auto" w:fill="FFFFFF"/>
            <w:vAlign w:val="top"/>
          </w:tcPr>
          <w:p>
            <w:r>
              <w:t>7.56%</w:t>
            </w:r>
          </w:p>
        </w:tc>
      </w:tr>
      <w:tr w14:paraId="0073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5" w:type="pct"/>
            <w:tcBorders>
              <w:top w:val="nil"/>
              <w:left w:val="nil"/>
              <w:bottom w:val="nil"/>
              <w:right w:val="nil"/>
            </w:tcBorders>
            <w:shd w:val="clear" w:color="auto" w:fill="FFFFFF"/>
          </w:tcPr>
          <w:p w14:paraId="7F4A75EA">
            <w:pPr>
              <w:pStyle w:val="54"/>
              <w:bidi w:val="0"/>
              <w:rPr>
                <w:rFonts w:hint="default"/>
              </w:rPr>
            </w:pPr>
            <w:r>
              <w:rPr>
                <w:rFonts w:hint="default"/>
              </w:rPr>
              <w:t>中等破坏</w:t>
            </w:r>
          </w:p>
        </w:tc>
        <w:tc>
          <w:tcPr>
            <w:tcW w:w="1215" w:type="pct"/>
            <w:tcBorders>
              <w:top w:val="nil"/>
              <w:left w:val="nil"/>
              <w:bottom w:val="nil"/>
              <w:right w:val="nil"/>
            </w:tcBorders>
            <w:shd w:val="clear" w:color="auto" w:fill="FFFFFF"/>
          </w:tcPr>
          <w:p w14:paraId="3F4CB289">
            <w:pPr>
              <w:pStyle w:val="54"/>
              <w:bidi w:val="0"/>
              <w:rPr>
                <w:rFonts w:hint="default"/>
              </w:rPr>
            </w:pPr>
            <w:r>
              <w:rPr>
                <w:rFonts w:hint="default"/>
              </w:rPr>
              <w:t>0.10 &lt;= Dk &lt; 0.40</w:t>
            </w:r>
          </w:p>
        </w:tc>
        <w:tc>
          <w:tcPr>
            <w:tcW w:w="1215" w:type="pct"/>
            <w:tcBorders>
              <w:top w:val="nil"/>
              <w:left w:val="nil"/>
              <w:bottom w:val="nil"/>
              <w:right w:val="nil"/>
            </w:tcBorders>
            <w:shd w:val="clear" w:color="auto" w:fill="FFFFFF"/>
            <w:vAlign w:val="top"/>
          </w:tcPr>
          <w:p>
            <w:r>
              <w:t>76</w:t>
            </w:r>
          </w:p>
        </w:tc>
        <w:tc>
          <w:tcPr>
            <w:tcW w:w="1354" w:type="pct"/>
            <w:tcBorders>
              <w:top w:val="nil"/>
              <w:left w:val="nil"/>
              <w:bottom w:val="nil"/>
              <w:right w:val="nil"/>
            </w:tcBorders>
            <w:shd w:val="clear" w:color="auto" w:fill="FFFFFF"/>
            <w:vAlign w:val="top"/>
          </w:tcPr>
          <w:p>
            <w:r>
              <w:t>7.36%</w:t>
            </w:r>
          </w:p>
        </w:tc>
      </w:tr>
      <w:tr w14:paraId="42A2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nil"/>
              <w:left w:val="nil"/>
              <w:bottom w:val="nil"/>
              <w:right w:val="nil"/>
            </w:tcBorders>
            <w:shd w:val="clear" w:color="auto" w:fill="FFFFFF"/>
          </w:tcPr>
          <w:p w14:paraId="2B502EAC">
            <w:pPr>
              <w:pStyle w:val="54"/>
              <w:bidi w:val="0"/>
              <w:rPr>
                <w:rFonts w:hint="default"/>
              </w:rPr>
            </w:pPr>
            <w:r>
              <w:rPr>
                <w:rFonts w:hint="default"/>
              </w:rPr>
              <w:t>严重破坏</w:t>
            </w:r>
          </w:p>
        </w:tc>
        <w:tc>
          <w:tcPr>
            <w:tcW w:w="1215" w:type="pct"/>
            <w:tcBorders>
              <w:top w:val="nil"/>
              <w:left w:val="nil"/>
              <w:bottom w:val="nil"/>
              <w:right w:val="nil"/>
            </w:tcBorders>
            <w:shd w:val="clear" w:color="auto" w:fill="FFFFFF"/>
          </w:tcPr>
          <w:p w14:paraId="5FE32770">
            <w:pPr>
              <w:pStyle w:val="54"/>
              <w:bidi w:val="0"/>
              <w:rPr>
                <w:rFonts w:hint="default"/>
              </w:rPr>
            </w:pPr>
            <w:r>
              <w:rPr>
                <w:rFonts w:hint="default"/>
              </w:rPr>
              <w:t>0.40 &lt;= Dk &lt;= 1.00</w:t>
            </w:r>
          </w:p>
        </w:tc>
        <w:tc>
          <w:tcPr>
            <w:tcW w:w="1215" w:type="pct"/>
            <w:tcBorders>
              <w:top w:val="nil"/>
              <w:left w:val="nil"/>
              <w:bottom w:val="nil"/>
              <w:right w:val="nil"/>
            </w:tcBorders>
            <w:shd w:val="clear" w:color="auto" w:fill="FFFFFF"/>
            <w:vAlign w:val="top"/>
          </w:tcPr>
          <w:p>
            <w:r>
              <w:t>69</w:t>
            </w:r>
          </w:p>
        </w:tc>
        <w:tc>
          <w:tcPr>
            <w:tcW w:w="1354" w:type="pct"/>
            <w:tcBorders>
              <w:top w:val="nil"/>
              <w:left w:val="nil"/>
              <w:bottom w:val="nil"/>
              <w:right w:val="nil"/>
            </w:tcBorders>
            <w:shd w:val="clear" w:color="auto" w:fill="FFFFFF"/>
            <w:vAlign w:val="top"/>
          </w:tcPr>
          <w:p>
            <w:r>
              <w:t>6.69%</w:t>
            </w:r>
          </w:p>
        </w:tc>
      </w:tr>
      <w:tr w14:paraId="5342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nil"/>
              <w:left w:val="nil"/>
              <w:bottom w:val="single" w:color="000000" w:sz="12" w:space="0"/>
              <w:right w:val="nil"/>
            </w:tcBorders>
            <w:shd w:val="clear" w:color="auto" w:fill="FFFFFF"/>
          </w:tcPr>
          <w:p w14:paraId="0F232F68">
            <w:pPr>
              <w:pStyle w:val="54"/>
              <w:bidi w:val="0"/>
              <w:rPr>
                <w:rFonts w:hint="default"/>
              </w:rPr>
            </w:pPr>
            <w:r>
              <w:rPr>
                <w:rFonts w:hint="default"/>
              </w:rPr>
              <w:t>合计</w:t>
            </w:r>
          </w:p>
        </w:tc>
        <w:tc>
          <w:tcPr>
            <w:tcW w:w="1215" w:type="pct"/>
            <w:tcBorders>
              <w:top w:val="nil"/>
              <w:left w:val="nil"/>
              <w:bottom w:val="single" w:color="000000" w:sz="12" w:space="0"/>
              <w:right w:val="nil"/>
            </w:tcBorders>
            <w:shd w:val="clear" w:color="auto" w:fill="FFFFFF"/>
          </w:tcPr>
          <w:p w14:paraId="769B5658">
            <w:pPr>
              <w:pStyle w:val="54"/>
              <w:bidi w:val="0"/>
              <w:rPr>
                <w:rFonts w:hint="default"/>
              </w:rPr>
            </w:pPr>
            <w:r>
              <w:rPr>
                <w:rFonts w:hint="default"/>
              </w:rPr>
              <w:t>—</w:t>
            </w:r>
          </w:p>
        </w:tc>
        <w:tc>
          <w:tcPr>
            <w:tcW w:w="1215" w:type="pct"/>
            <w:tcBorders>
              <w:top w:val="nil"/>
              <w:left w:val="nil"/>
              <w:bottom w:val="single" w:color="000000" w:sz="12" w:space="0"/>
              <w:right w:val="nil"/>
            </w:tcBorders>
            <w:shd w:val="clear" w:color="auto" w:fill="FFFFFF"/>
            <w:vAlign w:val="top"/>
          </w:tcPr>
          <w:p>
            <w:r>
              <w:t>1032</w:t>
            </w:r>
          </w:p>
        </w:tc>
        <w:tc>
          <w:tcPr>
            <w:tcW w:w="1354" w:type="pct"/>
            <w:tcBorders>
              <w:top w:val="nil"/>
              <w:left w:val="nil"/>
              <w:bottom w:val="single" w:color="000000" w:sz="12" w:space="0"/>
              <w:right w:val="nil"/>
            </w:tcBorders>
            <w:shd w:val="clear" w:color="auto" w:fill="FFFFFF"/>
            <w:vAlign w:val="top"/>
          </w:tcPr>
          <w:p>
            <w:r>
              <w:t>100.00%</w:t>
            </w:r>
          </w:p>
        </w:tc>
      </w:tr>
    </w:tbl>
    <w:p w14:paraId="02E92AAB">
      <w:pPr>
        <w:spacing w:line="312" w:lineRule="auto"/>
        <w:ind w:firstLine="480" w:firstLineChars="200"/>
        <w:rPr>
          <w:rFonts w:hint="default" w:ascii="Times New Roman" w:hAnsi="Times New Roman" w:cs="Times New Roman"/>
          <w:sz w:val="24"/>
          <w:szCs w:val="24"/>
        </w:rPr>
      </w:pPr>
    </w:p>
    <w:p w14:paraId="546FBD59">
      <w:pPr>
        <w:spacing w:line="312" w:lineRule="auto"/>
        <w:ind w:firstLine="480" w:firstLineChars="200"/>
        <w:rPr>
          <w:rFonts w:hint="eastAsia"/>
        </w:rPr>
      </w:pPr>
      <w:r>
        <w:rPr>
          <w:rFonts w:hint="eastAsia"/>
        </w:rPr>
        <w:t>机械制造数据以基本完好工况为主，同时保留了轻微、中等和严重破坏样本。严重破坏主要集中于特定设施及不利方向，轻微和中等破坏位于较窄的等级区间。模型分类任务采用类别平衡方式训练，使各毁伤等级在树节点划分中获得适当权重。</w:t>
      </w:r>
    </w:p>
    <w:p w14:paraId="646B1CD1">
      <w:r>
        <w:rPr>
          <w:rFonts w:hint="eastAsia"/>
        </w:rPr>
        <w:t>基本完好表示设施整体</w:t>
      </w:r>
      <w:r>
        <w:t xml:space="preserve"> Dk </w:t>
      </w:r>
      <w:r>
        <w:rPr>
          <w:rFonts w:hint="eastAsia"/>
        </w:rPr>
        <w:t>未达到</w:t>
      </w:r>
      <w:r>
        <w:t xml:space="preserve"> </w:t>
      </w:r>
      <w:r>
        <w:rPr>
          <w:rFonts w:hint="eastAsia"/>
        </w:rPr>
        <w:t>0.04，不代表每一项设备都没有温升或局部维修费用。围护结构、受热距离、开口方向和遮挡可能使资产实际受热低于名义入射热通量；短时热脉冲也可能不足以使厚重机床、钢制设备或受保护控制单元达到有效损伤条件。对于资产价值基数较大的设施，少量局部损伤经价值加权后仍可能保持较低</w:t>
      </w:r>
      <w:r>
        <w:t xml:space="preserve"> Dk。</w:t>
      </w:r>
    </w:p>
    <w:p w14:paraId="5B45782C">
      <w:pPr>
        <w:spacing w:line="312" w:lineRule="auto"/>
        <w:ind w:firstLine="480" w:firstLineChars="200"/>
        <w:rPr>
          <w:rFonts w:hint="default"/>
        </w:rPr>
      </w:pPr>
      <w:r>
        <w:rPr>
          <w:rFonts w:hint="eastAsia"/>
        </w:rPr>
        <w:t>这一特征在弗莱马斯特总装设施、格里森切削工具设施、哈比森-费希尔部装设施和大型机械制造等效设施中较为明显。四者合格工况的最大</w:t>
      </w:r>
      <w:r>
        <w:t xml:space="preserve"> Dk </w:t>
      </w:r>
      <w:r>
        <w:rPr>
          <w:rFonts w:hint="eastAsia"/>
        </w:rPr>
        <w:t>分别约为</w:t>
      </w:r>
      <w:r>
        <w:t xml:space="preserve"> 0.028742、0.001864、0.003845 </w:t>
      </w:r>
      <w:r>
        <w:rPr>
          <w:rFonts w:hint="eastAsia"/>
        </w:rPr>
        <w:t>和</w:t>
      </w:r>
      <w:r>
        <w:t xml:space="preserve"> </w:t>
      </w:r>
      <w:r>
        <w:rPr>
          <w:rFonts w:hint="eastAsia"/>
        </w:rPr>
        <w:t>0.037740，均低于轻微破坏阈值。该结果说明现有观测条件下损伤主要局限于少量局部资产或受到围护衰减，而不是说明这些设施在任意热辐射条件下均不会受损。</w:t>
      </w:r>
    </w:p>
    <w:p w14:paraId="50BA371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B42DCB5">
      <w:pPr>
        <w:pStyle w:val="2"/>
        <w:bidi w:val="0"/>
        <w:rPr>
          <w:rStyle w:val="23"/>
          <w:rFonts w:hint="default" w:ascii="Times New Roman" w:hAnsi="Times New Roman" w:cs="Times New Roman"/>
          <w:b/>
          <w:sz w:val="32"/>
          <w:szCs w:val="32"/>
          <w:lang w:val="en-US" w:eastAsia="zh-CN"/>
        </w:rPr>
      </w:pPr>
      <w:bookmarkStart w:id="11" w:name="_Toc6520"/>
      <w:r>
        <w:rPr>
          <w:rFonts w:hint="default" w:ascii="Times New Roman" w:hAnsi="Times New Roman" w:cs="Times New Roman"/>
          <w:lang w:val="en-US" w:eastAsia="zh-CN"/>
        </w:rPr>
        <w:t>特征参数工程</w:t>
      </w:r>
      <w:bookmarkEnd w:id="11"/>
    </w:p>
    <w:p w14:paraId="362A10D9">
      <w:pPr>
        <w:rPr>
          <w:rFonts w:hint="default" w:ascii="Times New Roman" w:hAnsi="Times New Roman" w:cs="Times New Roman"/>
          <w:lang w:val="en-US" w:eastAsia="zh-CN"/>
        </w:rPr>
      </w:pPr>
      <w:r>
        <w:rPr>
          <w:rFonts w:hint="default" w:ascii="Times New Roman" w:hAnsi="Times New Roman" w:cs="Times New Roman"/>
          <w:lang w:val="en-US" w:eastAsia="zh-CN"/>
        </w:rPr>
        <w:t>特征参数是连接原始数据与机器学习模型的桥梁。代理模型采用</w:t>
      </w:r>
      <w:r>
        <w:rPr>
          <w:rFonts w:hint="eastAsia" w:ascii="Times New Roman" w:hAnsi="Times New Roman" w:cs="Times New Roman"/>
          <w:lang w:val="en-US" w:eastAsia="zh-CN"/>
        </w:rPr>
        <w:t>多</w:t>
      </w:r>
      <w:r>
        <w:rPr>
          <w:rFonts w:hint="default" w:ascii="Times New Roman" w:hAnsi="Times New Roman" w:cs="Times New Roman"/>
          <w:lang w:val="en-US" w:eastAsia="zh-CN"/>
        </w:rPr>
        <w:t>维输入特征向量完整描述建筑属性、热源工况</w:t>
      </w:r>
      <w:r>
        <w:rPr>
          <w:rFonts w:hint="eastAsia" w:ascii="Times New Roman" w:hAnsi="Times New Roman" w:cs="Times New Roman"/>
          <w:lang w:val="en-US" w:eastAsia="zh-CN"/>
        </w:rPr>
        <w:t>、可燃物特征等</w:t>
      </w:r>
      <w:r>
        <w:rPr>
          <w:rFonts w:hint="default" w:ascii="Times New Roman" w:hAnsi="Times New Roman" w:cs="Times New Roman"/>
          <w:lang w:val="en-US" w:eastAsia="zh-CN"/>
        </w:rPr>
        <w:t>。这一特征设计遵循完整性、独立性和有效性原则，确保模型能够充分捕捉影响HS评估的关键因素。本章将从设计原则、各维度特征含义和重要性分析三个方面进行详细阐述。</w:t>
      </w:r>
    </w:p>
    <w:p w14:paraId="55794D69">
      <w:pPr>
        <w:pStyle w:val="3"/>
        <w:bidi w:val="0"/>
        <w:rPr>
          <w:rFonts w:hint="default" w:ascii="Times New Roman" w:hAnsi="Times New Roman" w:cs="Times New Roman"/>
          <w:lang w:val="en-US" w:eastAsia="zh-CN"/>
        </w:rPr>
      </w:pPr>
      <w:bookmarkStart w:id="12" w:name="_Toc22976"/>
      <w:r>
        <w:rPr>
          <w:rFonts w:hint="default" w:ascii="Times New Roman" w:hAnsi="Times New Roman" w:cs="Times New Roman"/>
          <w:lang w:val="en-US" w:eastAsia="zh-CN"/>
        </w:rPr>
        <w:t>特征分类</w:t>
      </w:r>
      <w:bookmarkEnd w:id="12"/>
    </w:p>
    <w:p w14:paraId="47478AAB">
      <w:pPr>
        <w:rPr>
          <w:rFonts w:hint="default" w:ascii="Times New Roman" w:hAnsi="Times New Roman" w:cs="Times New Roman"/>
          <w:lang w:val="en-US" w:eastAsia="zh-CN"/>
        </w:rPr>
      </w:pPr>
      <w:r>
        <w:rPr>
          <w:rFonts w:hint="default" w:ascii="Times New Roman" w:hAnsi="Times New Roman" w:cs="Times New Roman"/>
          <w:lang w:val="en-US" w:eastAsia="zh-CN"/>
        </w:rPr>
        <w:t>模型输入按工程来源归并为热源工况特征与设施构型及目标特征两类。热源工况特征描述外部热辐射的作用条件，包括入射强度、作用时间、累积剂量和入射方向；设施构型及目标特征描述设施自身的几何尺度、围护与开口条件以及内部可燃物和敏感目标的分布情况。两者共同决定同一设施在不同热源工况下的毁伤响应。</w:t>
      </w:r>
    </w:p>
    <w:p w14:paraId="2F4A06F6">
      <w:pPr>
        <w:rPr>
          <w:rFonts w:hint="default" w:ascii="Times New Roman" w:hAnsi="Times New Roman" w:cs="Times New Roman"/>
          <w:lang w:val="en-US" w:eastAsia="zh-CN"/>
        </w:rPr>
      </w:pPr>
      <w:r>
        <w:rPr>
          <w:rFonts w:hint="default" w:ascii="Times New Roman" w:hAnsi="Times New Roman" w:cs="Times New Roman"/>
          <w:lang w:val="en-US" w:eastAsia="zh-CN"/>
        </w:rPr>
        <w:t>本报告对每个设施（或每个等效目标）分别训练专属代理模型，模型的输入特征只包含实际参与该设施训练的列。所有设施共用的基础特征为 11 项（见下表），涵盖热源工况与设施构型两类；个别设施根据其开口、门窗条件补充少量扩展特征。由于每个设施使用自身 FDS 模型中的实际几何与目标参数，设施类别不再作为独立特征进入模型，而是通过"每设施一个模型"的结构体现设施间的差异。</w:t>
      </w:r>
    </w:p>
    <w:p w14:paraId="3592AB24">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w:t>
      </w:r>
      <w:r>
        <w:rPr>
          <w:rFonts w:hint="eastAsia"/>
          <w:b/>
          <w:bCs/>
        </w:rPr>
        <w:t>模型输入特征与工程含义</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5B6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vAlign w:val="top"/>
          </w:tcPr>
          <w:p w14:paraId="072DD999">
            <w:pPr>
              <w:pStyle w:val="54"/>
              <w:bidi w:val="0"/>
              <w:rPr>
                <w:rFonts w:hint="default"/>
                <w:b w:val="0"/>
              </w:rPr>
            </w:pPr>
            <w:r>
              <w:rPr>
                <w:rFonts w:hint="eastAsia"/>
                <w:b w:val="0"/>
              </w:rPr>
              <w:t>特征类别</w:t>
            </w:r>
          </w:p>
        </w:tc>
        <w:tc>
          <w:tcPr>
            <w:tcW w:w="2769" w:type="dxa"/>
            <w:tcBorders>
              <w:top w:val="single" w:color="000000" w:sz="12" w:space="0"/>
              <w:left w:val="nil"/>
              <w:bottom w:val="single" w:color="000000" w:sz="4" w:space="0"/>
              <w:right w:val="nil"/>
            </w:tcBorders>
            <w:shd w:val="clear" w:color="auto" w:fill="FFFFFF"/>
            <w:vAlign w:val="top"/>
          </w:tcPr>
          <w:p w14:paraId="26D4F6D9">
            <w:pPr>
              <w:pStyle w:val="54"/>
              <w:bidi w:val="0"/>
              <w:rPr>
                <w:rFonts w:hint="default"/>
                <w:b w:val="0"/>
              </w:rPr>
            </w:pPr>
            <w:r>
              <w:rPr>
                <w:rFonts w:hint="eastAsia"/>
                <w:b w:val="0"/>
              </w:rPr>
              <w:t>输入特征</w:t>
            </w:r>
          </w:p>
        </w:tc>
        <w:tc>
          <w:tcPr>
            <w:tcW w:w="2769" w:type="dxa"/>
            <w:tcBorders>
              <w:top w:val="single" w:color="000000" w:sz="12" w:space="0"/>
              <w:left w:val="nil"/>
              <w:bottom w:val="single" w:color="000000" w:sz="4" w:space="0"/>
              <w:right w:val="nil"/>
            </w:tcBorders>
            <w:shd w:val="clear" w:color="auto" w:fill="FFFFFF"/>
            <w:vAlign w:val="top"/>
          </w:tcPr>
          <w:p w14:paraId="45E2A0A7">
            <w:pPr>
              <w:pStyle w:val="54"/>
              <w:bidi w:val="0"/>
              <w:rPr>
                <w:rFonts w:hint="default"/>
                <w:b w:val="0"/>
              </w:rPr>
            </w:pPr>
            <w:r>
              <w:rPr>
                <w:rFonts w:hint="eastAsia"/>
                <w:b w:val="0"/>
              </w:rPr>
              <w:t>工程含义</w:t>
            </w:r>
          </w:p>
        </w:tc>
      </w:tr>
      <w:tr w14:paraId="4A39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vAlign w:val="top"/>
          </w:tcPr>
          <w:p w14:paraId="1A7C4A8A">
            <w:pPr>
              <w:pStyle w:val="54"/>
              <w:bidi w:val="0"/>
              <w:rPr>
                <w:rFonts w:hint="default"/>
                <w:b w:val="0"/>
              </w:rPr>
            </w:pPr>
            <w:r>
              <w:rPr>
                <w:rFonts w:hint="eastAsia"/>
                <w:b w:val="0"/>
              </w:rPr>
              <w:t>热源工况特征</w:t>
            </w:r>
          </w:p>
        </w:tc>
        <w:tc>
          <w:tcPr>
            <w:tcW w:w="2769" w:type="dxa"/>
            <w:tcBorders>
              <w:top w:val="single" w:color="000000" w:sz="4" w:space="0"/>
              <w:left w:val="nil"/>
              <w:bottom w:val="nil"/>
              <w:right w:val="nil"/>
            </w:tcBorders>
            <w:shd w:val="clear" w:color="auto" w:fill="FFFFFF"/>
            <w:vAlign w:val="top"/>
          </w:tcPr>
          <w:p w14:paraId="063150FA">
            <w:pPr>
              <w:pStyle w:val="54"/>
              <w:bidi w:val="0"/>
              <w:rPr>
                <w:rFonts w:hint="default"/>
                <w:b w:val="0"/>
              </w:rPr>
            </w:pPr>
            <w:r>
              <w:rPr>
                <w:rFonts w:hint="eastAsia"/>
                <w:b w:val="0"/>
              </w:rPr>
              <w:t>热通量（对数）</w:t>
            </w:r>
          </w:p>
        </w:tc>
        <w:tc>
          <w:tcPr>
            <w:tcW w:w="2769" w:type="dxa"/>
            <w:tcBorders>
              <w:top w:val="single" w:color="000000" w:sz="4" w:space="0"/>
              <w:left w:val="nil"/>
              <w:bottom w:val="nil"/>
              <w:right w:val="nil"/>
            </w:tcBorders>
            <w:shd w:val="clear" w:color="auto" w:fill="FFFFFF"/>
            <w:vAlign w:val="top"/>
          </w:tcPr>
          <w:p w14:paraId="6758CEF8">
            <w:pPr>
              <w:pStyle w:val="54"/>
              <w:bidi w:val="0"/>
              <w:rPr>
                <w:rFonts w:hint="default"/>
                <w:b w:val="0"/>
              </w:rPr>
            </w:pPr>
            <w:r>
              <w:rPr>
                <w:rFonts w:hint="eastAsia"/>
                <w:b w:val="0"/>
              </w:rPr>
              <w:t>外部入射热辐射强度的对数形式，降低高低通量数值跨度</w:t>
            </w:r>
          </w:p>
        </w:tc>
      </w:tr>
      <w:tr w14:paraId="3BD9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036BF959">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6B5E9AFD">
            <w:pPr>
              <w:pStyle w:val="54"/>
              <w:bidi w:val="0"/>
              <w:rPr>
                <w:rFonts w:hint="default"/>
                <w:b w:val="0"/>
              </w:rPr>
            </w:pPr>
            <w:r>
              <w:rPr>
                <w:rFonts w:hint="eastAsia"/>
                <w:b w:val="0"/>
              </w:rPr>
              <w:t>辐射持续时间</w:t>
            </w:r>
          </w:p>
        </w:tc>
        <w:tc>
          <w:tcPr>
            <w:tcW w:w="2769" w:type="dxa"/>
            <w:tcBorders>
              <w:top w:val="nil"/>
              <w:left w:val="nil"/>
              <w:bottom w:val="nil"/>
              <w:right w:val="nil"/>
            </w:tcBorders>
            <w:shd w:val="clear" w:color="auto" w:fill="FFFFFF"/>
            <w:vAlign w:val="top"/>
          </w:tcPr>
          <w:p w14:paraId="693AE346">
            <w:pPr>
              <w:pStyle w:val="54"/>
              <w:bidi w:val="0"/>
              <w:rPr>
                <w:rFonts w:hint="default"/>
                <w:b w:val="0"/>
              </w:rPr>
            </w:pPr>
            <w:r>
              <w:rPr>
                <w:rFonts w:hint="eastAsia"/>
                <w:b w:val="0"/>
              </w:rPr>
              <w:t>热辐射作用时间（秒），同时保留离散持续时间档位</w:t>
            </w:r>
          </w:p>
        </w:tc>
      </w:tr>
      <w:tr w14:paraId="5914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5BBB6C7E">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5C51C4AA">
            <w:pPr>
              <w:pStyle w:val="54"/>
              <w:bidi w:val="0"/>
              <w:rPr>
                <w:rFonts w:hint="default"/>
                <w:b w:val="0"/>
              </w:rPr>
            </w:pPr>
            <w:r>
              <w:rPr>
                <w:rFonts w:hint="eastAsia"/>
                <w:b w:val="0"/>
              </w:rPr>
              <w:t>热剂量（对数）</w:t>
            </w:r>
          </w:p>
        </w:tc>
        <w:tc>
          <w:tcPr>
            <w:tcW w:w="2769" w:type="dxa"/>
            <w:tcBorders>
              <w:top w:val="nil"/>
              <w:left w:val="nil"/>
              <w:bottom w:val="nil"/>
              <w:right w:val="nil"/>
            </w:tcBorders>
            <w:shd w:val="clear" w:color="auto" w:fill="FFFFFF"/>
            <w:vAlign w:val="top"/>
          </w:tcPr>
          <w:p w14:paraId="6A94E7F7">
            <w:pPr>
              <w:pStyle w:val="54"/>
              <w:bidi w:val="0"/>
              <w:rPr>
                <w:rFonts w:hint="default"/>
                <w:b w:val="0"/>
              </w:rPr>
            </w:pPr>
            <w:r>
              <w:rPr>
                <w:rFonts w:hint="eastAsia"/>
                <w:b w:val="0"/>
              </w:rPr>
              <w:t>热通量与持续时间的乘积，表示累积能量输入</w:t>
            </w:r>
          </w:p>
        </w:tc>
      </w:tr>
      <w:tr w14:paraId="7398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12A46B5">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3C6FD4D4">
            <w:pPr>
              <w:pStyle w:val="54"/>
              <w:bidi w:val="0"/>
              <w:rPr>
                <w:rFonts w:hint="default"/>
                <w:b w:val="0"/>
              </w:rPr>
            </w:pPr>
            <w:r>
              <w:rPr>
                <w:rFonts w:hint="eastAsia"/>
                <w:b w:val="0"/>
              </w:rPr>
              <w:t>方位角正弦项、余弦项</w:t>
            </w:r>
          </w:p>
        </w:tc>
        <w:tc>
          <w:tcPr>
            <w:tcW w:w="2769" w:type="dxa"/>
            <w:tcBorders>
              <w:top w:val="nil"/>
              <w:left w:val="nil"/>
              <w:bottom w:val="nil"/>
              <w:right w:val="nil"/>
            </w:tcBorders>
            <w:shd w:val="clear" w:color="auto" w:fill="FFFFFF"/>
            <w:vAlign w:val="top"/>
          </w:tcPr>
          <w:p w14:paraId="27E5E4A7">
            <w:pPr>
              <w:pStyle w:val="54"/>
              <w:bidi w:val="0"/>
              <w:rPr>
                <w:rFonts w:hint="default"/>
                <w:b w:val="0"/>
              </w:rPr>
            </w:pPr>
            <w:r>
              <w:rPr>
                <w:rFonts w:hint="eastAsia"/>
                <w:b w:val="0"/>
              </w:rPr>
              <w:t>水平入射方向的正弦、余弦编码，保持</w:t>
            </w:r>
            <w:r>
              <w:rPr>
                <w:b w:val="0"/>
              </w:rPr>
              <w:t xml:space="preserve"> </w:t>
            </w:r>
            <w:r>
              <w:rPr>
                <w:rFonts w:hint="eastAsia"/>
                <w:b w:val="0"/>
              </w:rPr>
              <w:t>0°与</w:t>
            </w:r>
            <w:r>
              <w:rPr>
                <w:b w:val="0"/>
              </w:rPr>
              <w:t xml:space="preserve"> </w:t>
            </w:r>
            <w:r>
              <w:rPr>
                <w:rFonts w:hint="eastAsia"/>
                <w:b w:val="0"/>
              </w:rPr>
              <w:t>360°连续</w:t>
            </w:r>
          </w:p>
        </w:tc>
      </w:tr>
      <w:tr w14:paraId="0203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609A8E1">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5B45527A">
            <w:pPr>
              <w:pStyle w:val="54"/>
              <w:bidi w:val="0"/>
              <w:rPr>
                <w:rFonts w:hint="default"/>
                <w:b w:val="0"/>
              </w:rPr>
            </w:pPr>
            <w:r>
              <w:rPr>
                <w:rFonts w:hint="eastAsia"/>
                <w:b w:val="0"/>
              </w:rPr>
              <w:t>俯仰角</w:t>
            </w:r>
          </w:p>
        </w:tc>
        <w:tc>
          <w:tcPr>
            <w:tcW w:w="2769" w:type="dxa"/>
            <w:tcBorders>
              <w:top w:val="nil"/>
              <w:left w:val="nil"/>
              <w:bottom w:val="nil"/>
              <w:right w:val="nil"/>
            </w:tcBorders>
            <w:shd w:val="clear" w:color="auto" w:fill="FFFFFF"/>
            <w:vAlign w:val="top"/>
          </w:tcPr>
          <w:p w14:paraId="783FE944">
            <w:pPr>
              <w:pStyle w:val="54"/>
              <w:bidi w:val="0"/>
              <w:rPr>
                <w:rFonts w:hint="default"/>
                <w:b w:val="0"/>
              </w:rPr>
            </w:pPr>
            <w:r>
              <w:rPr>
                <w:rFonts w:hint="eastAsia"/>
                <w:b w:val="0"/>
              </w:rPr>
              <w:t>垂向入射角度，并采用正弦变换表示垂向分量</w:t>
            </w:r>
          </w:p>
        </w:tc>
      </w:tr>
      <w:tr w14:paraId="21FA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25E772D">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4DE7F369">
            <w:pPr>
              <w:pStyle w:val="54"/>
              <w:bidi w:val="0"/>
              <w:rPr>
                <w:rFonts w:hint="default"/>
                <w:b w:val="0"/>
              </w:rPr>
            </w:pPr>
            <w:r>
              <w:rPr>
                <w:rFonts w:hint="eastAsia"/>
                <w:b w:val="0"/>
              </w:rPr>
              <w:t>迎火侧墙面面积（对数）</w:t>
            </w:r>
          </w:p>
        </w:tc>
        <w:tc>
          <w:tcPr>
            <w:tcW w:w="2769" w:type="dxa"/>
            <w:tcBorders>
              <w:top w:val="nil"/>
              <w:left w:val="nil"/>
              <w:bottom w:val="nil"/>
              <w:right w:val="nil"/>
            </w:tcBorders>
            <w:shd w:val="clear" w:color="auto" w:fill="FFFFFF"/>
            <w:vAlign w:val="top"/>
          </w:tcPr>
          <w:p w14:paraId="185E47CD">
            <w:pPr>
              <w:pStyle w:val="54"/>
              <w:bidi w:val="0"/>
              <w:rPr>
                <w:rFonts w:hint="default"/>
                <w:b w:val="0"/>
              </w:rPr>
            </w:pPr>
            <w:r>
              <w:rPr>
                <w:rFonts w:hint="eastAsia"/>
                <w:b w:val="0"/>
              </w:rPr>
              <w:t>当前入射方向对应的受热外墙规模</w:t>
            </w:r>
          </w:p>
        </w:tc>
      </w:tr>
      <w:tr w14:paraId="7E1E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2F037FD6">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042C840E">
            <w:pPr>
              <w:pStyle w:val="54"/>
              <w:bidi w:val="0"/>
              <w:rPr>
                <w:rFonts w:hint="default"/>
                <w:b w:val="0"/>
              </w:rPr>
            </w:pPr>
            <w:r>
              <w:rPr>
                <w:rFonts w:hint="eastAsia"/>
                <w:b w:val="0"/>
              </w:rPr>
              <w:t>迎火侧门窗数量</w:t>
            </w:r>
          </w:p>
        </w:tc>
        <w:tc>
          <w:tcPr>
            <w:tcW w:w="2769" w:type="dxa"/>
            <w:tcBorders>
              <w:top w:val="nil"/>
              <w:left w:val="nil"/>
              <w:bottom w:val="nil"/>
              <w:right w:val="nil"/>
            </w:tcBorders>
            <w:shd w:val="clear" w:color="auto" w:fill="FFFFFF"/>
            <w:vAlign w:val="top"/>
          </w:tcPr>
          <w:p w14:paraId="644A5BDB">
            <w:pPr>
              <w:pStyle w:val="54"/>
              <w:bidi w:val="0"/>
              <w:rPr>
                <w:rFonts w:hint="default"/>
                <w:b w:val="0"/>
              </w:rPr>
            </w:pPr>
            <w:r>
              <w:rPr>
                <w:rFonts w:hint="eastAsia"/>
                <w:b w:val="0"/>
              </w:rPr>
              <w:t>热辐射可能进入设施内部的门窗条件</w:t>
            </w:r>
          </w:p>
        </w:tc>
      </w:tr>
      <w:tr w14:paraId="2BC8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985547E">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5F8B8ABD">
            <w:pPr>
              <w:pStyle w:val="54"/>
              <w:bidi w:val="0"/>
              <w:rPr>
                <w:rFonts w:hint="default"/>
                <w:b w:val="0"/>
              </w:rPr>
            </w:pPr>
            <w:r>
              <w:rPr>
                <w:rFonts w:hint="eastAsia"/>
                <w:b w:val="0"/>
              </w:rPr>
              <w:t>迎火侧门窗面积比</w:t>
            </w:r>
          </w:p>
        </w:tc>
        <w:tc>
          <w:tcPr>
            <w:tcW w:w="2769" w:type="dxa"/>
            <w:tcBorders>
              <w:top w:val="nil"/>
              <w:left w:val="nil"/>
              <w:bottom w:val="nil"/>
              <w:right w:val="nil"/>
            </w:tcBorders>
            <w:shd w:val="clear" w:color="auto" w:fill="FFFFFF"/>
            <w:vAlign w:val="top"/>
          </w:tcPr>
          <w:p w14:paraId="24DF64BB">
            <w:pPr>
              <w:pStyle w:val="54"/>
              <w:bidi w:val="0"/>
              <w:rPr>
                <w:rFonts w:hint="default"/>
                <w:b w:val="0"/>
              </w:rPr>
            </w:pPr>
            <w:r>
              <w:rPr>
                <w:rFonts w:hint="eastAsia"/>
                <w:b w:val="0"/>
              </w:rPr>
              <w:t>门窗相对受热墙面的开放程度</w:t>
            </w:r>
          </w:p>
        </w:tc>
      </w:tr>
      <w:tr w14:paraId="79DB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7BF4ED45">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3806A7C0">
            <w:pPr>
              <w:pStyle w:val="54"/>
              <w:bidi w:val="0"/>
              <w:rPr>
                <w:rFonts w:hint="default"/>
                <w:b w:val="0"/>
              </w:rPr>
            </w:pPr>
            <w:r>
              <w:rPr>
                <w:rFonts w:hint="eastAsia"/>
                <w:b w:val="0"/>
              </w:rPr>
              <w:t>迎火侧总开口比例</w:t>
            </w:r>
          </w:p>
        </w:tc>
        <w:tc>
          <w:tcPr>
            <w:tcW w:w="2769" w:type="dxa"/>
            <w:tcBorders>
              <w:top w:val="nil"/>
              <w:left w:val="nil"/>
              <w:bottom w:val="nil"/>
              <w:right w:val="nil"/>
            </w:tcBorders>
            <w:shd w:val="clear" w:color="auto" w:fill="FFFFFF"/>
            <w:vAlign w:val="top"/>
          </w:tcPr>
          <w:p w14:paraId="1E99FD76">
            <w:pPr>
              <w:pStyle w:val="54"/>
              <w:bidi w:val="0"/>
              <w:rPr>
                <w:rFonts w:hint="default"/>
                <w:b w:val="0"/>
              </w:rPr>
            </w:pPr>
            <w:r>
              <w:rPr>
                <w:rFonts w:hint="eastAsia"/>
                <w:b w:val="0"/>
              </w:rPr>
              <w:t>门窗与通风口综合的迎火侧开放程度</w:t>
            </w:r>
          </w:p>
        </w:tc>
      </w:tr>
      <w:tr w14:paraId="1D8C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006BF857">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28ABA43F">
            <w:pPr>
              <w:pStyle w:val="54"/>
              <w:bidi w:val="0"/>
              <w:rPr>
                <w:rFonts w:hint="default"/>
                <w:b w:val="0"/>
              </w:rPr>
            </w:pPr>
            <w:r>
              <w:rPr>
                <w:rFonts w:hint="eastAsia"/>
                <w:b w:val="0"/>
              </w:rPr>
              <w:t>可燃物/敏感目标密度</w:t>
            </w:r>
          </w:p>
        </w:tc>
        <w:tc>
          <w:tcPr>
            <w:tcW w:w="2769" w:type="dxa"/>
            <w:tcBorders>
              <w:top w:val="nil"/>
              <w:left w:val="nil"/>
              <w:bottom w:val="nil"/>
              <w:right w:val="nil"/>
            </w:tcBorders>
            <w:shd w:val="clear" w:color="auto" w:fill="FFFFFF"/>
            <w:vAlign w:val="top"/>
          </w:tcPr>
          <w:p w14:paraId="0B261599">
            <w:pPr>
              <w:pStyle w:val="54"/>
              <w:bidi w:val="0"/>
              <w:rPr>
                <w:rFonts w:hint="default"/>
                <w:b w:val="0"/>
              </w:rPr>
            </w:pPr>
            <w:r>
              <w:rPr>
                <w:rFonts w:hint="eastAsia"/>
                <w:b w:val="0"/>
              </w:rPr>
              <w:t>单位平面面积内可能形成损伤的目标数量</w:t>
            </w:r>
          </w:p>
        </w:tc>
      </w:tr>
      <w:tr w14:paraId="0514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vAlign w:val="top"/>
          </w:tcPr>
          <w:p w14:paraId="7EB976C6">
            <w:pPr>
              <w:pStyle w:val="54"/>
              <w:bidi w:val="0"/>
              <w:rPr>
                <w:rFonts w:hint="default"/>
                <w:b w:val="0"/>
              </w:rPr>
            </w:pPr>
            <w:r>
              <w:rPr>
                <w:rFonts w:hint="eastAsia"/>
                <w:b w:val="0"/>
              </w:rPr>
              <w:t>设施构型及目标特征</w:t>
            </w:r>
          </w:p>
        </w:tc>
        <w:tc>
          <w:tcPr>
            <w:tcW w:w="2769" w:type="dxa"/>
            <w:tcBorders>
              <w:top w:val="nil"/>
              <w:left w:val="nil"/>
              <w:bottom w:val="single" w:color="000000" w:sz="12" w:space="0"/>
              <w:right w:val="nil"/>
            </w:tcBorders>
            <w:shd w:val="clear" w:color="auto" w:fill="FFFFFF"/>
            <w:vAlign w:val="top"/>
          </w:tcPr>
          <w:p w14:paraId="43398C9B">
            <w:pPr>
              <w:pStyle w:val="54"/>
              <w:bidi w:val="0"/>
              <w:rPr>
                <w:rFonts w:hint="default"/>
                <w:b w:val="0"/>
              </w:rPr>
            </w:pPr>
            <w:r>
              <w:rPr>
                <w:rFonts w:hint="eastAsia"/>
                <w:b w:val="0"/>
              </w:rPr>
              <w:t>迎火侧可燃物/敏感目标比例</w:t>
            </w:r>
          </w:p>
        </w:tc>
        <w:tc>
          <w:tcPr>
            <w:tcW w:w="2769" w:type="dxa"/>
            <w:tcBorders>
              <w:top w:val="nil"/>
              <w:left w:val="nil"/>
              <w:bottom w:val="single" w:color="000000" w:sz="12" w:space="0"/>
              <w:right w:val="nil"/>
            </w:tcBorders>
            <w:shd w:val="clear" w:color="auto" w:fill="FFFFFF"/>
            <w:vAlign w:val="top"/>
          </w:tcPr>
          <w:p w14:paraId="4BD0A8C3">
            <w:pPr>
              <w:pStyle w:val="54"/>
              <w:bidi w:val="0"/>
              <w:rPr>
                <w:rFonts w:hint="default"/>
                <w:b w:val="0"/>
              </w:rPr>
            </w:pPr>
            <w:r>
              <w:rPr>
                <w:rFonts w:hint="eastAsia"/>
                <w:b w:val="0"/>
              </w:rPr>
              <w:t>直接处于受热方向的目标占比</w:t>
            </w:r>
          </w:p>
        </w:tc>
      </w:tr>
    </w:tbl>
    <w:p w14:paraId="2215C9D6">
      <w:pPr>
        <w:rPr>
          <w:rFonts w:hint="default" w:ascii="Times New Roman" w:hAnsi="Times New Roman" w:cs="Times New Roman"/>
        </w:rPr>
      </w:pPr>
      <w:r>
        <w:rPr>
          <w:rFonts w:hint="default" w:ascii="Times New Roman" w:hAnsi="Times New Roman" w:cs="Times New Roman"/>
        </w:rPr>
        <w:t>表中前 6 项为所有设施共用的核心输入；迎火侧门窗数量与门窗面积比两项仅在该类参数随工况或方向存在变化的设施中启用，其余设施不纳入模型，避免把恒定参数误作驱动因素。各设施实际使用的输入特征列表在训练时固化于模型文件中，推理时按同一列表构造特征向量，保证训练与使用口径一致。</w:t>
      </w:r>
    </w:p>
    <w:p w14:paraId="4CA5E291">
      <w:pPr>
        <w:rPr>
          <w:rFonts w:hint="default" w:ascii="Times New Roman" w:hAnsi="Times New Roman" w:cs="Times New Roman"/>
        </w:rPr>
      </w:pPr>
      <w:r>
        <w:rPr>
          <w:rFonts w:hint="default" w:ascii="Times New Roman" w:hAnsi="Times New Roman" w:cs="Times New Roman"/>
        </w:rPr>
        <w:t>从参数构成看，热源工况特征刻画了能量输入的强度、时程与方向性，是设施级 D</w:t>
      </w:r>
      <w:r>
        <w:rPr>
          <w:rFonts w:hint="default" w:ascii="Times New Roman" w:hAnsi="Times New Roman" w:cs="Times New Roman"/>
          <w:vertAlign w:val="subscript"/>
        </w:rPr>
        <w:t>k</w:t>
      </w:r>
      <w:r>
        <w:rPr>
          <w:rFonts w:hint="default" w:ascii="Times New Roman" w:hAnsi="Times New Roman" w:cs="Times New Roman"/>
        </w:rPr>
        <w:t xml:space="preserve"> 随工况变化的主要驱动；设施构型及目标特征则刻画了设施自身的受热响应条件，包括空间体量对热量的稀释作用、围护与开口对热量进入路径的调节，以及内部目标数量和迎火暴露程度对损伤形成的放大作用。两类特征在模型中共同参与树节点划分，缺一不可：仅凭热源强度无法解释同热通量下不同设施、不同方向的预测差异，仅凭设施构型也无法刻画同一设施在不同工况下的毁伤变化。两者结合，使模型能够在统一的特征空间内表达"外部能量输入—围护衰减—目标暴露—价值加权损伤"的完整响应链。</w:t>
      </w:r>
    </w:p>
    <w:p w14:paraId="1E1529D7">
      <w:pPr>
        <w:rPr>
          <w:rFonts w:hint="default" w:ascii="Times New Roman" w:hAnsi="Times New Roman" w:cs="Times New Roman"/>
        </w:rPr>
      </w:pPr>
    </w:p>
    <w:p w14:paraId="39808CD4">
      <w:pPr>
        <w:pStyle w:val="3"/>
        <w:rPr>
          <w:rFonts w:hint="default" w:ascii="Times New Roman" w:hAnsi="Times New Roman" w:cs="Times New Roman"/>
        </w:rPr>
      </w:pPr>
      <w:bookmarkStart w:id="13" w:name="_Toc22101"/>
      <w:r>
        <w:rPr>
          <w:rFonts w:hint="default" w:ascii="Times New Roman" w:hAnsi="Times New Roman" w:cs="Times New Roman"/>
          <w:lang w:val="en-US" w:eastAsia="zh-CN"/>
        </w:rPr>
        <w:t>特征处理</w:t>
      </w:r>
      <w:bookmarkEnd w:id="13"/>
    </w:p>
    <w:p w14:paraId="1378EA3B">
      <w:pPr>
        <w:rPr>
          <w:rFonts w:hint="default" w:ascii="Times New Roman" w:hAnsi="Times New Roman" w:cs="Times New Roman"/>
        </w:rPr>
      </w:pPr>
      <w:r>
        <w:rPr>
          <w:rFonts w:hint="default" w:ascii="Times New Roman" w:hAnsi="Times New Roman" w:cs="Times New Roman"/>
        </w:rPr>
        <w:t>热通量采用以 10 为底的对数变换，热剂量按热通量与持续时间的乘积构造，以减小高低热通量之间的数值跨度。方位角采用正弦和余弦联合编码，使 0°和 360°在特征空间中保持连续。迎火侧墙面面积采用对数表达，使不同规模设施能够在同一数值范围内参与树节点划分。</w:t>
      </w:r>
    </w:p>
    <w:p w14:paraId="62661702">
      <w:pPr>
        <w:rPr>
          <w:rFonts w:hint="default" w:ascii="Times New Roman" w:hAnsi="Times New Roman" w:cs="Times New Roman"/>
        </w:rPr>
      </w:pPr>
      <w:r>
        <w:rPr>
          <w:rFonts w:hint="default" w:ascii="Times New Roman" w:hAnsi="Times New Roman" w:cs="Times New Roman"/>
        </w:rPr>
        <w:t>迎火侧特征根据方位角动态选取。当热源方向改变时，模型同步更新受热墙面面积、门窗与总开口比例以及迎火侧敏感目标比例。因此，同一热通量下不同方向的预测差异具有明确的工程参数来源：方位角决定哪一面墙成为迎火侧，俯仰角决定辐射作用于墙面、屋面还是内部目标的分布，持续时间则通过热剂量累积放大或缩小毁伤程度。</w:t>
      </w:r>
    </w:p>
    <w:p w14:paraId="142E9CB9">
      <w:pPr>
        <w:rPr>
          <w:rFonts w:hint="default" w:ascii="Times New Roman" w:hAnsi="Times New Roman" w:cs="Times New Roman"/>
        </w:rPr>
      </w:pPr>
      <w:r>
        <w:rPr>
          <w:rFonts w:hint="default" w:ascii="Times New Roman" w:hAnsi="Times New Roman" w:cs="Times New Roman"/>
        </w:rPr>
        <w:t>为兼顾模型对连续工况的插值能力和对离散工况的刻画能力，热源参数同时保留连续数值与离散标识两种表达：连续数值用于树节点按阈值精细分裂，离散标识（如特定俯仰角、特定持续时间档位）则帮助模型记忆工况网格中实际存在的作用条件。设施侧参数全部以连续量形式进入模型，其中迎火侧开口、门窗和敏感目标比例在方向上动态投影，使建筑朝向与热源方向的关系被显式编码，避免模型将不同方向的差异简单归因于热通量大小。</w:t>
      </w:r>
    </w:p>
    <w:p w14:paraId="753CBE49">
      <w:pPr>
        <w:rPr>
          <w:rFonts w:hint="default" w:ascii="Times New Roman" w:hAnsi="Times New Roman" w:cs="Times New Roman"/>
        </w:rPr>
      </w:pPr>
    </w:p>
    <w:p w14:paraId="405BF9F6">
      <w:pPr>
        <w:pStyle w:val="3"/>
        <w:rPr>
          <w:rFonts w:hint="default" w:ascii="Times New Roman" w:hAnsi="Times New Roman" w:cs="Times New Roman"/>
        </w:rPr>
      </w:pPr>
      <w:bookmarkStart w:id="14" w:name="_Toc13947"/>
      <w:r>
        <w:rPr>
          <w:rFonts w:hint="default" w:ascii="Times New Roman" w:hAnsi="Times New Roman" w:cs="Times New Roman"/>
        </w:rPr>
        <w:t>特征重要性分析</w:t>
      </w:r>
      <w:bookmarkEnd w:id="14"/>
    </w:p>
    <w:p w14:paraId="58599EC3">
      <w:pPr>
        <w:rPr>
          <w:rFonts w:hint="default" w:ascii="Times New Roman" w:hAnsi="Times New Roman" w:cs="Times New Roman"/>
        </w:rPr>
      </w:pPr>
      <w:r>
        <w:rPr>
          <w:rFonts w:hint="default" w:ascii="Times New Roman" w:hAnsi="Times New Roman" w:cs="Times New Roman"/>
        </w:rPr>
        <w:t>为分析逐设施模型在机械制造设施上的实际使用特征，在五折交叉验证框架下进行重复置换重要性分析：对某个输入特征，在各折测试集上随机打乱该特征取值后重新预测，记录等级准确率的下降量。下降量越大，说明模型在该类设施上对该特征越敏感。该分析只针对所有机械制造设施共用的核心输入特征，用于解释模型预测和等级分布，不将重要性数值解释为单一物理因果比例。</w:t>
      </w:r>
    </w:p>
    <w:p w14:paraId="77A173DC">
      <w:pPr>
        <w:pStyle w:val="54"/>
        <w:bidi w:val="0"/>
        <w:rPr>
          <w:rFonts w:hint="default" w:ascii="Times New Roman" w:hAnsi="Times New Roman" w:cs="Times New Roman"/>
        </w:rPr>
      </w:pPr>
      <w:r>
        <w:drawing>
          <wp:inline distT="0" distB="0" distL="114300" distR="114300">
            <wp:extent cx="5270500" cy="3220720"/>
            <wp:effectExtent l="0" t="0" r="6350" b="17780"/>
            <wp:docPr id="54" name="Picture" descr="图 1 机械制造设施专项因素置换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 1 机械制造设施专项因素置换重要性"/>
                    <pic:cNvPicPr>
                      <a:picLocks noChangeAspect="1" noChangeArrowheads="1"/>
                    </pic:cNvPicPr>
                  </pic:nvPicPr>
                  <pic:blipFill>
                    <a:blip r:embed="rId15"/>
                    <a:stretch>
                      <a:fillRect/>
                    </a:stretch>
                  </pic:blipFill>
                  <pic:spPr>
                    <a:xfrm>
                      <a:off x="0" y="0"/>
                      <a:ext cx="5270500" cy="3220861"/>
                    </a:xfrm>
                    <a:prstGeom prst="rect">
                      <a:avLst/>
                    </a:prstGeom>
                    <a:noFill/>
                    <a:ln w="9525">
                      <a:noFill/>
                    </a:ln>
                  </pic:spPr>
                </pic:pic>
              </a:graphicData>
            </a:graphic>
          </wp:inline>
        </w:drawing>
      </w:r>
    </w:p>
    <w:p w14:paraId="1FFD284D">
      <w:pPr>
        <w:pStyle w:val="16"/>
        <w:rPr>
          <w:rFonts w:hint="default" w:ascii="Times New Roman" w:hAnsi="Times New Roman" w:eastAsia="宋体" w:cs="Times New Roman"/>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特征重要性分析</w:t>
      </w:r>
    </w:p>
    <w:p w14:paraId="766244A7">
      <w:pPr>
        <w:rPr>
          <w:rFonts w:hint="default" w:ascii="Times New Roman" w:hAnsi="Times New Roman" w:cs="Times New Roman"/>
          <w:lang w:val="en-US" w:eastAsia="zh-CN"/>
        </w:rPr>
      </w:pPr>
    </w:p>
    <w:p w14:paraId="7AA56E44">
      <w:pPr>
        <w:pStyle w:val="16"/>
        <w:bidi w:val="0"/>
        <w:jc w:val="center"/>
        <w:rPr>
          <w:rFonts w:hint="default" w:ascii="Times New Roman" w:hAnsi="Times New Roman" w:cs="Times New Roma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eastAsia" w:ascii="Times New Roman" w:hAnsi="Times New Roman" w:cs="Times New Roman"/>
          <w:lang w:eastAsia="zh-CN"/>
        </w:rPr>
        <w:t>机械制造</w:t>
      </w:r>
      <w:r>
        <w:rPr>
          <w:rFonts w:hint="default" w:ascii="Times New Roman" w:hAnsi="Times New Roman" w:cs="Times New Roman"/>
        </w:rPr>
        <w:t>与主要工程因素及其阈值影响</w:t>
      </w:r>
    </w:p>
    <w:tbl>
      <w:tblPr>
        <w:tblStyle w:val="2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3543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single" w:color="000000" w:sz="12" w:space="0"/>
              <w:left w:val="nil"/>
              <w:bottom w:val="single" w:color="000000" w:sz="4" w:space="0"/>
              <w:right w:val="nil"/>
              <w:tl2br w:val="nil"/>
            </w:tcBorders>
            <w:shd w:val="clear" w:color="auto" w:fill="FFFFFF"/>
            <w:vAlign w:val="top"/>
          </w:tcPr>
          <w:p w14:paraId="4FC6A1B2">
            <w:pPr>
              <w:pStyle w:val="54"/>
              <w:bidi w:val="0"/>
              <w:rPr>
                <w:rFonts w:hint="default"/>
              </w:rPr>
            </w:pPr>
            <w:r>
              <w:rPr>
                <w:rFonts w:hint="eastAsia"/>
              </w:rPr>
              <w:t>排序</w:t>
            </w:r>
          </w:p>
        </w:tc>
        <w:tc>
          <w:tcPr>
            <w:tcW w:w="2840" w:type="dxa"/>
            <w:tcBorders>
              <w:top w:val="single" w:color="000000" w:sz="12" w:space="0"/>
              <w:left w:val="nil"/>
              <w:bottom w:val="single" w:color="000000" w:sz="4" w:space="0"/>
              <w:right w:val="nil"/>
            </w:tcBorders>
            <w:shd w:val="clear" w:color="auto" w:fill="FFFFFF"/>
            <w:vAlign w:val="top"/>
          </w:tcPr>
          <w:p w14:paraId="157729A1">
            <w:pPr>
              <w:pStyle w:val="54"/>
              <w:bidi w:val="0"/>
              <w:rPr>
                <w:rFonts w:hint="default"/>
              </w:rPr>
            </w:pPr>
            <w:r>
              <w:rPr>
                <w:rFonts w:hint="eastAsia"/>
              </w:rPr>
              <w:t>输入特征</w:t>
            </w:r>
          </w:p>
        </w:tc>
        <w:tc>
          <w:tcPr>
            <w:tcW w:w="2840" w:type="dxa"/>
            <w:tcBorders>
              <w:top w:val="single" w:color="000000" w:sz="12" w:space="0"/>
              <w:left w:val="nil"/>
              <w:bottom w:val="single" w:color="000000" w:sz="4" w:space="0"/>
              <w:right w:val="nil"/>
            </w:tcBorders>
            <w:shd w:val="clear" w:color="auto" w:fill="FFFFFF"/>
            <w:vAlign w:val="top"/>
          </w:tcPr>
          <w:p w14:paraId="38150801">
            <w:pPr>
              <w:pStyle w:val="54"/>
              <w:bidi w:val="0"/>
              <w:rPr>
                <w:rFonts w:hint="default"/>
              </w:rPr>
            </w:pPr>
            <w:r>
              <w:rPr>
                <w:rFonts w:hint="eastAsia"/>
              </w:rPr>
              <w:t>置换后等级准确率下降</w:t>
            </w:r>
          </w:p>
        </w:tc>
      </w:tr>
      <w:tr w14:paraId="06F6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single" w:color="000000" w:sz="4" w:space="0"/>
              <w:left w:val="nil"/>
              <w:bottom w:val="nil"/>
              <w:right w:val="nil"/>
            </w:tcBorders>
            <w:shd w:val="clear" w:color="auto" w:fill="FFFFFF"/>
            <w:vAlign w:val="top"/>
          </w:tcPr>
          <w:p w14:paraId="461EDC94">
            <w:pPr>
              <w:pStyle w:val="54"/>
              <w:bidi w:val="0"/>
              <w:rPr>
                <w:rFonts w:hint="default"/>
              </w:rPr>
            </w:pPr>
            <w:r>
              <w:t>1</w:t>
            </w:r>
          </w:p>
        </w:tc>
        <w:tc>
          <w:tcPr>
            <w:tcW w:w="2840" w:type="dxa"/>
            <w:tcBorders>
              <w:top w:val="single" w:color="000000" w:sz="4" w:space="0"/>
              <w:left w:val="nil"/>
              <w:bottom w:val="nil"/>
              <w:right w:val="nil"/>
            </w:tcBorders>
            <w:shd w:val="clear" w:color="auto" w:fill="FFFFFF"/>
            <w:vAlign w:val="top"/>
          </w:tcPr>
          <w:p w14:paraId="5276382B">
            <w:pPr>
              <w:pStyle w:val="54"/>
              <w:bidi w:val="0"/>
              <w:rPr>
                <w:rFonts w:hint="default"/>
              </w:rPr>
            </w:pPr>
            <w:r>
              <w:rPr>
                <w:rFonts w:hint="eastAsia"/>
              </w:rPr>
              <w:t>热通量（对数）</w:t>
            </w:r>
          </w:p>
        </w:tc>
        <w:tc>
          <w:tcPr>
            <w:tcW w:w="2840" w:type="dxa"/>
            <w:tcBorders>
              <w:top w:val="single" w:color="000000" w:sz="4" w:space="0"/>
              <w:left w:val="nil"/>
              <w:bottom w:val="nil"/>
              <w:right w:val="nil"/>
            </w:tcBorders>
            <w:shd w:val="clear" w:color="auto" w:fill="FFFFFF"/>
            <w:vAlign w:val="top"/>
          </w:tcPr>
          <w:p w14:paraId="7393E07B">
            <w:pPr>
              <w:pStyle w:val="54"/>
              <w:bidi w:val="0"/>
              <w:rPr>
                <w:rFonts w:hint="default"/>
              </w:rPr>
            </w:pPr>
            <w:r>
              <w:t>0.0158</w:t>
            </w:r>
          </w:p>
        </w:tc>
      </w:tr>
      <w:tr w14:paraId="6AB5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0029AEDD">
            <w:pPr>
              <w:pStyle w:val="54"/>
              <w:bidi w:val="0"/>
              <w:rPr>
                <w:rFonts w:hint="default"/>
              </w:rPr>
            </w:pPr>
            <w:r>
              <w:t>2</w:t>
            </w:r>
          </w:p>
        </w:tc>
        <w:tc>
          <w:tcPr>
            <w:tcW w:w="2840" w:type="dxa"/>
            <w:tcBorders>
              <w:top w:val="nil"/>
              <w:left w:val="nil"/>
              <w:bottom w:val="nil"/>
              <w:right w:val="nil"/>
            </w:tcBorders>
            <w:shd w:val="clear" w:color="auto" w:fill="FFFFFF"/>
            <w:vAlign w:val="top"/>
          </w:tcPr>
          <w:p w14:paraId="1192AC3C">
            <w:pPr>
              <w:pStyle w:val="54"/>
              <w:bidi w:val="0"/>
              <w:rPr>
                <w:rFonts w:hint="default"/>
              </w:rPr>
            </w:pPr>
            <w:r>
              <w:rPr>
                <w:rFonts w:hint="eastAsia"/>
              </w:rPr>
              <w:t>热剂量（对数）</w:t>
            </w:r>
          </w:p>
        </w:tc>
        <w:tc>
          <w:tcPr>
            <w:tcW w:w="2840" w:type="dxa"/>
            <w:tcBorders>
              <w:top w:val="nil"/>
              <w:left w:val="nil"/>
              <w:bottom w:val="nil"/>
              <w:right w:val="nil"/>
            </w:tcBorders>
            <w:shd w:val="clear" w:color="auto" w:fill="FFFFFF"/>
            <w:vAlign w:val="top"/>
          </w:tcPr>
          <w:p w14:paraId="650E1647">
            <w:pPr>
              <w:pStyle w:val="54"/>
              <w:bidi w:val="0"/>
              <w:rPr>
                <w:rFonts w:hint="default"/>
              </w:rPr>
            </w:pPr>
            <w:r>
              <w:t>0.0116</w:t>
            </w:r>
          </w:p>
        </w:tc>
      </w:tr>
      <w:tr w14:paraId="12BD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9" w:type="dxa"/>
            <w:tcBorders>
              <w:top w:val="nil"/>
              <w:left w:val="nil"/>
              <w:bottom w:val="nil"/>
              <w:right w:val="nil"/>
            </w:tcBorders>
            <w:shd w:val="clear" w:color="auto" w:fill="FFFFFF"/>
            <w:vAlign w:val="top"/>
          </w:tcPr>
          <w:p w14:paraId="0E9A312C">
            <w:pPr>
              <w:pStyle w:val="54"/>
              <w:bidi w:val="0"/>
              <w:rPr>
                <w:rFonts w:hint="default"/>
              </w:rPr>
            </w:pPr>
            <w:r>
              <w:t>3</w:t>
            </w:r>
          </w:p>
        </w:tc>
        <w:tc>
          <w:tcPr>
            <w:tcW w:w="2840" w:type="dxa"/>
            <w:tcBorders>
              <w:top w:val="nil"/>
              <w:left w:val="nil"/>
              <w:bottom w:val="nil"/>
              <w:right w:val="nil"/>
            </w:tcBorders>
            <w:shd w:val="clear" w:color="auto" w:fill="FFFFFF"/>
            <w:vAlign w:val="top"/>
          </w:tcPr>
          <w:p w14:paraId="65256597">
            <w:pPr>
              <w:pStyle w:val="54"/>
              <w:bidi w:val="0"/>
              <w:rPr>
                <w:rFonts w:hint="default"/>
              </w:rPr>
            </w:pPr>
            <w:r>
              <w:rPr>
                <w:rFonts w:hint="eastAsia"/>
              </w:rPr>
              <w:t>俯仰角</w:t>
            </w:r>
          </w:p>
        </w:tc>
        <w:tc>
          <w:tcPr>
            <w:tcW w:w="2840" w:type="dxa"/>
            <w:tcBorders>
              <w:top w:val="nil"/>
              <w:left w:val="nil"/>
              <w:bottom w:val="nil"/>
              <w:right w:val="nil"/>
            </w:tcBorders>
            <w:shd w:val="clear" w:color="auto" w:fill="FFFFFF"/>
            <w:vAlign w:val="top"/>
          </w:tcPr>
          <w:p w14:paraId="5E9946C7">
            <w:pPr>
              <w:pStyle w:val="54"/>
              <w:bidi w:val="0"/>
              <w:rPr>
                <w:rFonts w:hint="default"/>
              </w:rPr>
            </w:pPr>
            <w:r>
              <w:t>0.0111</w:t>
            </w:r>
          </w:p>
        </w:tc>
      </w:tr>
      <w:tr w14:paraId="286F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7393CB1F">
            <w:pPr>
              <w:pStyle w:val="54"/>
              <w:bidi w:val="0"/>
              <w:rPr>
                <w:rFonts w:hint="default"/>
              </w:rPr>
            </w:pPr>
            <w:r>
              <w:t>4</w:t>
            </w:r>
          </w:p>
        </w:tc>
        <w:tc>
          <w:tcPr>
            <w:tcW w:w="2840" w:type="dxa"/>
            <w:tcBorders>
              <w:top w:val="nil"/>
              <w:left w:val="nil"/>
              <w:bottom w:val="nil"/>
              <w:right w:val="nil"/>
            </w:tcBorders>
            <w:shd w:val="clear" w:color="auto" w:fill="FFFFFF"/>
            <w:vAlign w:val="top"/>
          </w:tcPr>
          <w:p w14:paraId="3F89D1B5">
            <w:pPr>
              <w:pStyle w:val="54"/>
              <w:bidi w:val="0"/>
              <w:rPr>
                <w:rFonts w:hint="default"/>
              </w:rPr>
            </w:pPr>
            <w:r>
              <w:rPr>
                <w:rFonts w:hint="eastAsia"/>
              </w:rPr>
              <w:t>辐射持续时间</w:t>
            </w:r>
          </w:p>
        </w:tc>
        <w:tc>
          <w:tcPr>
            <w:tcW w:w="2840" w:type="dxa"/>
            <w:tcBorders>
              <w:top w:val="nil"/>
              <w:left w:val="nil"/>
              <w:bottom w:val="nil"/>
              <w:right w:val="nil"/>
            </w:tcBorders>
            <w:shd w:val="clear" w:color="auto" w:fill="FFFFFF"/>
            <w:vAlign w:val="top"/>
          </w:tcPr>
          <w:p w14:paraId="0E9360FA">
            <w:pPr>
              <w:pStyle w:val="54"/>
              <w:bidi w:val="0"/>
              <w:rPr>
                <w:rFonts w:hint="default"/>
              </w:rPr>
            </w:pPr>
            <w:r>
              <w:t>0.0102</w:t>
            </w:r>
          </w:p>
        </w:tc>
      </w:tr>
      <w:tr w14:paraId="529B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4DDF7835">
            <w:pPr>
              <w:pStyle w:val="54"/>
              <w:bidi w:val="0"/>
              <w:rPr>
                <w:rFonts w:hint="default"/>
              </w:rPr>
            </w:pPr>
            <w:r>
              <w:t>5</w:t>
            </w:r>
          </w:p>
        </w:tc>
        <w:tc>
          <w:tcPr>
            <w:tcW w:w="2840" w:type="dxa"/>
            <w:tcBorders>
              <w:top w:val="nil"/>
              <w:left w:val="nil"/>
              <w:bottom w:val="nil"/>
              <w:right w:val="nil"/>
            </w:tcBorders>
            <w:shd w:val="clear" w:color="auto" w:fill="FFFFFF"/>
            <w:vAlign w:val="top"/>
          </w:tcPr>
          <w:p w14:paraId="583A5089">
            <w:pPr>
              <w:pStyle w:val="54"/>
              <w:bidi w:val="0"/>
              <w:rPr>
                <w:rFonts w:hint="default"/>
              </w:rPr>
            </w:pPr>
            <w:r>
              <w:rPr>
                <w:rFonts w:hint="eastAsia"/>
              </w:rPr>
              <w:t>迎火侧可燃物/敏感目标比例</w:t>
            </w:r>
          </w:p>
        </w:tc>
        <w:tc>
          <w:tcPr>
            <w:tcW w:w="2840" w:type="dxa"/>
            <w:tcBorders>
              <w:top w:val="nil"/>
              <w:left w:val="nil"/>
              <w:bottom w:val="nil"/>
              <w:right w:val="nil"/>
            </w:tcBorders>
            <w:shd w:val="clear" w:color="auto" w:fill="FFFFFF"/>
            <w:vAlign w:val="top"/>
          </w:tcPr>
          <w:p w14:paraId="425AE8B5">
            <w:pPr>
              <w:pStyle w:val="54"/>
              <w:bidi w:val="0"/>
              <w:rPr>
                <w:rFonts w:hint="default"/>
              </w:rPr>
            </w:pPr>
            <w:r>
              <w:t>0.0065</w:t>
            </w:r>
          </w:p>
        </w:tc>
      </w:tr>
      <w:tr w14:paraId="6060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0B2B1505">
            <w:pPr>
              <w:pStyle w:val="54"/>
              <w:bidi w:val="0"/>
              <w:rPr>
                <w:rFonts w:hint="default"/>
              </w:rPr>
            </w:pPr>
            <w:r>
              <w:t>6</w:t>
            </w:r>
          </w:p>
        </w:tc>
        <w:tc>
          <w:tcPr>
            <w:tcW w:w="2840" w:type="dxa"/>
            <w:tcBorders>
              <w:top w:val="nil"/>
              <w:left w:val="nil"/>
              <w:bottom w:val="nil"/>
              <w:right w:val="nil"/>
            </w:tcBorders>
            <w:shd w:val="clear" w:color="auto" w:fill="FFFFFF"/>
            <w:vAlign w:val="top"/>
          </w:tcPr>
          <w:p w14:paraId="6E734248">
            <w:pPr>
              <w:pStyle w:val="54"/>
              <w:bidi w:val="0"/>
              <w:rPr>
                <w:rFonts w:hint="default"/>
              </w:rPr>
            </w:pPr>
            <w:r>
              <w:rPr>
                <w:rFonts w:hint="eastAsia"/>
              </w:rPr>
              <w:t>方位角正弦项</w:t>
            </w:r>
          </w:p>
        </w:tc>
        <w:tc>
          <w:tcPr>
            <w:tcW w:w="2840" w:type="dxa"/>
            <w:tcBorders>
              <w:top w:val="nil"/>
              <w:left w:val="nil"/>
              <w:bottom w:val="nil"/>
              <w:right w:val="nil"/>
            </w:tcBorders>
            <w:shd w:val="clear" w:color="auto" w:fill="FFFFFF"/>
            <w:vAlign w:val="top"/>
          </w:tcPr>
          <w:p w14:paraId="669F1A9F">
            <w:pPr>
              <w:pStyle w:val="54"/>
              <w:bidi w:val="0"/>
              <w:rPr>
                <w:rFonts w:hint="default"/>
              </w:rPr>
            </w:pPr>
            <w:r>
              <w:t>0.0062</w:t>
            </w:r>
          </w:p>
        </w:tc>
      </w:tr>
      <w:tr w14:paraId="7FE4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9" w:type="dxa"/>
            <w:tcBorders>
              <w:top w:val="nil"/>
              <w:left w:val="nil"/>
              <w:bottom w:val="nil"/>
              <w:right w:val="nil"/>
            </w:tcBorders>
            <w:shd w:val="clear" w:color="auto" w:fill="FFFFFF"/>
            <w:vAlign w:val="top"/>
          </w:tcPr>
          <w:p w14:paraId="1F60FEE1">
            <w:pPr>
              <w:pStyle w:val="54"/>
              <w:bidi w:val="0"/>
              <w:rPr>
                <w:rFonts w:hint="default"/>
              </w:rPr>
            </w:pPr>
            <w:r>
              <w:t>7</w:t>
            </w:r>
          </w:p>
        </w:tc>
        <w:tc>
          <w:tcPr>
            <w:tcW w:w="2840" w:type="dxa"/>
            <w:tcBorders>
              <w:top w:val="nil"/>
              <w:left w:val="nil"/>
              <w:bottom w:val="nil"/>
              <w:right w:val="nil"/>
            </w:tcBorders>
            <w:shd w:val="clear" w:color="auto" w:fill="FFFFFF"/>
            <w:vAlign w:val="top"/>
          </w:tcPr>
          <w:p w14:paraId="78C540B4">
            <w:pPr>
              <w:pStyle w:val="54"/>
              <w:bidi w:val="0"/>
              <w:rPr>
                <w:rFonts w:hint="default"/>
              </w:rPr>
            </w:pPr>
            <w:r>
              <w:rPr>
                <w:rFonts w:hint="eastAsia"/>
              </w:rPr>
              <w:t>迎火侧总开口比例</w:t>
            </w:r>
          </w:p>
        </w:tc>
        <w:tc>
          <w:tcPr>
            <w:tcW w:w="2840" w:type="dxa"/>
            <w:tcBorders>
              <w:top w:val="nil"/>
              <w:left w:val="nil"/>
              <w:bottom w:val="nil"/>
              <w:right w:val="nil"/>
            </w:tcBorders>
            <w:shd w:val="clear" w:color="auto" w:fill="FFFFFF"/>
            <w:vAlign w:val="top"/>
          </w:tcPr>
          <w:p w14:paraId="20051B17">
            <w:pPr>
              <w:pStyle w:val="54"/>
              <w:bidi w:val="0"/>
              <w:rPr>
                <w:rFonts w:hint="default"/>
              </w:rPr>
            </w:pPr>
            <w:r>
              <w:t>0.0060</w:t>
            </w:r>
          </w:p>
        </w:tc>
      </w:tr>
      <w:tr w14:paraId="02FD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single" w:color="000000" w:sz="12" w:space="0"/>
              <w:right w:val="nil"/>
            </w:tcBorders>
            <w:shd w:val="clear" w:color="auto" w:fill="FFFFFF"/>
            <w:vAlign w:val="top"/>
          </w:tcPr>
          <w:p w14:paraId="390B0EE6">
            <w:pPr>
              <w:pStyle w:val="54"/>
              <w:bidi w:val="0"/>
              <w:rPr>
                <w:rFonts w:hint="default"/>
              </w:rPr>
            </w:pPr>
            <w:r>
              <w:t>8</w:t>
            </w:r>
          </w:p>
        </w:tc>
        <w:tc>
          <w:tcPr>
            <w:tcW w:w="2840" w:type="dxa"/>
            <w:tcBorders>
              <w:top w:val="nil"/>
              <w:left w:val="nil"/>
              <w:bottom w:val="single" w:color="000000" w:sz="12" w:space="0"/>
              <w:right w:val="nil"/>
            </w:tcBorders>
            <w:shd w:val="clear" w:color="auto" w:fill="FFFFFF"/>
            <w:vAlign w:val="top"/>
          </w:tcPr>
          <w:p w14:paraId="406CE806">
            <w:pPr>
              <w:pStyle w:val="54"/>
              <w:bidi w:val="0"/>
              <w:rPr>
                <w:rFonts w:hint="default"/>
              </w:rPr>
            </w:pPr>
            <w:r>
              <w:rPr>
                <w:rFonts w:hint="eastAsia"/>
              </w:rPr>
              <w:t>迎火侧墙面面积（对数）</w:t>
            </w:r>
          </w:p>
        </w:tc>
        <w:tc>
          <w:tcPr>
            <w:tcW w:w="2840" w:type="dxa"/>
            <w:tcBorders>
              <w:top w:val="nil"/>
              <w:left w:val="nil"/>
              <w:bottom w:val="single" w:color="000000" w:sz="12" w:space="0"/>
              <w:right w:val="nil"/>
            </w:tcBorders>
            <w:shd w:val="clear" w:color="auto" w:fill="FFFFFF"/>
            <w:vAlign w:val="top"/>
          </w:tcPr>
          <w:p w14:paraId="1C9BAC91">
            <w:pPr>
              <w:pStyle w:val="54"/>
              <w:bidi w:val="0"/>
              <w:rPr>
                <w:rFonts w:hint="default"/>
              </w:rPr>
            </w:pPr>
            <w:r>
              <w:t>0.0057</w:t>
            </w:r>
          </w:p>
        </w:tc>
      </w:tr>
    </w:tbl>
    <w:p w14:paraId="14244ABD">
      <w:pPr>
        <w:pStyle w:val="54"/>
        <w:bidi w:val="0"/>
        <w:rPr>
          <w:rFonts w:hint="default" w:ascii="Times New Roman" w:hAnsi="Times New Roman" w:cs="Times New Roman"/>
          <w:lang w:val="en-US" w:eastAsia="zh-CN"/>
        </w:rPr>
      </w:pPr>
    </w:p>
    <w:p w14:paraId="4E2334A3">
      <w:pPr>
        <w:rPr>
          <w:rFonts w:hint="default" w:ascii="Times New Roman" w:hAnsi="Times New Roman" w:cs="Times New Roman"/>
          <w:lang w:val="en-US" w:eastAsia="zh-CN"/>
        </w:rPr>
      </w:pPr>
      <w:r>
        <w:rPr>
          <w:rFonts w:hint="default" w:ascii="Times New Roman" w:hAnsi="Times New Roman" w:cs="Times New Roman"/>
          <w:lang w:val="en-US" w:eastAsia="zh-CN"/>
        </w:rPr>
        <w:t>置换结果显示，热通量、热剂量与俯仰角是机械制造设施等级判断最主要的驱动因素：热通量直接控制毁伤水平，热剂量体现持续时间累积，俯仰角则决定辐射作用于墙面、屋面还是生产设备。方位角通过迎火侧墙面与开口比例改变方向响应，可燃物/敏感目标比例则反映高价值设备暴露程度。这些结果表明，机械制造等级判断不能仅按热通量排序，还需要结合入射角度、开口路径和迎火侧设备比例进行解释。除上述共用特征外，个别设施（如小型机械制造等效设施）还补充了开口热剂量、辐射热剂量等扩展特征，以刻画其特有的开口受热路径。</w:t>
      </w:r>
    </w:p>
    <w:p w14:paraId="4BB92ED0">
      <w:pPr>
        <w:spacing w:line="360" w:lineRule="auto"/>
        <w:jc w:val="left"/>
        <w:rPr>
          <w:rStyle w:val="23"/>
          <w:rFonts w:hint="default" w:ascii="Times New Roman" w:hAnsi="Times New Roman" w:cs="Times New Roman"/>
          <w:b/>
          <w:sz w:val="32"/>
          <w:szCs w:val="32"/>
          <w:lang w:val="en-US" w:eastAsia="zh-CN"/>
        </w:rPr>
      </w:pPr>
    </w:p>
    <w:p w14:paraId="4A70250A">
      <w:pPr>
        <w:pStyle w:val="15"/>
        <w:outlineLvl w:val="0"/>
        <w:rPr>
          <w:rStyle w:val="23"/>
          <w:rFonts w:hint="default" w:ascii="Times New Roman" w:hAnsi="Times New Roman" w:cs="Times New Roman"/>
          <w:b/>
          <w:sz w:val="32"/>
          <w:szCs w:val="32"/>
          <w:lang w:val="en-US" w:eastAsia="zh-CN"/>
        </w:rPr>
        <w:sectPr>
          <w:pgSz w:w="11906" w:h="16838"/>
          <w:pgMar w:top="1440" w:right="1800" w:bottom="1440" w:left="1800" w:header="851" w:footer="992" w:gutter="0"/>
          <w:pgNumType w:fmt="decimal"/>
          <w:cols w:space="720" w:num="1"/>
          <w:docGrid w:type="lines" w:linePitch="326" w:charSpace="0"/>
        </w:sectPr>
      </w:pPr>
    </w:p>
    <w:p w14:paraId="505C8542">
      <w:pPr>
        <w:pStyle w:val="2"/>
        <w:bidi w:val="0"/>
        <w:rPr>
          <w:rFonts w:hint="default" w:ascii="Times New Roman" w:hAnsi="Times New Roman" w:cs="Times New Roman"/>
          <w:lang w:val="en-US" w:eastAsia="zh-CN"/>
        </w:rPr>
      </w:pPr>
      <w:bookmarkStart w:id="15" w:name="_Toc10694"/>
      <w:r>
        <w:rPr>
          <w:rFonts w:hint="default" w:ascii="Times New Roman" w:hAnsi="Times New Roman" w:cs="Times New Roman"/>
          <w:lang w:val="en-US" w:eastAsia="zh-CN"/>
        </w:rPr>
        <w:t>代理模型架构设计</w:t>
      </w:r>
      <w:bookmarkEnd w:id="15"/>
    </w:p>
    <w:p w14:paraId="3603004F">
      <w:pPr>
        <w:pStyle w:val="3"/>
        <w:bidi w:val="0"/>
        <w:rPr>
          <w:rFonts w:hint="default" w:ascii="Times New Roman" w:hAnsi="Times New Roman" w:cs="Times New Roman"/>
          <w:lang w:val="en-US" w:eastAsia="zh-CN"/>
        </w:rPr>
      </w:pPr>
      <w:bookmarkStart w:id="16" w:name="_Toc5215"/>
      <w:r>
        <w:rPr>
          <w:rFonts w:hint="default" w:ascii="Times New Roman" w:hAnsi="Times New Roman" w:cs="Times New Roman"/>
        </w:rPr>
        <w:t>ExtraTrees 建模原理</w:t>
      </w:r>
      <w:bookmarkEnd w:id="16"/>
    </w:p>
    <w:p w14:paraId="005859FB">
      <w:pPr>
        <w:rPr>
          <w:rFonts w:hint="default" w:ascii="Times New Roman" w:hAnsi="Times New Roman" w:cs="Times New Roman"/>
        </w:rPr>
      </w:pPr>
      <w:r>
        <w:rPr>
          <w:rFonts w:hint="default" w:ascii="Times New Roman" w:hAnsi="Times New Roman" w:cs="Times New Roman"/>
        </w:rPr>
        <w:t>ExtraTrees 由多棵极端随机决策树组成。每棵树在节点分裂时从候选特征和随机切分阈值中选择较优分裂，从而形成结构不同的树。多树集成可以降低单棵树对局部样本的依赖，并表达热通量、方向、建筑和敏感目标之间的非线性交互。</w:t>
      </w:r>
    </w:p>
    <w:p w14:paraId="76346E8C">
      <w:pPr>
        <w:rPr>
          <w:rFonts w:hint="default" w:ascii="Times New Roman" w:hAnsi="Times New Roman" w:cs="Times New Roman"/>
          <w:lang w:val="en-US" w:eastAsia="zh-CN"/>
        </w:rPr>
      </w:pPr>
      <w:r>
        <w:rPr>
          <w:rFonts w:hint="default" w:ascii="Times New Roman" w:hAnsi="Times New Roman" w:cs="Times New Roman"/>
        </w:rPr>
        <w:t>本模型设置两个并行任务。回归森林学习连续 Dk，分类森林学习四级HS。两个任务使用同一组输入，但分别针对连续量级和工程等级优化。</w:t>
      </w:r>
    </w:p>
    <w:p w14:paraId="1722BE62">
      <w:pPr>
        <w:pStyle w:val="3"/>
        <w:rPr>
          <w:rFonts w:hint="default" w:ascii="Times New Roman" w:hAnsi="Times New Roman" w:cs="Times New Roman"/>
        </w:rPr>
      </w:pPr>
      <w:bookmarkStart w:id="17" w:name="_Toc18450"/>
      <w:r>
        <w:rPr>
          <w:rFonts w:hint="default" w:ascii="Times New Roman" w:hAnsi="Times New Roman" w:cs="Times New Roman"/>
        </w:rPr>
        <w:t>连续 Dk 回归</w:t>
      </w:r>
      <w:bookmarkEnd w:id="17"/>
    </w:p>
    <w:p w14:paraId="474EE7F8">
      <w:pPr>
        <w:rPr>
          <w:rFonts w:hint="default" w:ascii="Times New Roman" w:hAnsi="Times New Roman" w:cs="Times New Roman"/>
        </w:rPr>
      </w:pPr>
      <w:r>
        <w:rPr>
          <w:rFonts w:hint="default" w:ascii="Times New Roman" w:hAnsi="Times New Roman" w:cs="Times New Roman"/>
        </w:rPr>
        <w:t>设输入特征为：</w:t>
      </w:r>
    </w:p>
    <w:p w14:paraId="6455D7C6">
      <w:pPr>
        <w:ind w:firstLine="480"/>
        <w:rPr>
          <w:rFonts w:hint="default" w:ascii="Times New Roman" w:hAnsi="Times New Roman" w:cs="Times New Roman"/>
        </w:rPr>
      </w:pPr>
      <m:oMathPara>
        <m:oMath>
          <m:r>
            <m:rPr>
              <m:nor/>
            </m:rPr>
            <w:rPr>
              <w:rFonts w:hint="default" w:ascii="Times New Roman" w:hAnsi="Times New Roman" w:cs="Times New Roman"/>
              <w:i/>
              <w:sz w:val="24"/>
              <w:u w:val="none"/>
            </w:rPr>
            <m:t>x</m:t>
          </m:r>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H</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B</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C</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oMath>
      </m:oMathPara>
    </w:p>
    <w:p w14:paraId="77A0F4DD">
      <w:pPr>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H</m:t>
            </m:r>
            <m:ctrlPr>
              <w:rPr>
                <w:rFonts w:hint="default" w:ascii="Cambria Math" w:hAnsi="Cambria Math" w:cs="Times New Roman"/>
                <w:sz w:val="24"/>
                <w:u w:val="none"/>
              </w:rPr>
            </m:ctrlPr>
          </m:sub>
        </m:sSub>
      </m:oMath>
      <w:r>
        <w:rPr>
          <w:rFonts w:hint="default" w:ascii="Times New Roman" w:hAnsi="Times New Roman" w:cs="Times New Roman"/>
        </w:rPr>
        <w:t xml:space="preserve"> 为热源特征，</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B</m:t>
            </m:r>
            <m:ctrlPr>
              <w:rPr>
                <w:rFonts w:hint="default" w:ascii="Cambria Math" w:hAnsi="Cambria Math" w:cs="Times New Roman"/>
                <w:sz w:val="24"/>
                <w:u w:val="none"/>
              </w:rPr>
            </m:ctrlPr>
          </m:sub>
        </m:sSub>
      </m:oMath>
      <w:r>
        <w:rPr>
          <w:rFonts w:hint="default" w:ascii="Times New Roman" w:hAnsi="Times New Roman" w:cs="Times New Roman"/>
        </w:rPr>
        <w:t xml:space="preserve"> 为建筑特征（包括设施类别），</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x</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C</m:t>
            </m:r>
            <m:ctrlPr>
              <w:rPr>
                <w:rFonts w:hint="default" w:ascii="Cambria Math" w:hAnsi="Cambria Math" w:cs="Times New Roman"/>
                <w:sz w:val="24"/>
                <w:u w:val="none"/>
              </w:rPr>
            </m:ctrlPr>
          </m:sub>
        </m:sSub>
      </m:oMath>
      <w:r>
        <w:rPr>
          <w:rFonts w:hint="default" w:ascii="Times New Roman" w:hAnsi="Times New Roman" w:cs="Times New Roman"/>
        </w:rPr>
        <w:t xml:space="preserve"> 为可燃物与敏感目标特征。对于包含 </w:t>
      </w:r>
      <m:oMath>
        <m:r>
          <m:rPr>
            <m:nor/>
          </m:rPr>
          <w:rPr>
            <w:rFonts w:hint="default" w:ascii="Times New Roman" w:hAnsi="Times New Roman" w:cs="Times New Roman"/>
            <w:i/>
            <w:sz w:val="24"/>
            <w:u w:val="none"/>
          </w:rPr>
          <m:t>T</m:t>
        </m:r>
      </m:oMath>
      <w:r>
        <w:rPr>
          <w:rFonts w:hint="default" w:ascii="Times New Roman" w:hAnsi="Times New Roman" w:cs="Times New Roman"/>
        </w:rPr>
        <w:t xml:space="preserve"> 棵树的回归森林，第 </w:t>
      </w:r>
      <m:oMath>
        <m:r>
          <m:rPr>
            <m:nor/>
          </m:rPr>
          <w:rPr>
            <w:rFonts w:hint="default" w:ascii="Times New Roman" w:hAnsi="Times New Roman" w:cs="Times New Roman"/>
            <w:i/>
            <w:sz w:val="24"/>
            <w:u w:val="none"/>
          </w:rPr>
          <m:t>t</m:t>
        </m:r>
      </m:oMath>
      <w:r>
        <w:rPr>
          <w:rFonts w:hint="default" w:ascii="Times New Roman" w:hAnsi="Times New Roman" w:cs="Times New Roman"/>
        </w:rPr>
        <w:t xml:space="preserve"> 棵树的输出记为 </w:t>
      </w:r>
      <m:oMath>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f</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r>
          <m:rPr>
            <m:nor/>
            <m:sty m:val="bi"/>
          </m:rPr>
          <w:rPr>
            <w:rFonts w:hint="default" w:ascii="Times New Roman" w:hAnsi="Times New Roman" w:cs="Times New Roman"/>
            <w:b/>
            <w:i/>
            <w:sz w:val="24"/>
            <w:u w:val="none"/>
          </w:rPr>
          <m:t>x</m:t>
        </m:r>
        <m:r>
          <m:rPr>
            <m:nor/>
            <m:sty m:val="p"/>
          </m:rPr>
          <w:rPr>
            <w:rFonts w:hint="default" w:ascii="Times New Roman" w:hAnsi="Times New Roman" w:cs="Times New Roman"/>
            <w:b w:val="0"/>
            <w:i w:val="0"/>
            <w:sz w:val="24"/>
            <w:u w:val="none"/>
          </w:rPr>
          <m:t>)</m:t>
        </m:r>
      </m:oMath>
      <w:r>
        <w:rPr>
          <w:rFonts w:hint="default" w:ascii="Times New Roman" w:hAnsi="Times New Roman" w:cs="Times New Roman"/>
        </w:rPr>
        <w:t>，连续预测值为：</w:t>
      </w:r>
    </w:p>
    <w:p w14:paraId="5B4CE497">
      <w:pPr>
        <w:ind w:firstLine="480"/>
        <w:rPr>
          <w:rFonts w:hint="default" w:ascii="Times New Roman" w:hAnsi="Times New Roman" w:cs="Times New Roman"/>
          <w:i w:val="0"/>
          <w:color w:val="000000"/>
          <w:kern w:val="2"/>
          <w:sz w:val="24"/>
          <w:szCs w:val="24"/>
          <w:u w:val="none"/>
          <w:lang w:val="en-US" w:bidi="ar-SA"/>
        </w:rPr>
      </w:pPr>
      <m:oMathPara>
        <m:oMath>
          <m:sSubSup>
            <m:sSubSupPr>
              <m:ctrlPr>
                <w:rPr>
                  <w:rFonts w:hint="default" w:ascii="Cambria Math" w:hAnsi="Cambria Math" w:cs="Times New Roman"/>
                  <w:sz w:val="24"/>
                  <w:u w:val="none"/>
                </w:rPr>
              </m:ctrlPr>
            </m:sSubSup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ctrlPr>
                <w:rPr>
                  <w:rFonts w:hint="default" w:ascii="Cambria Math" w:hAnsi="Cambria Math" w:cs="Times New Roman"/>
                  <w:sz w:val="24"/>
                  <w:u w:val="none"/>
                </w:rPr>
              </m:ctrlPr>
            </m:sub>
            <m:sup>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R</m:t>
              </m:r>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sup>
          </m:sSubSup>
          <m:r>
            <m:rPr>
              <m:nor/>
              <m:sty m:val="p"/>
            </m:rPr>
            <w:rPr>
              <w:rFonts w:hint="default" w:ascii="Times New Roman" w:hAnsi="Times New Roman" w:cs="Times New Roman"/>
              <w:b w:val="0"/>
              <w:i w:val="0"/>
              <w:sz w:val="24"/>
              <w:u w:val="none"/>
            </w:rPr>
            <m:t>=</m:t>
          </m:r>
          <m:f>
            <m:fPr>
              <m:ctrlPr>
                <w:rPr>
                  <w:rFonts w:hint="default" w:ascii="Cambria Math" w:hAnsi="Cambria Math" w:cs="Times New Roman"/>
                  <w:i/>
                  <w:sz w:val="24"/>
                  <w:u w:val="none"/>
                </w:rPr>
              </m:ctrlPr>
            </m:fPr>
            <m:num>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num>
            <m:den>
              <m:r>
                <m:rPr>
                  <m:nor/>
                </m:rPr>
                <w:rPr>
                  <w:rFonts w:hint="default" w:ascii="Times New Roman" w:hAnsi="Times New Roman" w:cs="Times New Roman"/>
                  <w:i/>
                  <w:sz w:val="24"/>
                  <w:u w:val="none"/>
                </w:rPr>
                <m:t>T</m:t>
              </m:r>
              <m:ctrlPr>
                <w:rPr>
                  <w:rFonts w:hint="default" w:ascii="Cambria Math" w:hAnsi="Cambria Math" w:cs="Times New Roman"/>
                  <w:sz w:val="24"/>
                  <w:u w:val="none"/>
                </w:rPr>
              </m:ctrlPr>
            </m:den>
          </m:f>
          <m:nary>
            <m:naryPr>
              <m:chr m:val="∑"/>
              <m:limLoc m:val="undOvr"/>
              <m:ctrlPr>
                <w:rPr>
                  <w:rFonts w:hint="default" w:ascii="Cambria Math" w:hAnsi="Cambria Math" w:cs="Times New Roman"/>
                  <w:i/>
                  <w:sz w:val="24"/>
                  <w:u w:val="none"/>
                </w:rPr>
              </m:ctrlPr>
            </m:naryPr>
            <m:sub>
              <m:r>
                <m:rPr>
                  <m:nor/>
                </m:rPr>
                <w:rPr>
                  <w:rFonts w:hint="default" w:ascii="Times New Roman" w:hAnsi="Times New Roman" w:cs="Times New Roman"/>
                  <w:i/>
                  <w:sz w:val="24"/>
                  <w:u w:val="none"/>
                </w:rPr>
                <m:t>t</m:t>
              </m:r>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sub>
            <m:sup>
              <m:r>
                <m:rPr>
                  <m:nor/>
                </m:rPr>
                <w:rPr>
                  <w:rFonts w:hint="default" w:ascii="Times New Roman" w:hAnsi="Times New Roman" w:cs="Times New Roman"/>
                  <w:i/>
                  <w:sz w:val="24"/>
                  <w:u w:val="none"/>
                </w:rPr>
                <m:t>T</m:t>
              </m:r>
              <m:ctrlPr>
                <w:rPr>
                  <w:rFonts w:hint="default" w:ascii="Cambria Math" w:hAnsi="Cambria Math" w:cs="Times New Roman"/>
                  <w:sz w:val="24"/>
                  <w:u w:val="none"/>
                </w:rPr>
              </m:ctrlPr>
            </m:sup>
            <m:e>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f</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sz w:val="24"/>
                      <w:u w:val="none"/>
                    </w:rPr>
                  </m:ctrlPr>
                </m:sub>
              </m:sSub>
              <m:ctrlPr>
                <w:rPr>
                  <w:rFonts w:hint="default" w:ascii="Cambria Math" w:hAnsi="Cambria Math" w:cs="Times New Roman"/>
                  <w:sz w:val="24"/>
                  <w:u w:val="none"/>
                </w:rPr>
              </m:ctrlPr>
            </m:e>
          </m:nary>
          <m:r>
            <m:rPr>
              <m:nor/>
              <m:sty m:val="p"/>
            </m:rPr>
            <w:rPr>
              <w:rFonts w:hint="default" w:ascii="Times New Roman" w:hAnsi="Times New Roman" w:cs="Times New Roman"/>
              <w:b w:val="0"/>
              <w:i w:val="0"/>
              <w:sz w:val="24"/>
              <w:u w:val="none"/>
            </w:rPr>
            <m:t>(</m:t>
          </m:r>
          <m:r>
            <m:rPr>
              <m:nor/>
              <m:sty m:val="bi"/>
            </m:rPr>
            <w:rPr>
              <w:rFonts w:hint="default" w:ascii="Times New Roman" w:hAnsi="Times New Roman" w:cs="Times New Roman"/>
              <w:b/>
              <w:i/>
              <w:sz w:val="24"/>
              <w:u w:val="none"/>
            </w:rPr>
            <m:t>x</m:t>
          </m:r>
          <m:r>
            <m:rPr>
              <m:nor/>
              <m:sty m:val="p"/>
            </m:rPr>
            <w:rPr>
              <w:rFonts w:hint="default" w:ascii="Times New Roman" w:hAnsi="Times New Roman" w:cs="Times New Roman"/>
              <w:b w:val="0"/>
              <w:i w:val="0"/>
              <w:sz w:val="24"/>
              <w:u w:val="none"/>
            </w:rPr>
            <m:t>)</m:t>
          </m:r>
        </m:oMath>
      </m:oMathPara>
    </w:p>
    <w:p w14:paraId="72D26352">
      <w:pPr>
        <w:ind w:firstLine="480"/>
        <w:rPr>
          <w:rFonts w:hint="default" w:ascii="Times New Roman" w:hAnsi="Times New Roman" w:cs="Times New Roman"/>
        </w:rPr>
      </w:pPr>
      <w:r>
        <w:rPr>
          <w:rFonts w:hint="default" w:ascii="Times New Roman" w:hAnsi="Times New Roman" w:cs="Times New Roman"/>
        </w:rPr>
        <w:t>回归结果限制在 [0,1] 范围内，以保持 Dk 的取值约束。</w:t>
      </w:r>
    </w:p>
    <w:p w14:paraId="2C8CE53A">
      <w:pPr>
        <w:pStyle w:val="3"/>
        <w:rPr>
          <w:rFonts w:hint="default" w:ascii="Times New Roman" w:hAnsi="Times New Roman" w:cs="Times New Roman"/>
        </w:rPr>
      </w:pPr>
      <w:bookmarkStart w:id="18" w:name="_Toc20400"/>
      <w:r>
        <w:rPr>
          <w:rFonts w:hint="default" w:ascii="Times New Roman" w:hAnsi="Times New Roman" w:cs="Times New Roman"/>
          <w:lang w:eastAsia="zh-CN"/>
        </w:rPr>
        <w:t>HS</w:t>
      </w:r>
      <w:r>
        <w:rPr>
          <w:rFonts w:hint="default" w:ascii="Times New Roman" w:hAnsi="Times New Roman" w:cs="Times New Roman"/>
        </w:rPr>
        <w:t>分类</w:t>
      </w:r>
      <w:bookmarkEnd w:id="18"/>
    </w:p>
    <w:p w14:paraId="682DDFDD">
      <w:pPr>
        <w:ind w:firstLine="480"/>
        <w:rPr>
          <w:rFonts w:hint="default" w:ascii="Times New Roman" w:hAnsi="Times New Roman" w:cs="Times New Roman"/>
        </w:rPr>
      </w:pPr>
      <w:r>
        <w:rPr>
          <w:rFonts w:hint="default" w:ascii="Times New Roman" w:hAnsi="Times New Roman" w:cs="Times New Roman"/>
        </w:rPr>
        <w:t>分类森林直接学习四个</w:t>
      </w:r>
      <w:r>
        <w:rPr>
          <w:rFonts w:hint="default" w:ascii="Times New Roman" w:hAnsi="Times New Roman" w:cs="Times New Roman"/>
          <w:lang w:eastAsia="zh-CN"/>
        </w:rPr>
        <w:t>HS</w:t>
      </w:r>
      <w:r>
        <w:rPr>
          <w:rFonts w:hint="default" w:ascii="Times New Roman" w:hAnsi="Times New Roman" w:cs="Times New Roman"/>
        </w:rPr>
        <w:t xml:space="preserve">等级。第 </w:t>
      </w:r>
      <m:oMath>
        <m:r>
          <m:rPr>
            <m:nor/>
          </m:rPr>
          <w:rPr>
            <w:rFonts w:hint="default" w:ascii="Times New Roman" w:hAnsi="Times New Roman" w:cs="Times New Roman"/>
            <w:i/>
            <w:sz w:val="24"/>
            <w:u w:val="none"/>
          </w:rPr>
          <m:t>t</m:t>
        </m:r>
      </m:oMath>
      <w:r>
        <w:rPr>
          <w:rFonts w:hint="default" w:ascii="Times New Roman" w:hAnsi="Times New Roman" w:cs="Times New Roman"/>
        </w:rPr>
        <w:t xml:space="preserve"> 棵分类树的输出记为 </w:t>
      </w:r>
      <m:oMath>
        <m:sSub>
          <m:sSubPr>
            <m:ctrlPr>
              <w:rPr>
                <w:rFonts w:hint="default" w:ascii="Cambria Math" w:hAnsi="Cambria Math" w:cs="Times New Roman"/>
                <w:sz w:val="24"/>
                <w:u w:val="none"/>
              </w:rPr>
            </m:ctrlPr>
          </m:sSubPr>
          <m:e>
            <m:r>
              <m:rPr>
                <m:nor/>
                <m:sty m:val="p"/>
              </m:rPr>
              <w:rPr>
                <w:rFonts w:hint="default" w:ascii="Times New Roman" w:hAnsi="Times New Roman" w:cs="Times New Roman"/>
                <w:b w:val="0"/>
                <w:i w:val="0"/>
                <w:sz w:val="24"/>
                <w:u w:val="none"/>
              </w:rPr>
              <m:t>h</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x</m:t>
        </m:r>
        <m:r>
          <m:rPr>
            <m:nor/>
            <m:sty m:val="p"/>
          </m:rPr>
          <w:rPr>
            <w:rFonts w:hint="default" w:ascii="Times New Roman" w:hAnsi="Times New Roman" w:cs="Times New Roman"/>
            <w:b w:val="0"/>
            <w:i w:val="0"/>
            <w:sz w:val="24"/>
            <w:u w:val="none"/>
          </w:rPr>
          <m:t>)</m:t>
        </m:r>
      </m:oMath>
      <w:r>
        <w:rPr>
          <w:rFonts w:hint="default" w:ascii="Times New Roman" w:hAnsi="Times New Roman" w:cs="Times New Roman"/>
        </w:rPr>
        <w:t>，最终等级由多树投票确定：</w:t>
      </w:r>
    </w:p>
    <w:p w14:paraId="4EA9EFCE">
      <w:pPr>
        <w:ind w:firstLine="480"/>
        <w:rPr>
          <w:rFonts w:hint="default" w:ascii="Times New Roman" w:hAnsi="Times New Roman" w:cs="Times New Roman"/>
        </w:rPr>
      </w:pPr>
      <m:oMathPara>
        <m:oMath>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r>
            <m:rPr>
              <m:nor/>
              <m:sty m:val="p"/>
            </m:rPr>
            <w:rPr>
              <w:rFonts w:hint="default" w:ascii="Times New Roman" w:hAnsi="Times New Roman" w:cs="Times New Roman"/>
              <w:b w:val="0"/>
              <w:i w:val="0"/>
              <w:sz w:val="24"/>
              <w:u w:val="none"/>
            </w:rPr>
            <m:t>=</m:t>
          </m:r>
          <m:func>
            <m:funcPr>
              <m:ctrlPr>
                <w:rPr>
                  <w:rFonts w:hint="default" w:ascii="Cambria Math" w:hAnsi="Cambria Math" w:cs="Times New Roman"/>
                  <w:sz w:val="24"/>
                  <w:u w:val="none"/>
                </w:rPr>
              </m:ctrlPr>
            </m:funcPr>
            <m:fName>
              <m:r>
                <m:rPr>
                  <m:nor/>
                </m:rPr>
                <w:rPr>
                  <w:rFonts w:hint="default" w:ascii="Times New Roman" w:hAnsi="Times New Roman" w:cs="Times New Roman"/>
                  <w:i/>
                  <w:sz w:val="24"/>
                  <w:u w:val="none"/>
                </w:rPr>
                <m:t>arg</m:t>
              </m:r>
              <m:ctrlPr>
                <w:rPr>
                  <w:rFonts w:hint="default" w:ascii="Cambria Math" w:hAnsi="Cambria Math" w:cs="Times New Roman"/>
                  <w:sz w:val="24"/>
                  <w:u w:val="none"/>
                </w:rPr>
              </m:ctrlPr>
            </m:fName>
            <m:e>
              <m:func>
                <m:funcPr>
                  <m:ctrlPr>
                    <w:rPr>
                      <w:rFonts w:hint="default" w:ascii="Cambria Math" w:hAnsi="Cambria Math" w:cs="Times New Roman"/>
                      <w:sz w:val="24"/>
                      <w:u w:val="none"/>
                    </w:rPr>
                  </m:ctrlPr>
                </m:funcPr>
                <m:fName>
                  <m:limLow>
                    <m:limLowPr>
                      <m:ctrlPr>
                        <w:rPr>
                          <w:rFonts w:hint="default" w:ascii="Cambria Math" w:hAnsi="Cambria Math" w:cs="Times New Roman"/>
                          <w:sz w:val="24"/>
                          <w:u w:val="none"/>
                        </w:rPr>
                      </m:ctrlPr>
                    </m:limLowPr>
                    <m:e>
                      <m:r>
                        <m:rPr>
                          <m:nor/>
                          <m:sty m:val="p"/>
                        </m:rPr>
                        <w:rPr>
                          <w:rFonts w:hint="default" w:ascii="Times New Roman" w:hAnsi="Times New Roman" w:cs="Times New Roman"/>
                          <w:b w:val="0"/>
                          <w:i w:val="0"/>
                          <w:sz w:val="24"/>
                          <w:u w:val="none"/>
                        </w:rPr>
                        <m:t>max</m:t>
                      </m:r>
                      <m:ctrlPr>
                        <w:rPr>
                          <w:rFonts w:hint="default" w:ascii="Cambria Math" w:hAnsi="Cambria Math" w:cs="Times New Roman"/>
                          <w:sz w:val="24"/>
                          <w:u w:val="none"/>
                        </w:rPr>
                      </m:ctrlPr>
                    </m:e>
                    <m:lim>
                      <m:r>
                        <m:rPr>
                          <m:nor/>
                        </m:rPr>
                        <w:rPr>
                          <w:rFonts w:hint="default" w:ascii="Times New Roman" w:hAnsi="Times New Roman" w:cs="Times New Roman"/>
                          <w:i/>
                          <w:sz w:val="24"/>
                          <w:u w:val="none"/>
                        </w:rPr>
                        <m:t>c</m:t>
                      </m:r>
                      <m:r>
                        <m:rPr>
                          <m:nor/>
                          <m:sty m:val="p"/>
                        </m:rPr>
                        <w:rPr>
                          <w:rFonts w:hint="default" w:ascii="Times New Roman" w:hAnsi="Times New Roman" w:cs="Times New Roman"/>
                          <w:b w:val="0"/>
                          <w:i w:val="0"/>
                          <w:sz w:val="24"/>
                          <w:u w:val="none"/>
                        </w:rPr>
                        <m:t>∈{0,1,2,3}</m:t>
                      </m:r>
                      <m:ctrlPr>
                        <w:rPr>
                          <w:rFonts w:hint="default" w:ascii="Cambria Math" w:hAnsi="Cambria Math" w:cs="Times New Roman"/>
                          <w:sz w:val="24"/>
                          <w:u w:val="none"/>
                        </w:rPr>
                      </m:ctrlPr>
                    </m:lim>
                  </m:limLow>
                  <m:ctrlPr>
                    <w:rPr>
                      <w:rFonts w:hint="default" w:ascii="Cambria Math" w:hAnsi="Cambria Math" w:cs="Times New Roman"/>
                      <w:sz w:val="24"/>
                      <w:u w:val="none"/>
                    </w:rPr>
                  </m:ctrlPr>
                </m:fName>
                <m:e>
                  <m:nary>
                    <m:naryPr>
                      <m:chr m:val="∑"/>
                      <m:limLoc m:val="undOvr"/>
                      <m:ctrlPr>
                        <w:rPr>
                          <w:rFonts w:hint="default" w:ascii="Cambria Math" w:hAnsi="Cambria Math" w:cs="Times New Roman"/>
                          <w:i/>
                          <w:sz w:val="24"/>
                          <w:u w:val="none"/>
                        </w:rPr>
                      </m:ctrlPr>
                    </m:naryPr>
                    <m:sub>
                      <m:r>
                        <m:rPr>
                          <m:nor/>
                        </m:rPr>
                        <w:rPr>
                          <w:rFonts w:hint="default" w:ascii="Times New Roman" w:hAnsi="Times New Roman" w:cs="Times New Roman"/>
                          <w:i/>
                          <w:sz w:val="24"/>
                          <w:u w:val="none"/>
                        </w:rPr>
                        <m:t>t</m:t>
                      </m:r>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sub>
                    <m:sup>
                      <m:r>
                        <m:rPr>
                          <m:nor/>
                        </m:rPr>
                        <w:rPr>
                          <w:rFonts w:hint="default" w:ascii="Times New Roman" w:hAnsi="Times New Roman" w:cs="Times New Roman"/>
                          <w:i/>
                          <w:sz w:val="24"/>
                          <w:u w:val="none"/>
                        </w:rPr>
                        <m:t>T</m:t>
                      </m:r>
                      <m:ctrlPr>
                        <w:rPr>
                          <w:rFonts w:hint="default" w:ascii="Cambria Math" w:hAnsi="Cambria Math" w:cs="Times New Roman"/>
                          <w:sz w:val="24"/>
                          <w:u w:val="none"/>
                        </w:rPr>
                      </m:ctrlPr>
                    </m:sup>
                    <m:e>
                      <m:r>
                        <m:rPr>
                          <m:nor/>
                          <m:sty m:val="b"/>
                        </m:rPr>
                        <w:rPr>
                          <w:rFonts w:hint="default" w:ascii="Times New Roman" w:hAnsi="Times New Roman" w:cs="Times New Roman"/>
                          <w:b/>
                          <w:i w:val="0"/>
                          <w:sz w:val="24"/>
                          <w:u w:val="none"/>
                        </w:rPr>
                        <m:t>1</m:t>
                      </m:r>
                      <m:ctrlPr>
                        <w:rPr>
                          <w:rFonts w:hint="default" w:ascii="Cambria Math" w:hAnsi="Cambria Math" w:cs="Times New Roman"/>
                          <w:sz w:val="24"/>
                          <w:u w:val="none"/>
                        </w:rPr>
                      </m:ctrlPr>
                    </m:e>
                  </m:nary>
                  <m:ctrlPr>
                    <w:rPr>
                      <w:rFonts w:hint="default" w:ascii="Cambria Math" w:hAnsi="Cambria Math" w:cs="Times New Roman"/>
                      <w:i/>
                      <w:sz w:val="24"/>
                      <w:u w:val="none"/>
                    </w:rPr>
                  </m:ctrlPr>
                </m:e>
              </m:func>
              <m:ctrlPr>
                <w:rPr>
                  <w:rFonts w:hint="default" w:ascii="Cambria Math" w:hAnsi="Cambria Math" w:cs="Times New Roman"/>
                  <w:sz w:val="24"/>
                  <w:u w:val="none"/>
                </w:rPr>
              </m:ctrlPr>
            </m:e>
          </m:func>
          <m:d>
            <m:dPr>
              <m:begChr m:val="["/>
              <m:endChr m:val="]"/>
              <m:ctrlPr>
                <w:rPr>
                  <w:rFonts w:hint="default" w:ascii="Cambria Math" w:hAnsi="Cambria Math" w:cs="Times New Roman"/>
                  <w:i/>
                  <w:sz w:val="24"/>
                  <w:u w:val="none"/>
                </w:rPr>
              </m:ctrlPr>
            </m:dPr>
            <m:e>
              <m:sSub>
                <m:sSubPr>
                  <m:ctrlPr>
                    <w:rPr>
                      <w:rFonts w:hint="default" w:ascii="Cambria Math" w:hAnsi="Cambria Math" w:cs="Times New Roman"/>
                      <w:sz w:val="24"/>
                      <w:u w:val="none"/>
                    </w:rPr>
                  </m:ctrlPr>
                </m:sSubPr>
                <m:e>
                  <m:r>
                    <m:rPr>
                      <m:nor/>
                      <m:sty m:val="p"/>
                    </m:rPr>
                    <w:rPr>
                      <w:rFonts w:hint="default" w:ascii="Times New Roman" w:hAnsi="Times New Roman" w:cs="Times New Roman"/>
                      <w:b w:val="0"/>
                      <w:i w:val="0"/>
                      <w:sz w:val="24"/>
                      <w:u w:val="none"/>
                    </w:rPr>
                    <m:t>h</m:t>
                  </m:r>
                  <m:ctrlPr>
                    <w:rPr>
                      <w:rFonts w:hint="default" w:ascii="Cambria Math" w:hAnsi="Cambria Math" w:cs="Times New Roman"/>
                      <w:i/>
                      <w:sz w:val="24"/>
                      <w:u w:val="none"/>
                    </w:rPr>
                  </m:ctrlPr>
                </m:e>
                <m:sub>
                  <m:r>
                    <m:rPr>
                      <m:nor/>
                    </m:rPr>
                    <w:rPr>
                      <w:rFonts w:hint="default" w:ascii="Times New Roman" w:hAnsi="Times New Roman" w:cs="Times New Roman"/>
                      <w:i/>
                      <w:sz w:val="24"/>
                      <w:u w:val="none"/>
                    </w:rPr>
                    <m:t>t</m:t>
                  </m:r>
                  <m:ctrlPr>
                    <w:rPr>
                      <w:rFonts w:hint="default" w:ascii="Cambria Math" w:hAnsi="Cambria Math" w:cs="Times New Roman"/>
                      <w:i/>
                      <w:sz w:val="24"/>
                      <w:u w:val="none"/>
                    </w:rPr>
                  </m:ctrlPr>
                </m:sub>
              </m:sSub>
              <m:r>
                <m:rPr>
                  <m:nor/>
                  <m:sty m:val="p"/>
                </m:rPr>
                <w:rPr>
                  <w:rFonts w:hint="default" w:ascii="Times New Roman" w:hAnsi="Times New Roman" w:cs="Times New Roman"/>
                  <w:b w:val="0"/>
                  <w:i w:val="0"/>
                  <w:sz w:val="24"/>
                  <w:u w:val="none"/>
                </w:rPr>
                <m:t>(</m:t>
              </m:r>
              <m:r>
                <m:rPr>
                  <m:nor/>
                  <m:sty m:val="bi"/>
                </m:rPr>
                <w:rPr>
                  <w:rFonts w:hint="default" w:ascii="Times New Roman" w:hAnsi="Times New Roman" w:cs="Times New Roman"/>
                  <w:b/>
                  <w:i/>
                  <w:sz w:val="24"/>
                  <w:u w:val="none"/>
                </w:rPr>
                <m:t>x</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c</m:t>
              </m:r>
              <m:ctrlPr>
                <w:rPr>
                  <w:rFonts w:hint="default" w:ascii="Cambria Math" w:hAnsi="Cambria Math" w:cs="Times New Roman"/>
                  <w:sz w:val="24"/>
                  <w:u w:val="none"/>
                </w:rPr>
              </m:ctrlPr>
            </m:e>
          </m:d>
        </m:oMath>
      </m:oMathPara>
    </w:p>
    <w:p w14:paraId="320320B7">
      <w:pPr>
        <w:rPr>
          <w:rFonts w:hint="default" w:ascii="Times New Roman" w:hAnsi="Times New Roman" w:cs="Times New Roman"/>
        </w:rPr>
      </w:pPr>
      <w:r>
        <w:rPr>
          <w:rFonts w:hint="default" w:ascii="Times New Roman" w:hAnsi="Times New Roman" w:cs="Times New Roman"/>
        </w:rPr>
        <w:t>分类任务采用信息熵作为节点分裂准则，并根据四个等级的样本数量进行类别平衡，使轻微破坏和严重破坏样本能够参与有效分裂。</w:t>
      </w:r>
    </w:p>
    <w:p w14:paraId="5231E54A">
      <w:pPr>
        <w:pStyle w:val="3"/>
        <w:rPr>
          <w:rFonts w:hint="default" w:ascii="Times New Roman" w:hAnsi="Times New Roman" w:cs="Times New Roman"/>
        </w:rPr>
      </w:pPr>
      <w:bookmarkStart w:id="19" w:name="_Toc6433"/>
      <w:r>
        <w:rPr>
          <w:rFonts w:hint="default" w:ascii="Times New Roman" w:hAnsi="Times New Roman" w:cs="Times New Roman"/>
        </w:rPr>
        <w:t>等级一致性约束</w:t>
      </w:r>
      <w:bookmarkEnd w:id="19"/>
    </w:p>
    <w:p w14:paraId="77CD6916">
      <w:pPr>
        <w:rPr>
          <w:rFonts w:hint="default" w:ascii="Times New Roman" w:hAnsi="Times New Roman" w:cs="Times New Roman"/>
        </w:rPr>
      </w:pPr>
      <w:r>
        <w:rPr>
          <w:rFonts w:hint="default" w:ascii="Times New Roman" w:hAnsi="Times New Roman" w:cs="Times New Roman"/>
        </w:rPr>
        <w:t xml:space="preserve">设分类结果 </w:t>
      </w:r>
      <m:oMath>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oMath>
      <w:r>
        <w:rPr>
          <w:rFonts w:hint="default" w:ascii="Times New Roman" w:hAnsi="Times New Roman" w:cs="Times New Roman"/>
        </w:rPr>
        <w:t xml:space="preserve"> 对应的 Dk 合法区间为 </w:t>
      </w:r>
      <m:oMath>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L</m:t>
            </m:r>
            <m:ctrlPr>
              <w:rPr>
                <w:rFonts w:hint="default" w:ascii="Cambria Math" w:hAnsi="Cambria Math" w:cs="Times New Roman"/>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U</m:t>
            </m:r>
            <m:ctrlPr>
              <w:rPr>
                <w:rFonts w:hint="default" w:ascii="Cambria Math" w:hAnsi="Cambria Math" w:cs="Times New Roman"/>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oMath>
      <w:r>
        <w:rPr>
          <w:rFonts w:hint="default" w:ascii="Times New Roman" w:hAnsi="Times New Roman" w:cs="Times New Roman"/>
        </w:rPr>
        <w:t>，最终连续值为：</w:t>
      </w:r>
    </w:p>
    <w:p w14:paraId="31A2B4B7">
      <w:pPr>
        <w:rPr>
          <w:rFonts w:hint="default" w:ascii="Times New Roman" w:hAnsi="Times New Roman" w:cs="Times New Roman"/>
        </w:rPr>
      </w:pPr>
      <m:oMathPara>
        <m:oMath>
          <m:sSub>
            <m:sSubPr>
              <m:ctrlPr>
                <w:rPr>
                  <w:rFonts w:hint="default" w:ascii="Cambria Math" w:hAnsi="Cambria Math" w:cs="Times New Roman"/>
                  <w:sz w:val="24"/>
                  <w:u w:val="none"/>
                </w:rPr>
              </m:ctrlPr>
            </m:sSub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func>
            <m:funcPr>
              <m:ctrlPr>
                <w:rPr>
                  <w:rFonts w:hint="default" w:ascii="Cambria Math" w:hAnsi="Cambria Math" w:cs="Times New Roman"/>
                  <w:sz w:val="24"/>
                  <w:u w:val="none"/>
                </w:rPr>
              </m:ctrlPr>
            </m:funcPr>
            <m:fName>
              <m:r>
                <m:rPr>
                  <m:nor/>
                  <m:sty m:val="p"/>
                </m:rPr>
                <w:rPr>
                  <w:rFonts w:hint="default" w:ascii="Times New Roman" w:hAnsi="Times New Roman" w:cs="Times New Roman"/>
                  <w:b w:val="0"/>
                  <w:i w:val="0"/>
                  <w:sz w:val="24"/>
                  <w:u w:val="none"/>
                </w:rPr>
                <m:t>min</m:t>
              </m:r>
              <m:ctrlPr>
                <w:rPr>
                  <w:rFonts w:hint="default" w:ascii="Cambria Math" w:hAnsi="Cambria Math" w:cs="Times New Roman"/>
                  <w:sz w:val="24"/>
                  <w:u w:val="none"/>
                </w:rPr>
              </m:ctrlPr>
            </m:fName>
            <m:e>
              <m:d>
                <m:dPr>
                  <m:ctrlPr>
                    <w:rPr>
                      <w:rFonts w:hint="default" w:ascii="Cambria Math" w:hAnsi="Cambria Math" w:cs="Times New Roman"/>
                      <w:i/>
                      <w:sz w:val="24"/>
                      <w:u w:val="none"/>
                    </w:rPr>
                  </m:ctrlPr>
                </m:dPr>
                <m:e>
                  <m:func>
                    <m:funcPr>
                      <m:ctrlPr>
                        <w:rPr>
                          <w:rFonts w:hint="default" w:ascii="Cambria Math" w:hAnsi="Cambria Math" w:cs="Times New Roman"/>
                          <w:sz w:val="24"/>
                          <w:u w:val="none"/>
                        </w:rPr>
                      </m:ctrlPr>
                    </m:funcPr>
                    <m:fName>
                      <m:r>
                        <m:rPr>
                          <m:nor/>
                          <m:sty m:val="p"/>
                        </m:rPr>
                        <w:rPr>
                          <w:rFonts w:hint="default" w:ascii="Times New Roman" w:hAnsi="Times New Roman" w:cs="Times New Roman"/>
                          <w:b w:val="0"/>
                          <w:i w:val="0"/>
                          <w:sz w:val="24"/>
                          <w:u w:val="none"/>
                        </w:rPr>
                        <m:t>max</m:t>
                      </m:r>
                      <m:ctrlPr>
                        <w:rPr>
                          <w:rFonts w:hint="default" w:ascii="Cambria Math" w:hAnsi="Cambria Math" w:cs="Times New Roman"/>
                          <w:sz w:val="24"/>
                          <w:u w:val="none"/>
                        </w:rPr>
                      </m:ctrlPr>
                    </m:fName>
                    <m:e>
                      <m:d>
                        <m:dPr>
                          <m:ctrlPr>
                            <w:rPr>
                              <w:rFonts w:hint="default" w:ascii="Cambria Math" w:hAnsi="Cambria Math" w:cs="Times New Roman"/>
                              <w:i/>
                              <w:sz w:val="24"/>
                              <w:u w:val="none"/>
                            </w:rPr>
                          </m:ctrlPr>
                        </m:dPr>
                        <m:e>
                          <m:sSubSup>
                            <m:sSubSupPr>
                              <m:ctrlPr>
                                <w:rPr>
                                  <w:rFonts w:hint="default" w:ascii="Cambria Math" w:hAnsi="Cambria Math" w:cs="Times New Roman"/>
                                  <w:sz w:val="24"/>
                                  <w:u w:val="none"/>
                                </w:rPr>
                              </m:ctrlPr>
                            </m:sSubSup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ctrlPr>
                                <w:rPr>
                                  <w:rFonts w:hint="default" w:ascii="Cambria Math" w:hAnsi="Cambria Math" w:cs="Times New Roman"/>
                                  <w:sz w:val="24"/>
                                  <w:u w:val="none"/>
                                </w:rPr>
                              </m:ctrlPr>
                            </m:sub>
                            <m:sup>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R</m:t>
                              </m:r>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sup>
                          </m:sSubSup>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L</m:t>
                              </m:r>
                              <m:ctrlPr>
                                <w:rPr>
                                  <w:rFonts w:hint="default" w:ascii="Cambria Math" w:hAnsi="Cambria Math" w:cs="Times New Roman"/>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ctrlPr>
                            <w:rPr>
                              <w:rFonts w:hint="default" w:ascii="Cambria Math" w:hAnsi="Cambria Math" w:cs="Times New Roman"/>
                              <w:sz w:val="24"/>
                              <w:u w:val="none"/>
                            </w:rPr>
                          </m:ctrlPr>
                        </m:e>
                      </m:d>
                      <m:ctrlPr>
                        <w:rPr>
                          <w:rFonts w:hint="default" w:ascii="Cambria Math" w:hAnsi="Cambria Math" w:cs="Times New Roman"/>
                          <w:i/>
                          <w:sz w:val="24"/>
                          <w:u w:val="none"/>
                        </w:rPr>
                      </m:ctrlPr>
                    </m:e>
                  </m:func>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U</m:t>
                      </m:r>
                      <m:ctrlPr>
                        <w:rPr>
                          <w:rFonts w:hint="default" w:ascii="Cambria Math" w:hAnsi="Cambria Math" w:cs="Times New Roman"/>
                          <w:i/>
                          <w:sz w:val="24"/>
                          <w:u w:val="none"/>
                        </w:rPr>
                      </m:ctrlPr>
                    </m:e>
                    <m:sub>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g</m:t>
                          </m:r>
                          <m:ctrlPr>
                            <w:rPr>
                              <w:rFonts w:hint="default" w:ascii="Cambria Math" w:hAnsi="Cambria Math" w:cs="Times New Roman"/>
                              <w:sz w:val="24"/>
                              <w:u w:val="none"/>
                            </w:rPr>
                          </m:ctrlPr>
                        </m:e>
                      </m:acc>
                      <m:ctrlPr>
                        <w:rPr>
                          <w:rFonts w:hint="default" w:ascii="Cambria Math" w:hAnsi="Cambria Math" w:cs="Times New Roman"/>
                          <w:sz w:val="24"/>
                          <w:u w:val="none"/>
                        </w:rPr>
                      </m:ctrlPr>
                    </m:sub>
                  </m:sSub>
                  <m:ctrlPr>
                    <w:rPr>
                      <w:rFonts w:hint="default" w:ascii="Cambria Math" w:hAnsi="Cambria Math" w:cs="Times New Roman"/>
                      <w:sz w:val="24"/>
                      <w:u w:val="none"/>
                    </w:rPr>
                  </m:ctrlPr>
                </m:e>
              </m:d>
              <m:ctrlPr>
                <w:rPr>
                  <w:rFonts w:hint="default" w:ascii="Cambria Math" w:hAnsi="Cambria Math" w:cs="Times New Roman"/>
                  <w:i/>
                  <w:sz w:val="24"/>
                  <w:u w:val="none"/>
                </w:rPr>
              </m:ctrlPr>
            </m:e>
          </m:func>
        </m:oMath>
      </m:oMathPara>
    </w:p>
    <w:p w14:paraId="36A697C9">
      <w:pPr>
        <w:rPr>
          <w:rFonts w:hint="default" w:ascii="Times New Roman" w:hAnsi="Times New Roman" w:cs="Times New Roman"/>
        </w:rPr>
      </w:pPr>
      <w:r>
        <w:rPr>
          <w:rFonts w:hint="default" w:ascii="Times New Roman" w:hAnsi="Times New Roman" w:cs="Times New Roman"/>
        </w:rPr>
        <w:t>该过程保留回归结果在等级区间内的连续差异，同时确保最终 Dk 与四级HS结果一致。例如分类森林判断为中等破坏时，最终 Dk 位于 [0.10,0.40)。</w:t>
      </w:r>
    </w:p>
    <w:p w14:paraId="561EB5D8">
      <w:pPr>
        <w:pStyle w:val="3"/>
        <w:rPr>
          <w:rFonts w:hint="default" w:ascii="Times New Roman" w:hAnsi="Times New Roman" w:cs="Times New Roman"/>
        </w:rPr>
      </w:pPr>
      <w:bookmarkStart w:id="20" w:name="_Toc674"/>
      <w:r>
        <w:rPr>
          <w:rFonts w:hint="default" w:ascii="Times New Roman" w:hAnsi="Times New Roman" w:cs="Times New Roman"/>
        </w:rPr>
        <w:t>模型</w:t>
      </w:r>
      <w:r>
        <w:rPr>
          <w:rFonts w:hint="default" w:ascii="Times New Roman" w:hAnsi="Times New Roman" w:cs="Times New Roman"/>
          <w:lang w:val="en-US" w:eastAsia="zh-CN"/>
        </w:rPr>
        <w:t>参数与树数选择</w:t>
      </w:r>
      <w:bookmarkEnd w:id="20"/>
    </w:p>
    <w:p w14:paraId="231C3910">
      <w:pPr>
        <w:rPr>
          <w:rFonts w:hint="default" w:ascii="Times New Roman" w:hAnsi="Times New Roman" w:cs="Times New Roman"/>
        </w:rPr>
      </w:pPr>
      <w:r>
        <w:rPr>
          <w:rFonts w:hint="default" w:ascii="Times New Roman" w:hAnsi="Times New Roman" w:cs="Times New Roman"/>
        </w:rPr>
        <w:t>为直观展示四种模型的结构差异，以下表格从网络类型、层数、参数量、特性四个维度进行对比分析。</w:t>
      </w:r>
    </w:p>
    <w:p w14:paraId="23335385">
      <w:pPr>
        <w:pStyle w:val="16"/>
        <w:bidi w:val="0"/>
        <w:rPr>
          <w:rFonts w:hint="default" w:ascii="Times New Roman" w:hAnsi="Times New Roman" w:eastAsia="宋体" w:cs="Times New Roman"/>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w:t>
      </w:r>
      <w:r>
        <w:rPr>
          <w:rFonts w:hint="default" w:ascii="Times New Roman" w:hAnsi="Times New Roman" w:cs="Times New Roman"/>
          <w:lang w:val="en-US" w:eastAsia="zh-CN"/>
        </w:rPr>
        <w:t>模型参数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002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25359E1D">
            <w:pPr>
              <w:pStyle w:val="54"/>
              <w:bidi w:val="0"/>
              <w:rPr>
                <w:rFonts w:hint="default" w:ascii="Times New Roman" w:hAnsi="Times New Roman" w:cs="Times New Roman"/>
                <w:b w:val="0"/>
              </w:rPr>
            </w:pPr>
            <w:r>
              <w:rPr>
                <w:rFonts w:hint="default" w:ascii="Times New Roman" w:hAnsi="Times New Roman" w:cs="Times New Roman"/>
                <w:b w:val="0"/>
              </w:rPr>
              <w:t>参数</w:t>
            </w:r>
          </w:p>
        </w:tc>
        <w:tc>
          <w:tcPr>
            <w:tcW w:w="2769" w:type="dxa"/>
            <w:tcBorders>
              <w:top w:val="single" w:color="000000" w:sz="12" w:space="0"/>
              <w:left w:val="nil"/>
              <w:bottom w:val="single" w:color="000000" w:sz="4" w:space="0"/>
              <w:right w:val="nil"/>
            </w:tcBorders>
            <w:shd w:val="clear" w:color="auto" w:fill="FFFFFF"/>
          </w:tcPr>
          <w:p w14:paraId="31838FA7">
            <w:pPr>
              <w:pStyle w:val="54"/>
              <w:bidi w:val="0"/>
              <w:rPr>
                <w:rFonts w:hint="default" w:ascii="Times New Roman" w:hAnsi="Times New Roman" w:cs="Times New Roman"/>
                <w:b w:val="0"/>
              </w:rPr>
            </w:pPr>
            <w:r>
              <w:rPr>
                <w:rFonts w:hint="default" w:ascii="Times New Roman" w:hAnsi="Times New Roman" w:cs="Times New Roman"/>
                <w:b w:val="0"/>
              </w:rPr>
              <w:t>Dk 回归森林</w:t>
            </w:r>
          </w:p>
        </w:tc>
        <w:tc>
          <w:tcPr>
            <w:tcW w:w="2769" w:type="dxa"/>
            <w:tcBorders>
              <w:top w:val="single" w:color="000000" w:sz="12" w:space="0"/>
              <w:left w:val="nil"/>
              <w:bottom w:val="single" w:color="000000" w:sz="4" w:space="0"/>
              <w:right w:val="nil"/>
            </w:tcBorders>
            <w:shd w:val="clear" w:color="auto" w:fill="FFFFFF"/>
          </w:tcPr>
          <w:p w14:paraId="0A0D5724">
            <w:pPr>
              <w:pStyle w:val="54"/>
              <w:bidi w:val="0"/>
              <w:rPr>
                <w:rFonts w:hint="default" w:ascii="Times New Roman" w:hAnsi="Times New Roman" w:cs="Times New Roman"/>
                <w:b w:val="0"/>
              </w:rPr>
            </w:pPr>
            <w:r>
              <w:rPr>
                <w:rFonts w:hint="default" w:ascii="Times New Roman" w:hAnsi="Times New Roman" w:cs="Times New Roman"/>
                <w:b w:val="0"/>
              </w:rPr>
              <w:t>等级分类森林</w:t>
            </w:r>
          </w:p>
        </w:tc>
      </w:tr>
      <w:tr w14:paraId="2A4A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tcPr>
          <w:p w14:paraId="05DF757D">
            <w:pPr>
              <w:pStyle w:val="54"/>
              <w:bidi w:val="0"/>
              <w:rPr>
                <w:rFonts w:hint="default" w:ascii="Times New Roman" w:hAnsi="Times New Roman" w:cs="Times New Roman"/>
                <w:b w:val="0"/>
              </w:rPr>
            </w:pPr>
            <w:r>
              <w:rPr>
                <w:rFonts w:hint="default" w:ascii="Times New Roman" w:hAnsi="Times New Roman" w:cs="Times New Roman"/>
                <w:b w:val="0"/>
              </w:rPr>
              <w:t>树数</w:t>
            </w:r>
          </w:p>
        </w:tc>
        <w:tc>
          <w:tcPr>
            <w:tcW w:w="2769" w:type="dxa"/>
            <w:tcBorders>
              <w:top w:val="single" w:color="000000" w:sz="4" w:space="0"/>
              <w:left w:val="nil"/>
              <w:bottom w:val="nil"/>
              <w:right w:val="nil"/>
            </w:tcBorders>
            <w:shd w:val="clear" w:color="auto" w:fill="FFFFFF"/>
            <w:vAlign w:val="top"/>
          </w:tcPr>
          <w:p w14:paraId="67A22239">
            <w:pPr>
              <w:pStyle w:val="54"/>
              <w:bidi w:val="0"/>
              <w:rPr>
                <w:rFonts w:hint="default"/>
              </w:rPr>
            </w:pPr>
            <w:r>
              <w:t>50</w:t>
            </w:r>
          </w:p>
        </w:tc>
        <w:tc>
          <w:tcPr>
            <w:tcW w:w="2769" w:type="dxa"/>
            <w:tcBorders>
              <w:top w:val="single" w:color="000000" w:sz="4" w:space="0"/>
              <w:left w:val="nil"/>
              <w:bottom w:val="nil"/>
              <w:right w:val="nil"/>
            </w:tcBorders>
            <w:shd w:val="clear" w:color="auto" w:fill="FFFFFF"/>
            <w:vAlign w:val="top"/>
          </w:tcPr>
          <w:p w14:paraId="523E4BD2">
            <w:pPr>
              <w:pStyle w:val="54"/>
              <w:bidi w:val="0"/>
              <w:rPr>
                <w:rFonts w:hint="default"/>
              </w:rPr>
            </w:pPr>
            <w:r>
              <w:t>50</w:t>
            </w:r>
          </w:p>
        </w:tc>
      </w:tr>
      <w:tr w14:paraId="713E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41744A75">
            <w:pPr>
              <w:pStyle w:val="54"/>
              <w:bidi w:val="0"/>
              <w:rPr>
                <w:rFonts w:hint="default" w:ascii="Times New Roman" w:hAnsi="Times New Roman" w:cs="Times New Roman"/>
                <w:b w:val="0"/>
              </w:rPr>
            </w:pPr>
            <w:r>
              <w:rPr>
                <w:rFonts w:hint="default" w:ascii="Times New Roman" w:hAnsi="Times New Roman" w:cs="Times New Roman"/>
                <w:b w:val="0"/>
              </w:rPr>
              <w:t>分裂准则</w:t>
            </w:r>
          </w:p>
        </w:tc>
        <w:tc>
          <w:tcPr>
            <w:tcW w:w="2769" w:type="dxa"/>
            <w:tcBorders>
              <w:top w:val="nil"/>
              <w:left w:val="nil"/>
              <w:bottom w:val="nil"/>
              <w:right w:val="nil"/>
            </w:tcBorders>
            <w:shd w:val="clear" w:color="auto" w:fill="FFFFFF"/>
          </w:tcPr>
          <w:p w14:paraId="3896498B">
            <w:pPr>
              <w:pStyle w:val="54"/>
              <w:bidi w:val="0"/>
              <w:rPr>
                <w:rFonts w:hint="default" w:ascii="Times New Roman" w:hAnsi="Times New Roman" w:cs="Times New Roman"/>
                <w:b w:val="0"/>
              </w:rPr>
            </w:pPr>
            <w:r>
              <w:rPr>
                <w:rFonts w:hint="default" w:ascii="Times New Roman" w:hAnsi="Times New Roman" w:cs="Times New Roman"/>
                <w:b w:val="0"/>
              </w:rPr>
              <w:t>平方误差</w:t>
            </w:r>
          </w:p>
        </w:tc>
        <w:tc>
          <w:tcPr>
            <w:tcW w:w="2769" w:type="dxa"/>
            <w:tcBorders>
              <w:top w:val="nil"/>
              <w:left w:val="nil"/>
              <w:bottom w:val="nil"/>
              <w:right w:val="nil"/>
            </w:tcBorders>
            <w:shd w:val="clear" w:color="auto" w:fill="FFFFFF"/>
          </w:tcPr>
          <w:p w14:paraId="4BCA2CBB">
            <w:pPr>
              <w:pStyle w:val="54"/>
              <w:bidi w:val="0"/>
              <w:rPr>
                <w:rFonts w:hint="default" w:ascii="Times New Roman" w:hAnsi="Times New Roman" w:cs="Times New Roman"/>
                <w:b w:val="0"/>
              </w:rPr>
            </w:pPr>
            <w:r>
              <w:rPr>
                <w:rFonts w:hint="default" w:ascii="Times New Roman" w:hAnsi="Times New Roman" w:cs="Times New Roman"/>
                <w:b w:val="0"/>
              </w:rPr>
              <w:t>信息熵</w:t>
            </w:r>
          </w:p>
        </w:tc>
      </w:tr>
      <w:tr w14:paraId="66E8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tcPr>
          <w:p w14:paraId="6AA2259B">
            <w:pPr>
              <w:pStyle w:val="54"/>
              <w:bidi w:val="0"/>
              <w:rPr>
                <w:rFonts w:hint="default" w:ascii="Times New Roman" w:hAnsi="Times New Roman" w:cs="Times New Roman"/>
                <w:b w:val="0"/>
              </w:rPr>
            </w:pPr>
            <w:r>
              <w:rPr>
                <w:rFonts w:hint="default" w:ascii="Times New Roman" w:hAnsi="Times New Roman" w:cs="Times New Roman"/>
                <w:b w:val="0"/>
              </w:rPr>
              <w:t>最大特征比例</w:t>
            </w:r>
          </w:p>
        </w:tc>
        <w:tc>
          <w:tcPr>
            <w:tcW w:w="2769" w:type="dxa"/>
            <w:tcBorders>
              <w:top w:val="nil"/>
              <w:left w:val="nil"/>
              <w:bottom w:val="nil"/>
              <w:right w:val="nil"/>
            </w:tcBorders>
            <w:shd w:val="clear" w:color="auto" w:fill="FFFFFF"/>
          </w:tcPr>
          <w:p w14:paraId="72A799CF">
            <w:pPr>
              <w:pStyle w:val="54"/>
              <w:bidi w:val="0"/>
              <w:rPr>
                <w:rFonts w:hint="default" w:ascii="Times New Roman" w:hAnsi="Times New Roman" w:cs="Times New Roman"/>
                <w:b w:val="0"/>
              </w:rPr>
            </w:pPr>
            <w:r>
              <w:rPr>
                <w:rFonts w:hint="default" w:ascii="Times New Roman" w:hAnsi="Times New Roman" w:cs="Times New Roman"/>
                <w:b w:val="0"/>
              </w:rPr>
              <w:t>1.0</w:t>
            </w:r>
          </w:p>
        </w:tc>
        <w:tc>
          <w:tcPr>
            <w:tcW w:w="2769" w:type="dxa"/>
            <w:tcBorders>
              <w:top w:val="nil"/>
              <w:left w:val="nil"/>
              <w:bottom w:val="nil"/>
              <w:right w:val="nil"/>
            </w:tcBorders>
            <w:shd w:val="clear" w:color="auto" w:fill="FFFFFF"/>
          </w:tcPr>
          <w:p w14:paraId="2520828D">
            <w:pPr>
              <w:pStyle w:val="54"/>
              <w:bidi w:val="0"/>
              <w:rPr>
                <w:rFonts w:hint="default" w:ascii="Times New Roman" w:hAnsi="Times New Roman" w:cs="Times New Roman"/>
                <w:b w:val="0"/>
              </w:rPr>
            </w:pPr>
            <w:r>
              <w:rPr>
                <w:rFonts w:hint="default" w:ascii="Times New Roman" w:hAnsi="Times New Roman" w:cs="Times New Roman"/>
                <w:b w:val="0"/>
              </w:rPr>
              <w:t>1.0</w:t>
            </w:r>
          </w:p>
        </w:tc>
      </w:tr>
      <w:tr w14:paraId="6686D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5C4404BC">
            <w:pPr>
              <w:pStyle w:val="54"/>
              <w:bidi w:val="0"/>
              <w:rPr>
                <w:rFonts w:hint="default" w:ascii="Times New Roman" w:hAnsi="Times New Roman" w:cs="Times New Roman"/>
                <w:b w:val="0"/>
              </w:rPr>
            </w:pPr>
            <w:r>
              <w:rPr>
                <w:rFonts w:hint="default" w:ascii="Times New Roman" w:hAnsi="Times New Roman" w:cs="Times New Roman"/>
                <w:b w:val="0"/>
              </w:rPr>
              <w:t>最小叶节点样本数</w:t>
            </w:r>
          </w:p>
        </w:tc>
        <w:tc>
          <w:tcPr>
            <w:tcW w:w="2769" w:type="dxa"/>
            <w:tcBorders>
              <w:top w:val="nil"/>
              <w:left w:val="nil"/>
              <w:bottom w:val="nil"/>
              <w:right w:val="nil"/>
            </w:tcBorders>
            <w:shd w:val="clear" w:color="auto" w:fill="FFFFFF"/>
          </w:tcPr>
          <w:p w14:paraId="2C26BA33">
            <w:pPr>
              <w:pStyle w:val="54"/>
              <w:bidi w:val="0"/>
              <w:rPr>
                <w:rFonts w:hint="default" w:ascii="Times New Roman" w:hAnsi="Times New Roman" w:cs="Times New Roman"/>
                <w:b w:val="0"/>
              </w:rPr>
            </w:pPr>
            <w:r>
              <w:rPr>
                <w:rFonts w:hint="default" w:ascii="Times New Roman" w:hAnsi="Times New Roman" w:cs="Times New Roman"/>
                <w:b w:val="0"/>
              </w:rPr>
              <w:t>1</w:t>
            </w:r>
          </w:p>
        </w:tc>
        <w:tc>
          <w:tcPr>
            <w:tcW w:w="2769" w:type="dxa"/>
            <w:tcBorders>
              <w:top w:val="nil"/>
              <w:left w:val="nil"/>
              <w:bottom w:val="nil"/>
              <w:right w:val="nil"/>
            </w:tcBorders>
            <w:shd w:val="clear" w:color="auto" w:fill="FFFFFF"/>
          </w:tcPr>
          <w:p w14:paraId="15F9DF70">
            <w:pPr>
              <w:pStyle w:val="54"/>
              <w:bidi w:val="0"/>
              <w:rPr>
                <w:rFonts w:hint="default" w:ascii="Times New Roman" w:hAnsi="Times New Roman" w:cs="Times New Roman"/>
                <w:b w:val="0"/>
              </w:rPr>
            </w:pPr>
            <w:r>
              <w:rPr>
                <w:rFonts w:hint="default" w:ascii="Times New Roman" w:hAnsi="Times New Roman" w:cs="Times New Roman"/>
                <w:b w:val="0"/>
              </w:rPr>
              <w:t>1</w:t>
            </w:r>
          </w:p>
        </w:tc>
      </w:tr>
      <w:tr w14:paraId="70D1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single" w:color="000000" w:sz="12" w:space="0"/>
              <w:right w:val="nil"/>
            </w:tcBorders>
            <w:shd w:val="clear" w:color="auto" w:fill="FFFFFF"/>
            <w:vAlign w:val="top"/>
          </w:tcPr>
          <w:p w14:paraId="346B456F">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类别平衡</w:t>
            </w:r>
          </w:p>
        </w:tc>
        <w:tc>
          <w:tcPr>
            <w:tcW w:w="2769" w:type="dxa"/>
            <w:tcBorders>
              <w:top w:val="nil"/>
              <w:left w:val="nil"/>
              <w:bottom w:val="single" w:color="000000" w:sz="12" w:space="0"/>
              <w:right w:val="nil"/>
            </w:tcBorders>
            <w:shd w:val="clear" w:color="auto" w:fill="FFFFFF"/>
            <w:vAlign w:val="top"/>
          </w:tcPr>
          <w:p w14:paraId="05ED7D79">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w:t>
            </w:r>
          </w:p>
        </w:tc>
        <w:tc>
          <w:tcPr>
            <w:tcW w:w="2769" w:type="dxa"/>
            <w:tcBorders>
              <w:top w:val="nil"/>
              <w:left w:val="nil"/>
              <w:bottom w:val="single" w:color="000000" w:sz="12" w:space="0"/>
              <w:right w:val="nil"/>
            </w:tcBorders>
            <w:shd w:val="clear" w:color="auto" w:fill="FFFFFF"/>
            <w:vAlign w:val="top"/>
          </w:tcPr>
          <w:p w14:paraId="50343AF4">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平衡权重</w:t>
            </w:r>
          </w:p>
        </w:tc>
      </w:tr>
    </w:tbl>
    <w:p w14:paraId="597FA0D6">
      <w:pPr>
        <w:pStyle w:val="47"/>
        <w:widowControl w:val="0"/>
        <w:autoSpaceDE/>
        <w:autoSpaceDN/>
        <w:snapToGrid w:val="0"/>
        <w:spacing w:line="640" w:lineRule="exact"/>
        <w:ind w:firstLine="560"/>
        <w:jc w:val="left"/>
        <w:rPr>
          <w:rFonts w:hint="default" w:ascii="Times New Roman" w:hAnsi="Times New Roman" w:eastAsia="宋体" w:cs="Times New Roman"/>
          <w:color w:val="000000"/>
          <w:kern w:val="2"/>
          <w:sz w:val="24"/>
          <w:szCs w:val="24"/>
          <w:u w:val="none"/>
          <w:lang w:val="en-US" w:eastAsia="zh-CN" w:bidi="ar-SA"/>
        </w:rPr>
      </w:pPr>
      <w:r>
        <w:rPr>
          <w:rFonts w:hint="default" w:ascii="Times New Roman" w:hAnsi="Times New Roman" w:eastAsia="宋体" w:cs="Times New Roman"/>
          <w:color w:val="000000"/>
          <w:kern w:val="2"/>
          <w:sz w:val="24"/>
          <w:szCs w:val="24"/>
          <w:u w:val="none"/>
          <w:lang w:val="en-US" w:eastAsia="zh-CN" w:bidi="ar-SA"/>
        </w:rPr>
        <w:t>考虑到每个设施模型的输入特征为 11～23 列，树数试验范围设置为 10～100 棵。比较时保持数据划分、输入参数和分类准则一致，以五折等级准确率为主要指标，并结合独立测试结果和模型规模进行选择。</w:t>
      </w:r>
    </w:p>
    <w:p w14:paraId="1D3B6D5E">
      <w:pPr>
        <w:pStyle w:val="16"/>
        <w:bidi w:val="0"/>
        <w:rPr>
          <w:rFonts w:hint="default" w:ascii="Times New Roman" w:hAnsi="Times New Roman" w:cs="Times New Roman"/>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rPr>
        <w:t xml:space="preserve"> </w:t>
      </w:r>
      <w:r>
        <w:rPr>
          <w:rFonts w:hint="default" w:ascii="Times New Roman" w:hAnsi="Times New Roman" w:cs="Times New Roman"/>
          <w:lang w:val="en-US" w:eastAsia="zh-CN"/>
        </w:rPr>
        <w:t>不同树数的模型表现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77C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3CE17D94">
            <w:pPr>
              <w:pStyle w:val="54"/>
              <w:bidi w:val="0"/>
              <w:rPr>
                <w:rFonts w:hint="default" w:ascii="Times New Roman" w:hAnsi="Times New Roman" w:cs="Times New Roman"/>
                <w:b w:val="0"/>
              </w:rPr>
            </w:pPr>
            <w:r>
              <w:rPr>
                <w:rFonts w:hint="default" w:ascii="Times New Roman" w:hAnsi="Times New Roman" w:cs="Times New Roman"/>
                <w:b w:val="0"/>
              </w:rPr>
              <w:t>每个任务的树数</w:t>
            </w:r>
          </w:p>
        </w:tc>
        <w:tc>
          <w:tcPr>
            <w:tcW w:w="2769" w:type="dxa"/>
            <w:tcBorders>
              <w:top w:val="single" w:color="000000" w:sz="12" w:space="0"/>
              <w:left w:val="nil"/>
              <w:bottom w:val="single" w:color="000000" w:sz="4" w:space="0"/>
              <w:right w:val="nil"/>
            </w:tcBorders>
            <w:shd w:val="clear" w:color="auto" w:fill="FFFFFF"/>
          </w:tcPr>
          <w:p w14:paraId="521927B8">
            <w:pPr>
              <w:pStyle w:val="54"/>
              <w:bidi w:val="0"/>
              <w:rPr>
                <w:rFonts w:hint="default" w:ascii="Times New Roman" w:hAnsi="Times New Roman" w:cs="Times New Roman"/>
                <w:b w:val="0"/>
              </w:rPr>
            </w:pPr>
            <w:r>
              <w:rPr>
                <w:rFonts w:hint="default" w:ascii="Times New Roman" w:hAnsi="Times New Roman" w:cs="Times New Roman"/>
                <w:b w:val="0"/>
              </w:rPr>
              <w:t>五折等级准确率</w:t>
            </w:r>
          </w:p>
        </w:tc>
        <w:tc>
          <w:tcPr>
            <w:tcW w:w="2769" w:type="dxa"/>
            <w:tcBorders>
              <w:top w:val="single" w:color="000000" w:sz="12" w:space="0"/>
              <w:left w:val="nil"/>
              <w:bottom w:val="single" w:color="000000" w:sz="4" w:space="0"/>
              <w:right w:val="nil"/>
            </w:tcBorders>
            <w:shd w:val="clear" w:color="auto" w:fill="FFFFFF"/>
          </w:tcPr>
          <w:p w14:paraId="7B6757D5">
            <w:pPr>
              <w:pStyle w:val="54"/>
              <w:bidi w:val="0"/>
              <w:rPr>
                <w:rFonts w:hint="default" w:ascii="Times New Roman" w:hAnsi="Times New Roman" w:cs="Times New Roman"/>
                <w:b w:val="0"/>
              </w:rPr>
            </w:pPr>
            <w:r>
              <w:rPr>
                <w:rFonts w:hint="default" w:ascii="Times New Roman" w:hAnsi="Times New Roman" w:cs="Times New Roman"/>
                <w:b w:val="0"/>
              </w:rPr>
              <w:t>独立测试等级准确率</w:t>
            </w:r>
          </w:p>
        </w:tc>
      </w:tr>
      <w:tr w14:paraId="7EF4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vAlign w:val="top"/>
          </w:tcPr>
          <w:p w14:paraId="10C4C14E">
            <w:pPr>
              <w:pStyle w:val="54"/>
              <w:bidi w:val="0"/>
              <w:rPr>
                <w:rFonts w:hint="default"/>
              </w:rPr>
            </w:pPr>
            <w:r>
              <w:t>10</w:t>
            </w:r>
          </w:p>
        </w:tc>
        <w:tc>
          <w:tcPr>
            <w:tcW w:w="2769" w:type="dxa"/>
            <w:tcBorders>
              <w:top w:val="single" w:color="000000" w:sz="4" w:space="0"/>
              <w:left w:val="nil"/>
              <w:bottom w:val="nil"/>
              <w:right w:val="nil"/>
            </w:tcBorders>
            <w:shd w:val="clear" w:color="auto" w:fill="FFFFFF"/>
            <w:vAlign w:val="top"/>
          </w:tcPr>
          <w:p>
            <w:r>
              <w:t>95.6389%</w:t>
            </w:r>
          </w:p>
        </w:tc>
        <w:tc>
          <w:tcPr>
            <w:tcW w:w="2769" w:type="dxa"/>
            <w:tcBorders>
              <w:top w:val="single" w:color="000000" w:sz="4" w:space="0"/>
              <w:left w:val="nil"/>
              <w:bottom w:val="nil"/>
              <w:right w:val="nil"/>
            </w:tcBorders>
            <w:shd w:val="clear" w:color="auto" w:fill="FFFFFF"/>
            <w:vAlign w:val="top"/>
          </w:tcPr>
          <w:p>
            <w:r>
              <w:t>96.7547%</w:t>
            </w:r>
          </w:p>
        </w:tc>
      </w:tr>
      <w:tr w14:paraId="6DAA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26A84E7A">
            <w:pPr>
              <w:pStyle w:val="54"/>
              <w:bidi w:val="0"/>
              <w:rPr>
                <w:rFonts w:hint="default"/>
              </w:rPr>
            </w:pPr>
            <w:r>
              <w:t>30</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97.2075%</w:t>
            </w:r>
          </w:p>
        </w:tc>
      </w:tr>
      <w:tr w14:paraId="0432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4DEA4864">
            <w:pPr>
              <w:pStyle w:val="54"/>
              <w:bidi w:val="0"/>
              <w:rPr>
                <w:rFonts w:hint="default"/>
                <w:b/>
                <w:bCs w:val="0"/>
              </w:rPr>
            </w:pPr>
            <w:r>
              <w:rPr>
                <w:b/>
                <w:bCs w:val="0"/>
              </w:rPr>
              <w:t>50</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97.2075%</w:t>
            </w:r>
          </w:p>
        </w:tc>
      </w:tr>
      <w:tr w14:paraId="616D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50CA9031">
            <w:pPr>
              <w:pStyle w:val="54"/>
              <w:bidi w:val="0"/>
              <w:rPr>
                <w:rFonts w:hint="default"/>
              </w:rPr>
            </w:pPr>
            <w:r>
              <w:t>60</w:t>
            </w:r>
          </w:p>
        </w:tc>
        <w:tc>
          <w:tcPr>
            <w:tcW w:w="2769" w:type="dxa"/>
            <w:tcBorders>
              <w:top w:val="nil"/>
              <w:left w:val="nil"/>
              <w:bottom w:val="nil"/>
              <w:right w:val="nil"/>
            </w:tcBorders>
            <w:shd w:val="clear" w:color="auto" w:fill="FFFFFF"/>
            <w:vAlign w:val="top"/>
          </w:tcPr>
          <w:p>
            <w:r>
              <w:t>95.9134%</w:t>
            </w:r>
          </w:p>
        </w:tc>
        <w:tc>
          <w:tcPr>
            <w:tcW w:w="2769" w:type="dxa"/>
            <w:tcBorders>
              <w:top w:val="nil"/>
              <w:left w:val="nil"/>
              <w:bottom w:val="nil"/>
              <w:right w:val="nil"/>
            </w:tcBorders>
            <w:shd w:val="clear" w:color="auto" w:fill="FFFFFF"/>
            <w:vAlign w:val="top"/>
          </w:tcPr>
          <w:p>
            <w:r>
              <w:t>97.1321%</w:t>
            </w:r>
          </w:p>
        </w:tc>
      </w:tr>
      <w:tr w14:paraId="08EF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4C180B24">
            <w:pPr>
              <w:pStyle w:val="54"/>
              <w:bidi w:val="0"/>
              <w:rPr>
                <w:rFonts w:hint="default"/>
              </w:rPr>
            </w:pPr>
            <w:r>
              <w:t>75</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97.1321%</w:t>
            </w:r>
          </w:p>
        </w:tc>
      </w:tr>
      <w:tr w14:paraId="2A98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2218D625">
            <w:pPr>
              <w:pStyle w:val="54"/>
              <w:bidi w:val="0"/>
              <w:rPr>
                <w:rFonts w:hint="default"/>
              </w:rPr>
            </w:pPr>
            <w:r>
              <w:t>90</w:t>
            </w:r>
          </w:p>
        </w:tc>
        <w:tc>
          <w:tcPr>
            <w:tcW w:w="2769" w:type="dxa"/>
            <w:tcBorders>
              <w:top w:val="nil"/>
              <w:left w:val="nil"/>
              <w:bottom w:val="nil"/>
              <w:right w:val="nil"/>
            </w:tcBorders>
            <w:shd w:val="clear" w:color="auto" w:fill="FFFFFF"/>
            <w:vAlign w:val="top"/>
          </w:tcPr>
          <w:p>
            <w:r>
              <w:t>95.8981%</w:t>
            </w:r>
          </w:p>
        </w:tc>
        <w:tc>
          <w:tcPr>
            <w:tcW w:w="2769" w:type="dxa"/>
            <w:tcBorders>
              <w:top w:val="nil"/>
              <w:left w:val="nil"/>
              <w:bottom w:val="nil"/>
              <w:right w:val="nil"/>
            </w:tcBorders>
            <w:shd w:val="clear" w:color="auto" w:fill="FFFFFF"/>
            <w:vAlign w:val="top"/>
          </w:tcPr>
          <w:p>
            <w:r>
              <w:t>97.2075%</w:t>
            </w:r>
          </w:p>
        </w:tc>
      </w:tr>
      <w:tr w14:paraId="113E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vAlign w:val="top"/>
          </w:tcPr>
          <w:p w14:paraId="66F73F80">
            <w:pPr>
              <w:pStyle w:val="54"/>
              <w:bidi w:val="0"/>
              <w:rPr>
                <w:rFonts w:hint="default"/>
              </w:rPr>
            </w:pPr>
            <w:r>
              <w:t>99</w:t>
            </w:r>
          </w:p>
        </w:tc>
        <w:tc>
          <w:tcPr>
            <w:tcW w:w="2769" w:type="dxa"/>
            <w:tcBorders>
              <w:top w:val="nil"/>
              <w:left w:val="nil"/>
              <w:bottom w:val="single" w:color="000000" w:sz="12" w:space="0"/>
              <w:right w:val="nil"/>
            </w:tcBorders>
            <w:shd w:val="clear" w:color="auto" w:fill="FFFFFF"/>
            <w:vAlign w:val="top"/>
          </w:tcPr>
          <w:p>
            <w:r>
              <w:t>95.9134%</w:t>
            </w:r>
          </w:p>
        </w:tc>
        <w:tc>
          <w:tcPr>
            <w:tcW w:w="2769" w:type="dxa"/>
            <w:tcBorders>
              <w:top w:val="nil"/>
              <w:left w:val="nil"/>
              <w:bottom w:val="single" w:color="000000" w:sz="12" w:space="0"/>
              <w:right w:val="nil"/>
            </w:tcBorders>
            <w:shd w:val="clear" w:color="auto" w:fill="FFFFFF"/>
            <w:vAlign w:val="top"/>
          </w:tcPr>
          <w:p>
            <w:r>
              <w:t>97.0566%</w:t>
            </w:r>
          </w:p>
        </w:tc>
      </w:tr>
    </w:tbl>
    <w:p w14:paraId="50FA8C51">
      <w:pPr>
        <w:rPr>
          <w:rFonts w:hint="default" w:ascii="Times New Roman" w:hAnsi="Times New Roman" w:cs="Times New Roman"/>
          <w:lang w:val="en-US" w:eastAsia="zh-CN"/>
        </w:rPr>
      </w:pPr>
      <w:r>
        <w:rPr>
          <w:rFonts w:hint="default" w:ascii="Times New Roman" w:hAnsi="Times New Roman" w:cs="Times New Roman"/>
          <w:lang w:val="en-US" w:eastAsia="zh-CN"/>
        </w:rPr>
        <w:t>在逐设施训练口径下，50 棵方案的五折和独立测试等级准确率均达到最优水平，同时具有更紧凑的模型规模，因此最终确定回归森林和分类森林各采用 50 棵树。</w:t>
      </w:r>
    </w:p>
    <w:p w14:paraId="6E9B7EC6">
      <w:pPr>
        <w:pStyle w:val="47"/>
        <w:widowControl w:val="0"/>
        <w:autoSpaceDE/>
        <w:autoSpaceDN/>
        <w:snapToGrid w:val="0"/>
        <w:spacing w:line="640" w:lineRule="exact"/>
        <w:ind w:firstLine="560"/>
        <w:jc w:val="left"/>
        <w:rPr>
          <w:rFonts w:hint="default" w:ascii="Times New Roman" w:hAnsi="Times New Roman" w:eastAsia="宋体" w:cs="Times New Roman"/>
          <w:color w:val="000000"/>
          <w:kern w:val="2"/>
          <w:sz w:val="24"/>
          <w:szCs w:val="24"/>
          <w:u w:val="none"/>
          <w:lang w:val="en-US" w:eastAsia="zh-CN" w:bidi="ar-SA"/>
        </w:rPr>
      </w:pPr>
    </w:p>
    <w:p w14:paraId="2E43BF41">
      <w:pPr>
        <w:keepNext w:val="0"/>
        <w:keepLines w:val="0"/>
        <w:widowControl/>
        <w:suppressLineNumbers w:val="0"/>
        <w:ind w:left="0" w:leftChars="0" w:firstLine="0" w:firstLineChars="0"/>
        <w:jc w:val="left"/>
      </w:pPr>
      <w:r>
        <w:rPr>
          <w:rFonts w:ascii="宋体" w:hAnsi="宋体" w:eastAsia="宋体" w:cs="宋体"/>
          <w:color w:val="000000"/>
          <w:kern w:val="0"/>
          <w:sz w:val="24"/>
          <w:szCs w:val="24"/>
          <w:u w:val="none"/>
          <w:lang w:val="en-US" w:eastAsia="zh-CN" w:bidi="ar"/>
        </w:rPr>
        <w:drawing>
          <wp:inline distT="0" distB="0" distL="114300" distR="114300">
            <wp:extent cx="5361940" cy="1871345"/>
            <wp:effectExtent l="0" t="0" r="10160" b="146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6"/>
                    <a:stretch>
                      <a:fillRect/>
                    </a:stretch>
                  </pic:blipFill>
                  <pic:spPr>
                    <a:xfrm>
                      <a:off x="0" y="0"/>
                      <a:ext cx="5361940" cy="1871345"/>
                    </a:xfrm>
                    <a:prstGeom prst="rect">
                      <a:avLst/>
                    </a:prstGeom>
                    <a:noFill/>
                    <a:ln w="9525">
                      <a:noFill/>
                    </a:ln>
                  </pic:spPr>
                </pic:pic>
              </a:graphicData>
            </a:graphic>
          </wp:inline>
        </w:drawing>
      </w:r>
    </w:p>
    <w:p w14:paraId="2A2080C7">
      <w:pPr>
        <w:pStyle w:val="16"/>
        <w:bidi w:val="0"/>
        <w:rPr>
          <w:rFonts w:hint="default" w:ascii="Times New Roman" w:hAnsi="Times New Roman" w:eastAsia="宋体" w:cs="Times New Roman"/>
          <w:sz w:val="28"/>
          <w:szCs w:val="28"/>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b/>
          <w:sz w:val="24"/>
        </w:rPr>
        <w:t>等级约束 ExtraTrees 双任务代理模型架构</w:t>
      </w:r>
    </w:p>
    <w:p w14:paraId="6B5F6B4C">
      <w:pPr>
        <w:pStyle w:val="2"/>
        <w:bidi w:val="0"/>
        <w:rPr>
          <w:rFonts w:hint="default" w:ascii="Times New Roman" w:hAnsi="Times New Roman" w:cs="Times New Roman"/>
        </w:rPr>
      </w:pPr>
      <w:r>
        <w:rPr>
          <w:rFonts w:hint="default" w:ascii="Times New Roman" w:hAnsi="Times New Roman" w:cs="Times New Roman"/>
        </w:rPr>
        <w:br w:type="page"/>
      </w:r>
      <w:bookmarkStart w:id="21" w:name="_Toc152"/>
      <w:bookmarkStart w:id="22" w:name="_Toc25254"/>
      <w:r>
        <w:rPr>
          <w:rFonts w:hint="default" w:ascii="Times New Roman" w:hAnsi="Times New Roman" w:cs="Times New Roman"/>
          <w:lang w:val="en-US" w:eastAsia="zh-CN"/>
        </w:rPr>
        <w:t>模型训练与验证</w:t>
      </w:r>
      <w:bookmarkEnd w:id="21"/>
    </w:p>
    <w:p w14:paraId="2CEA12F5">
      <w:pPr>
        <w:pStyle w:val="3"/>
        <w:rPr>
          <w:rFonts w:hint="default" w:ascii="Times New Roman" w:hAnsi="Times New Roman" w:cs="Times New Roman"/>
        </w:rPr>
      </w:pPr>
      <w:bookmarkStart w:id="23" w:name="_Toc29560"/>
      <w:r>
        <w:rPr>
          <w:rFonts w:hint="default" w:ascii="Times New Roman" w:hAnsi="Times New Roman" w:cs="Times New Roman"/>
          <w:lang w:val="en-US" w:eastAsia="zh-CN"/>
        </w:rPr>
        <w:t>数据划分</w:t>
      </w:r>
      <w:bookmarkEnd w:id="23"/>
    </w:p>
    <w:p w14:paraId="49F7F877">
      <w:pPr>
        <w:rPr>
          <w:rFonts w:hint="default" w:ascii="Times New Roman" w:hAnsi="Times New Roman" w:cs="Times New Roman"/>
        </w:rPr>
      </w:pPr>
      <w:r>
        <w:rPr>
          <w:rFonts w:hint="default" w:ascii="Times New Roman" w:hAnsi="Times New Roman" w:cs="Times New Roman"/>
        </w:rPr>
        <w:t>6558 条合格工况按毁伤等级分层划分为训练集和独立测试集，其中独立测试集约占 20%，其余用于拟合模型参数；另以五折交叉验证评价模型在不同数据划分下的总体稳定性。训练集用于拟合模型参数，独立测试集仅用于最终性能评价。</w:t>
      </w:r>
    </w:p>
    <w:p w14:paraId="7A987DC4">
      <w:pPr>
        <w:rPr>
          <w:rFonts w:hint="default" w:ascii="Times New Roman" w:hAnsi="Times New Roman" w:cs="Times New Roman"/>
        </w:rPr>
      </w:pPr>
      <w:r>
        <w:rPr>
          <w:rFonts w:hint="default" w:ascii="Times New Roman" w:hAnsi="Times New Roman" w:cs="Times New Roman"/>
        </w:rPr>
        <w:t>五折交叉验证与独立测试具有不同作用。五折交叉验证将全部样本分为五个互斥子集，每次使用其中四折训练、一折验证，最终汇总五次未参与相应训练的预测结果，用于评价模型在不同数据划分下的总体稳定性。独立测试则在模型设置确定后，使用训练集拟合评估模型，并在固定的独立测试工况上评价，用于检验最终方案对未参与拟合工况的预测能力。</w:t>
      </w:r>
    </w:p>
    <w:p w14:paraId="6CF516F3">
      <w:pPr>
        <w:pStyle w:val="3"/>
        <w:rPr>
          <w:rFonts w:hint="default" w:ascii="Times New Roman" w:hAnsi="Times New Roman" w:cs="Times New Roman"/>
        </w:rPr>
      </w:pPr>
      <w:bookmarkStart w:id="24" w:name="_Toc16380"/>
      <w:r>
        <w:rPr>
          <w:rFonts w:hint="default" w:ascii="Times New Roman" w:hAnsi="Times New Roman" w:cs="Times New Roman"/>
          <w:lang w:val="en-US" w:eastAsia="zh-CN"/>
        </w:rPr>
        <w:t>评价指标</w:t>
      </w:r>
      <w:bookmarkEnd w:id="24"/>
    </w:p>
    <w:p w14:paraId="3EAA18BB">
      <w:pPr>
        <w:ind w:firstLine="480"/>
        <w:rPr>
          <w:rFonts w:hint="default" w:ascii="Times New Roman" w:hAnsi="Times New Roman" w:cs="Times New Roman"/>
        </w:rPr>
      </w:pPr>
      <w:r>
        <w:rPr>
          <w:rFonts w:hint="default" w:ascii="Times New Roman" w:hAnsi="Times New Roman" w:cs="Times New Roman"/>
        </w:rPr>
        <w:t>本报告</w:t>
      </w:r>
      <w:r>
        <w:rPr>
          <w:rFonts w:hint="default" w:ascii="Times New Roman" w:hAnsi="Times New Roman" w:cs="Times New Roman"/>
          <w:lang w:val="en-US" w:eastAsia="zh-CN"/>
        </w:rPr>
        <w:t>使用</w:t>
      </w:r>
      <w:r>
        <w:rPr>
          <w:rFonts w:hint="default" w:ascii="Times New Roman" w:hAnsi="Times New Roman" w:cs="Times New Roman"/>
        </w:rPr>
        <w:t xml:space="preserve"> MAE、RMSE 和等级准确率三个指标。</w:t>
      </w:r>
    </w:p>
    <w:p w14:paraId="674DCC99">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模型评价指标说明</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176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26E48667">
            <w:pPr>
              <w:pStyle w:val="54"/>
              <w:bidi w:val="0"/>
              <w:rPr>
                <w:rFonts w:hint="default" w:ascii="Times New Roman" w:hAnsi="Times New Roman" w:cs="Times New Roman"/>
                <w:b w:val="0"/>
              </w:rPr>
            </w:pPr>
            <w:r>
              <w:rPr>
                <w:rFonts w:hint="default" w:ascii="Times New Roman" w:hAnsi="Times New Roman" w:cs="Times New Roman"/>
                <w:b w:val="0"/>
              </w:rPr>
              <w:t>指标</w:t>
            </w:r>
          </w:p>
        </w:tc>
        <w:tc>
          <w:tcPr>
            <w:tcW w:w="2769" w:type="dxa"/>
            <w:tcBorders>
              <w:top w:val="single" w:color="000000" w:sz="12" w:space="0"/>
              <w:left w:val="nil"/>
              <w:bottom w:val="single" w:color="000000" w:sz="4" w:space="0"/>
              <w:right w:val="nil"/>
            </w:tcBorders>
            <w:shd w:val="clear" w:color="auto" w:fill="FFFFFF"/>
          </w:tcPr>
          <w:p w14:paraId="2B3800E8">
            <w:pPr>
              <w:pStyle w:val="54"/>
              <w:bidi w:val="0"/>
              <w:rPr>
                <w:rFonts w:hint="default" w:ascii="Times New Roman" w:hAnsi="Times New Roman" w:cs="Times New Roman"/>
                <w:b w:val="0"/>
              </w:rPr>
            </w:pPr>
            <w:r>
              <w:rPr>
                <w:rFonts w:hint="default" w:ascii="Times New Roman" w:hAnsi="Times New Roman" w:cs="Times New Roman"/>
                <w:b w:val="0"/>
              </w:rPr>
              <w:t>定义</w:t>
            </w:r>
          </w:p>
        </w:tc>
        <w:tc>
          <w:tcPr>
            <w:tcW w:w="2769" w:type="dxa"/>
            <w:tcBorders>
              <w:top w:val="single" w:color="000000" w:sz="12" w:space="0"/>
              <w:left w:val="nil"/>
              <w:bottom w:val="single" w:color="000000" w:sz="4" w:space="0"/>
              <w:right w:val="nil"/>
            </w:tcBorders>
            <w:shd w:val="clear" w:color="auto" w:fill="FFFFFF"/>
          </w:tcPr>
          <w:p w14:paraId="7647BC2D">
            <w:pPr>
              <w:pStyle w:val="54"/>
              <w:bidi w:val="0"/>
              <w:rPr>
                <w:rFonts w:hint="default" w:ascii="Times New Roman" w:hAnsi="Times New Roman" w:cs="Times New Roman"/>
                <w:b w:val="0"/>
              </w:rPr>
            </w:pPr>
            <w:r>
              <w:rPr>
                <w:rFonts w:hint="default" w:ascii="Times New Roman" w:hAnsi="Times New Roman" w:cs="Times New Roman"/>
                <w:b w:val="0"/>
              </w:rPr>
              <w:t>工程含义</w:t>
            </w:r>
          </w:p>
        </w:tc>
      </w:tr>
      <w:tr w14:paraId="1E33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tcPr>
          <w:p w14:paraId="248C4B08">
            <w:pPr>
              <w:pStyle w:val="54"/>
              <w:bidi w:val="0"/>
              <w:rPr>
                <w:rFonts w:hint="default" w:ascii="Times New Roman" w:hAnsi="Times New Roman" w:cs="Times New Roman"/>
                <w:b w:val="0"/>
              </w:rPr>
            </w:pPr>
            <w:r>
              <w:rPr>
                <w:rFonts w:hint="default" w:ascii="Times New Roman" w:hAnsi="Times New Roman" w:cs="Times New Roman"/>
                <w:b w:val="0"/>
              </w:rPr>
              <w:t>MAE</w:t>
            </w:r>
          </w:p>
        </w:tc>
        <w:tc>
          <w:tcPr>
            <w:tcW w:w="2769" w:type="dxa"/>
            <w:tcBorders>
              <w:top w:val="single" w:color="000000" w:sz="4" w:space="0"/>
              <w:left w:val="nil"/>
              <w:bottom w:val="nil"/>
              <w:right w:val="nil"/>
            </w:tcBorders>
            <w:shd w:val="clear" w:color="auto" w:fill="FFFFFF"/>
          </w:tcPr>
          <w:p w14:paraId="7C30299D">
            <w:pPr>
              <w:pStyle w:val="54"/>
              <w:bidi w:val="0"/>
              <w:rPr>
                <w:rFonts w:hint="default" w:ascii="Times New Roman" w:hAnsi="Times New Roman" w:cs="Times New Roman"/>
                <w:b w:val="0"/>
                <w:i w:val="0"/>
              </w:rPr>
            </w:pPr>
            <m:oMathPara>
              <m:oMath>
                <m:f>
                  <m:fPr>
                    <m:ctrlPr>
                      <w:rPr>
                        <w:rFonts w:hint="default" w:ascii="Cambria Math" w:hAnsi="Cambria Math" w:cs="Times New Roman"/>
                        <w:i/>
                        <w:sz w:val="24"/>
                        <w:u w:val="none"/>
                      </w:rPr>
                    </m:ctrlPr>
                  </m:fPr>
                  <m:num>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num>
                  <m:den>
                    <m:r>
                      <m:rPr>
                        <m:nor/>
                      </m:rPr>
                      <w:rPr>
                        <w:rFonts w:hint="default" w:ascii="Times New Roman" w:hAnsi="Times New Roman" w:cs="Times New Roman"/>
                        <w:i/>
                        <w:sz w:val="24"/>
                        <w:u w:val="none"/>
                      </w:rPr>
                      <m:t>n</m:t>
                    </m:r>
                    <m:ctrlPr>
                      <w:rPr>
                        <w:rFonts w:hint="default" w:ascii="Cambria Math" w:hAnsi="Cambria Math" w:cs="Times New Roman"/>
                        <w:sz w:val="24"/>
                        <w:u w:val="none"/>
                      </w:rPr>
                    </m:ctrlPr>
                  </m:den>
                </m:f>
                <m:nary>
                  <m:naryPr>
                    <m:chr m:val="∑"/>
                    <m:limLoc m:val="undOvr"/>
                    <m:subHide m:val="1"/>
                    <m:supHide m:val="1"/>
                    <m:ctrlPr>
                      <w:rPr>
                        <w:rFonts w:hint="default" w:ascii="Cambria Math" w:hAnsi="Cambria Math" w:cs="Times New Roman"/>
                        <w:i/>
                        <w:sz w:val="24"/>
                        <w:u w:val="none"/>
                      </w:rPr>
                    </m:ctrlPr>
                  </m:naryPr>
                  <m:sub>
                    <m:ctrlPr>
                      <w:rPr>
                        <w:rFonts w:hint="default" w:ascii="Cambria Math" w:hAnsi="Cambria Math" w:cs="Times New Roman"/>
                        <w:sz w:val="24"/>
                        <w:u w:val="none"/>
                      </w:rPr>
                    </m:ctrlPr>
                  </m:sub>
                  <m:sup>
                    <m:ctrlPr>
                      <w:rPr>
                        <w:rFonts w:hint="default" w:ascii="Cambria Math" w:hAnsi="Cambria Math" w:cs="Times New Roman"/>
                        <w:sz w:val="24"/>
                        <w:u w:val="none"/>
                      </w:rPr>
                    </m:ctrlPr>
                  </m:sup>
                  <m:e>
                    <m:d>
                      <m:dPr>
                        <m:begChr m:val="|"/>
                        <m:endChr m:val="|"/>
                        <m:ctrlPr>
                          <w:rPr>
                            <w:rFonts w:hint="default" w:ascii="Cambria Math" w:hAnsi="Cambria Math" w:cs="Times New Roman"/>
                            <w:sz w:val="24"/>
                            <w:u w:val="none"/>
                          </w:rPr>
                        </m:ctrlPr>
                      </m:dPr>
                      <m:e>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r>
                          <m:rPr>
                            <m:sty m:val="p"/>
                          </m:rPr>
                          <w:rPr>
                            <w:rFonts w:hint="default" w:ascii="Times New Roman" w:hAnsi="Times New Roman" w:cs="Times New Roman"/>
                            <w:sz w:val="24"/>
                            <w:u w:val="none"/>
                          </w:rPr>
                          <m:t>−</m:t>
                        </m:r>
                        <m:sSub>
                          <m:sSubPr>
                            <m:ctrlPr>
                              <w:rPr>
                                <w:rFonts w:hint="default" w:ascii="Cambria Math" w:hAnsi="Cambria Math" w:cs="Times New Roman"/>
                                <w:sz w:val="24"/>
                                <w:u w:val="none"/>
                              </w:rPr>
                            </m:ctrlPr>
                          </m:sSub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ctrlPr>
                          <w:rPr>
                            <w:rFonts w:hint="default" w:ascii="Cambria Math" w:hAnsi="Cambria Math" w:cs="Times New Roman"/>
                            <w:sz w:val="24"/>
                            <w:u w:val="none"/>
                          </w:rPr>
                        </m:ctrlPr>
                      </m:e>
                    </m:d>
                    <m:ctrlPr>
                      <w:rPr>
                        <w:rFonts w:hint="default" w:ascii="Cambria Math" w:hAnsi="Cambria Math" w:cs="Times New Roman"/>
                        <w:sz w:val="24"/>
                        <w:u w:val="none"/>
                      </w:rPr>
                    </m:ctrlPr>
                  </m:e>
                </m:nary>
              </m:oMath>
            </m:oMathPara>
          </w:p>
        </w:tc>
        <w:tc>
          <w:tcPr>
            <w:tcW w:w="2769" w:type="dxa"/>
            <w:tcBorders>
              <w:top w:val="single" w:color="000000" w:sz="4" w:space="0"/>
              <w:left w:val="nil"/>
              <w:bottom w:val="nil"/>
              <w:right w:val="nil"/>
            </w:tcBorders>
            <w:shd w:val="clear" w:color="auto" w:fill="FFFFFF"/>
          </w:tcPr>
          <w:p w14:paraId="3D631643">
            <w:pPr>
              <w:pStyle w:val="54"/>
              <w:bidi w:val="0"/>
              <w:rPr>
                <w:rFonts w:hint="default" w:ascii="Times New Roman" w:hAnsi="Times New Roman" w:eastAsia="宋体" w:cs="Times New Roman"/>
                <w:b w:val="0"/>
                <w:lang w:val="en-US" w:eastAsia="zh-CN"/>
              </w:rPr>
            </w:pPr>
            <w:r>
              <w:rPr>
                <w:rFonts w:hint="default" w:ascii="Times New Roman" w:hAnsi="Times New Roman" w:cs="Times New Roman"/>
                <w:b w:val="0"/>
                <w:lang w:val="en-US" w:eastAsia="zh-CN"/>
              </w:rPr>
              <w:t>Dk 预测绝对误差的平均值，越小越好</w:t>
            </w:r>
          </w:p>
        </w:tc>
      </w:tr>
      <w:tr w14:paraId="2495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47ADFE35">
            <w:pPr>
              <w:pStyle w:val="54"/>
              <w:bidi w:val="0"/>
              <w:rPr>
                <w:rFonts w:hint="default" w:ascii="Times New Roman" w:hAnsi="Times New Roman" w:cs="Times New Roman"/>
                <w:b w:val="0"/>
              </w:rPr>
            </w:pPr>
            <w:r>
              <w:rPr>
                <w:rFonts w:hint="default" w:ascii="Times New Roman" w:hAnsi="Times New Roman" w:cs="Times New Roman"/>
                <w:b w:val="0"/>
              </w:rPr>
              <w:t>RMSE</w:t>
            </w:r>
          </w:p>
        </w:tc>
        <w:tc>
          <w:tcPr>
            <w:tcW w:w="2769" w:type="dxa"/>
            <w:tcBorders>
              <w:top w:val="nil"/>
              <w:left w:val="nil"/>
              <w:bottom w:val="nil"/>
              <w:right w:val="nil"/>
            </w:tcBorders>
            <w:shd w:val="clear" w:color="auto" w:fill="FFFFFF"/>
          </w:tcPr>
          <w:p w14:paraId="13A4A0C3">
            <w:pPr>
              <w:pStyle w:val="54"/>
              <w:bidi w:val="0"/>
              <w:rPr>
                <w:rFonts w:hint="default" w:ascii="Times New Roman" w:hAnsi="Times New Roman" w:cs="Times New Roman"/>
                <w:b w:val="0"/>
              </w:rPr>
            </w:pPr>
            <m:oMathPara>
              <m:oMath>
                <m:rad>
                  <m:radPr>
                    <m:degHide m:val="1"/>
                    <m:ctrlPr>
                      <w:rPr>
                        <w:rFonts w:hint="default" w:ascii="Cambria Math" w:hAnsi="Cambria Math" w:cs="Times New Roman"/>
                        <w:i/>
                        <w:sz w:val="24"/>
                        <w:u w:val="none"/>
                      </w:rPr>
                    </m:ctrlPr>
                  </m:radPr>
                  <m:deg>
                    <m:ctrlPr>
                      <w:rPr>
                        <w:rFonts w:hint="default" w:ascii="Cambria Math" w:hAnsi="Cambria Math" w:cs="Times New Roman"/>
                        <w:sz w:val="24"/>
                        <w:u w:val="none"/>
                      </w:rPr>
                    </m:ctrlPr>
                  </m:deg>
                  <m:e>
                    <m:f>
                      <m:fPr>
                        <m:ctrlPr>
                          <w:rPr>
                            <w:rFonts w:hint="default" w:ascii="Cambria Math" w:hAnsi="Cambria Math" w:cs="Times New Roman"/>
                            <w:i/>
                            <w:sz w:val="24"/>
                            <w:u w:val="none"/>
                          </w:rPr>
                        </m:ctrlPr>
                      </m:fPr>
                      <m:num>
                        <m:r>
                          <m:rPr>
                            <m:nor/>
                            <m:sty m:val="p"/>
                          </m:rPr>
                          <w:rPr>
                            <w:rFonts w:hint="default" w:ascii="Times New Roman" w:hAnsi="Times New Roman" w:cs="Times New Roman"/>
                            <w:b w:val="0"/>
                            <w:i w:val="0"/>
                            <w:sz w:val="24"/>
                            <w:u w:val="none"/>
                          </w:rPr>
                          <m:t>1</m:t>
                        </m:r>
                        <m:ctrlPr>
                          <w:rPr>
                            <w:rFonts w:hint="default" w:ascii="Cambria Math" w:hAnsi="Cambria Math" w:cs="Times New Roman"/>
                            <w:sz w:val="24"/>
                            <w:u w:val="none"/>
                          </w:rPr>
                        </m:ctrlPr>
                      </m:num>
                      <m:den>
                        <m:r>
                          <m:rPr>
                            <m:nor/>
                          </m:rPr>
                          <w:rPr>
                            <w:rFonts w:hint="default" w:ascii="Times New Roman" w:hAnsi="Times New Roman" w:cs="Times New Roman"/>
                            <w:i/>
                            <w:sz w:val="24"/>
                            <w:u w:val="none"/>
                          </w:rPr>
                          <m:t>n</m:t>
                        </m:r>
                        <m:ctrlPr>
                          <w:rPr>
                            <w:rFonts w:hint="default" w:ascii="Cambria Math" w:hAnsi="Cambria Math" w:cs="Times New Roman"/>
                            <w:sz w:val="24"/>
                            <w:u w:val="none"/>
                          </w:rPr>
                        </m:ctrlPr>
                      </m:den>
                    </m:f>
                    <m:nary>
                      <m:naryPr>
                        <m:chr m:val="∑"/>
                        <m:limLoc m:val="undOvr"/>
                        <m:subHide m:val="1"/>
                        <m:supHide m:val="1"/>
                        <m:ctrlPr>
                          <w:rPr>
                            <w:rFonts w:hint="default" w:ascii="Cambria Math" w:hAnsi="Cambria Math" w:cs="Times New Roman"/>
                            <w:i/>
                            <w:sz w:val="24"/>
                            <w:u w:val="none"/>
                          </w:rPr>
                        </m:ctrlPr>
                      </m:naryPr>
                      <m:sub>
                        <m:ctrlPr>
                          <w:rPr>
                            <w:rFonts w:hint="default" w:ascii="Cambria Math" w:hAnsi="Cambria Math" w:cs="Times New Roman"/>
                            <w:sz w:val="24"/>
                            <w:u w:val="none"/>
                          </w:rPr>
                        </m:ctrlPr>
                      </m:sub>
                      <m:sup>
                        <m:ctrlPr>
                          <w:rPr>
                            <w:rFonts w:hint="default" w:ascii="Cambria Math" w:hAnsi="Cambria Math" w:cs="Times New Roman"/>
                            <w:sz w:val="24"/>
                            <w:u w:val="none"/>
                          </w:rPr>
                        </m:ctrlPr>
                      </m:sup>
                      <m:e>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e>
                    </m:nary>
                    <m:sSub>
                      <m:sSubPr>
                        <m:ctrlPr>
                          <w:rPr>
                            <w:rFonts w:hint="default" w:ascii="Cambria Math" w:hAnsi="Cambria Math" w:cs="Times New Roman"/>
                            <w:sz w:val="24"/>
                            <w:u w:val="none"/>
                          </w:rPr>
                        </m:ctrlPr>
                      </m:sSub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r>
                      <m:rPr>
                        <m:nor/>
                        <m:sty m:val="p"/>
                      </m:rPr>
                      <w:rPr>
                        <w:rFonts w:hint="default" w:ascii="Times New Roman" w:hAnsi="Times New Roman" w:cs="Times New Roman"/>
                        <w:b w:val="0"/>
                        <w:i w:val="0"/>
                        <w:sz w:val="24"/>
                        <w:u w:val="none"/>
                      </w:rPr>
                      <m:t>−</m:t>
                    </m:r>
                    <m:sSub>
                      <m:sSubPr>
                        <m:ctrlPr>
                          <w:rPr>
                            <w:rFonts w:hint="default" w:ascii="Cambria Math" w:hAnsi="Cambria Math" w:cs="Times New Roman"/>
                            <w:sz w:val="24"/>
                            <w:u w:val="none"/>
                          </w:rPr>
                        </m:ctrlPr>
                      </m:sSubPr>
                      <m:e>
                        <m:acc>
                          <m:accPr>
                            <m:ctrlPr>
                              <w:rPr>
                                <w:rFonts w:hint="default" w:ascii="Cambria Math" w:hAnsi="Cambria Math" w:cs="Times New Roman"/>
                                <w:sz w:val="24"/>
                                <w:u w:val="none"/>
                              </w:rPr>
                            </m:ctrlPr>
                          </m:accPr>
                          <m:e>
                            <m:r>
                              <m:rPr>
                                <m:nor/>
                              </m:rPr>
                              <w:rPr>
                                <w:rFonts w:hint="default" w:ascii="Times New Roman" w:hAnsi="Times New Roman" w:cs="Times New Roman"/>
                                <w:i/>
                                <w:sz w:val="24"/>
                                <w:u w:val="none"/>
                              </w:rPr>
                              <m:t>D</m:t>
                            </m:r>
                            <m:ctrlPr>
                              <w:rPr>
                                <w:rFonts w:hint="default" w:ascii="Cambria Math" w:hAnsi="Cambria Math" w:cs="Times New Roman"/>
                                <w:sz w:val="24"/>
                                <w:u w:val="none"/>
                              </w:rPr>
                            </m:ctrlPr>
                          </m:e>
                        </m:acc>
                        <m:ctrlPr>
                          <w:rPr>
                            <w:rFonts w:hint="default" w:ascii="Cambria Math" w:hAnsi="Cambria Math" w:cs="Times New Roman"/>
                            <w:sz w:val="24"/>
                            <w:u w:val="none"/>
                          </w:rPr>
                        </m:ctrlPr>
                      </m:e>
                      <m:sub>
                        <m:r>
                          <m:rPr>
                            <m:nor/>
                          </m:rPr>
                          <w:rPr>
                            <w:rFonts w:hint="default" w:ascii="Times New Roman" w:hAnsi="Times New Roman" w:cs="Times New Roman"/>
                            <w:i/>
                            <w:sz w:val="24"/>
                            <w:u w:val="none"/>
                          </w:rPr>
                          <m:t>k</m:t>
                        </m:r>
                        <m:r>
                          <m:rPr>
                            <m:nor/>
                            <m:sty m:val="p"/>
                          </m:rPr>
                          <w:rPr>
                            <w:rFonts w:hint="default" w:ascii="Times New Roman" w:hAnsi="Times New Roman" w:cs="Times New Roman"/>
                            <w:b w:val="0"/>
                            <w:i w:val="0"/>
                            <w:sz w:val="24"/>
                            <w:u w:val="none"/>
                          </w:rPr>
                          <m:t>,</m:t>
                        </m:r>
                        <m:r>
                          <m:rPr>
                            <m:nor/>
                          </m:rPr>
                          <w:rPr>
                            <w:rFonts w:hint="default" w:ascii="Times New Roman" w:hAnsi="Times New Roman" w:cs="Times New Roman"/>
                            <w:i/>
                            <w:sz w:val="24"/>
                            <w:u w:val="none"/>
                          </w:rPr>
                          <m:t>i</m:t>
                        </m:r>
                        <m:ctrlPr>
                          <w:rPr>
                            <w:rFonts w:hint="default" w:ascii="Cambria Math" w:hAnsi="Cambria Math" w:cs="Times New Roman"/>
                            <w:sz w:val="24"/>
                            <w:u w:val="none"/>
                          </w:rPr>
                        </m:ctrlPr>
                      </m:sub>
                    </m:sSub>
                    <m:sSup>
                      <m:sSupPr>
                        <m:ctrlPr>
                          <w:rPr>
                            <w:rFonts w:hint="default" w:ascii="Cambria Math" w:hAnsi="Cambria Math" w:cs="Times New Roman"/>
                            <w:sz w:val="24"/>
                            <w:u w:val="none"/>
                          </w:rPr>
                        </m:ctrlPr>
                      </m:sSupPr>
                      <m:e>
                        <m:r>
                          <m:rPr>
                            <m:nor/>
                            <m:sty m:val="p"/>
                          </m:rPr>
                          <w:rPr>
                            <w:rFonts w:hint="default" w:ascii="Times New Roman" w:hAnsi="Times New Roman" w:cs="Times New Roman"/>
                            <w:b w:val="0"/>
                            <w:i w:val="0"/>
                            <w:sz w:val="24"/>
                            <w:u w:val="none"/>
                          </w:rPr>
                          <m:t>)</m:t>
                        </m:r>
                        <m:ctrlPr>
                          <w:rPr>
                            <w:rFonts w:hint="default" w:ascii="Cambria Math" w:hAnsi="Cambria Math" w:cs="Times New Roman"/>
                            <w:sz w:val="24"/>
                            <w:u w:val="none"/>
                          </w:rPr>
                        </m:ctrlPr>
                      </m:e>
                      <m:sup>
                        <m:r>
                          <m:rPr>
                            <m:nor/>
                            <m:sty m:val="p"/>
                          </m:rPr>
                          <w:rPr>
                            <w:rFonts w:hint="default" w:ascii="Times New Roman" w:hAnsi="Times New Roman" w:cs="Times New Roman"/>
                            <w:b w:val="0"/>
                            <w:i w:val="0"/>
                            <w:sz w:val="24"/>
                            <w:u w:val="none"/>
                          </w:rPr>
                          <m:t>2</m:t>
                        </m:r>
                        <m:ctrlPr>
                          <w:rPr>
                            <w:rFonts w:hint="default" w:ascii="Cambria Math" w:hAnsi="Cambria Math" w:cs="Times New Roman"/>
                            <w:sz w:val="24"/>
                            <w:u w:val="none"/>
                          </w:rPr>
                        </m:ctrlPr>
                      </m:sup>
                    </m:sSup>
                    <m:ctrlPr>
                      <w:rPr>
                        <w:rFonts w:hint="default" w:ascii="Cambria Math" w:hAnsi="Cambria Math" w:cs="Times New Roman"/>
                        <w:sz w:val="24"/>
                        <w:u w:val="none"/>
                      </w:rPr>
                    </m:ctrlPr>
                  </m:e>
                </m:rad>
              </m:oMath>
            </m:oMathPara>
          </w:p>
        </w:tc>
        <w:tc>
          <w:tcPr>
            <w:tcW w:w="2769" w:type="dxa"/>
            <w:tcBorders>
              <w:top w:val="nil"/>
              <w:left w:val="nil"/>
              <w:bottom w:val="nil"/>
              <w:right w:val="nil"/>
            </w:tcBorders>
            <w:shd w:val="clear" w:color="auto" w:fill="FFFFFF"/>
          </w:tcPr>
          <w:p w14:paraId="11557093">
            <w:pPr>
              <w:pStyle w:val="54"/>
              <w:bidi w:val="0"/>
              <w:rPr>
                <w:rFonts w:hint="default" w:ascii="Times New Roman" w:hAnsi="Times New Roman" w:cs="Times New Roman"/>
                <w:b w:val="0"/>
              </w:rPr>
            </w:pPr>
            <w:r>
              <w:rPr>
                <w:rFonts w:hint="default" w:ascii="Times New Roman" w:hAnsi="Times New Roman" w:cs="Times New Roman"/>
                <w:b w:val="0"/>
              </w:rPr>
              <w:t>对较大 Dk 偏差更敏感，越小越好</w:t>
            </w:r>
          </w:p>
        </w:tc>
      </w:tr>
      <w:tr w14:paraId="59A2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tcPr>
          <w:p w14:paraId="7D015B47">
            <w:pPr>
              <w:pStyle w:val="54"/>
              <w:bidi w:val="0"/>
              <w:rPr>
                <w:rFonts w:hint="default" w:ascii="Times New Roman" w:hAnsi="Times New Roman" w:cs="Times New Roman"/>
                <w:b w:val="0"/>
              </w:rPr>
            </w:pPr>
            <w:r>
              <w:rPr>
                <w:rFonts w:hint="default" w:ascii="Times New Roman" w:hAnsi="Times New Roman" w:cs="Times New Roman"/>
                <w:b w:val="0"/>
              </w:rPr>
              <w:t>等级准确率</w:t>
            </w:r>
          </w:p>
        </w:tc>
        <w:tc>
          <w:tcPr>
            <w:tcW w:w="2769" w:type="dxa"/>
            <w:tcBorders>
              <w:top w:val="nil"/>
              <w:left w:val="nil"/>
              <w:bottom w:val="single" w:color="000000" w:sz="12" w:space="0"/>
              <w:right w:val="nil"/>
            </w:tcBorders>
            <w:shd w:val="clear" w:color="auto" w:fill="FFFFFF"/>
          </w:tcPr>
          <w:p w14:paraId="02AF53A6">
            <w:pPr>
              <w:pStyle w:val="54"/>
              <w:bidi w:val="0"/>
              <w:rPr>
                <w:rFonts w:hint="default" w:ascii="Times New Roman" w:hAnsi="Times New Roman" w:cs="Times New Roman"/>
                <w:b w:val="0"/>
              </w:rPr>
            </w:pPr>
            <w:r>
              <w:rPr>
                <w:rFonts w:hint="default" w:ascii="Times New Roman" w:hAnsi="Times New Roman" w:cs="Times New Roman"/>
                <w:b w:val="0"/>
              </w:rPr>
              <w:t>正确等级工况数 / 总工况数</w:t>
            </w:r>
          </w:p>
        </w:tc>
        <w:tc>
          <w:tcPr>
            <w:tcW w:w="2769" w:type="dxa"/>
            <w:tcBorders>
              <w:top w:val="nil"/>
              <w:left w:val="nil"/>
              <w:bottom w:val="single" w:color="000000" w:sz="12" w:space="0"/>
              <w:right w:val="nil"/>
            </w:tcBorders>
            <w:shd w:val="clear" w:color="auto" w:fill="FFFFFF"/>
          </w:tcPr>
          <w:p w14:paraId="167E4491">
            <w:pPr>
              <w:pStyle w:val="54"/>
              <w:bidi w:val="0"/>
              <w:rPr>
                <w:rFonts w:hint="default" w:ascii="Times New Roman" w:hAnsi="Times New Roman" w:cs="Times New Roman"/>
                <w:b w:val="0"/>
              </w:rPr>
            </w:pPr>
            <w:r>
              <w:rPr>
                <w:rFonts w:hint="default" w:ascii="Times New Roman" w:hAnsi="Times New Roman" w:cs="Times New Roman"/>
                <w:b w:val="0"/>
              </w:rPr>
              <w:t>四级</w:t>
            </w:r>
            <w:r>
              <w:rPr>
                <w:rFonts w:hint="default" w:ascii="Times New Roman" w:hAnsi="Times New Roman" w:cs="Times New Roman"/>
                <w:b w:val="0"/>
                <w:lang w:eastAsia="zh-CN"/>
              </w:rPr>
              <w:t>HS</w:t>
            </w:r>
            <w:r>
              <w:rPr>
                <w:rFonts w:hint="default" w:ascii="Times New Roman" w:hAnsi="Times New Roman" w:cs="Times New Roman"/>
                <w:b w:val="0"/>
              </w:rPr>
              <w:t>判定正确的比例，越高越好</w:t>
            </w:r>
          </w:p>
        </w:tc>
      </w:tr>
    </w:tbl>
    <w:p w14:paraId="640842B0">
      <w:pPr>
        <w:pStyle w:val="3"/>
        <w:rPr>
          <w:rFonts w:hint="default" w:ascii="Times New Roman" w:hAnsi="Times New Roman" w:cs="Times New Roman"/>
        </w:rPr>
      </w:pPr>
      <w:bookmarkStart w:id="25" w:name="_Toc26804"/>
      <w:r>
        <w:rPr>
          <w:rFonts w:hint="default" w:ascii="Times New Roman" w:hAnsi="Times New Roman" w:cs="Times New Roman"/>
          <w:lang w:val="en-US" w:eastAsia="zh-CN"/>
        </w:rPr>
        <w:t>综合模型评价结果</w:t>
      </w:r>
      <w:bookmarkEnd w:id="25"/>
    </w:p>
    <w:p w14:paraId="74245C69">
      <w:pPr>
        <w:ind w:firstLine="480"/>
        <w:rPr>
          <w:rFonts w:hint="default" w:ascii="Times New Roman" w:hAnsi="Times New Roman" w:cs="Times New Roman"/>
        </w:rPr>
      </w:pPr>
      <w:r>
        <w:rPr>
          <w:rFonts w:hint="default" w:ascii="Times New Roman" w:hAnsi="Times New Roman" w:cs="Times New Roman"/>
        </w:rPr>
        <w:t>四类设施专项复核采用相同模型和评价流程。为保持三类工程报告的性能口径统一，报告采用全部设施的综合评价结果作为模型精度指标。</w:t>
      </w:r>
    </w:p>
    <w:p w14:paraId="26799C86">
      <w:pPr>
        <w:pStyle w:val="16"/>
        <w:ind w:firstLine="48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rPr>
        <w:t xml:space="preserve"> 综合模型评价结果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7786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000000" w:sz="12" w:space="0"/>
              <w:left w:val="nil"/>
              <w:bottom w:val="single" w:color="000000" w:sz="4" w:space="0"/>
              <w:right w:val="nil"/>
              <w:tl2br w:val="nil"/>
            </w:tcBorders>
            <w:shd w:val="clear" w:color="auto" w:fill="FFFFFF"/>
          </w:tcPr>
          <w:p w14:paraId="17542E03">
            <w:pPr>
              <w:pStyle w:val="54"/>
              <w:bidi w:val="0"/>
              <w:rPr>
                <w:rFonts w:hint="default" w:ascii="Times New Roman" w:hAnsi="Times New Roman" w:cs="Times New Roman"/>
                <w:b w:val="0"/>
              </w:rPr>
            </w:pPr>
            <w:r>
              <w:rPr>
                <w:rFonts w:hint="default" w:ascii="Times New Roman" w:hAnsi="Times New Roman" w:cs="Times New Roman"/>
                <w:b w:val="0"/>
              </w:rPr>
              <w:t>评价方式</w:t>
            </w:r>
          </w:p>
        </w:tc>
        <w:tc>
          <w:tcPr>
            <w:tcW w:w="1661" w:type="dxa"/>
            <w:tcBorders>
              <w:top w:val="single" w:color="000000" w:sz="12" w:space="0"/>
              <w:left w:val="nil"/>
              <w:bottom w:val="single" w:color="000000" w:sz="4" w:space="0"/>
              <w:right w:val="nil"/>
            </w:tcBorders>
            <w:shd w:val="clear" w:color="auto" w:fill="FFFFFF"/>
          </w:tcPr>
          <w:p w14:paraId="6D636A2E">
            <w:pPr>
              <w:pStyle w:val="54"/>
              <w:bidi w:val="0"/>
              <w:rPr>
                <w:rFonts w:hint="default" w:ascii="Times New Roman" w:hAnsi="Times New Roman" w:cs="Times New Roman"/>
                <w:b w:val="0"/>
              </w:rPr>
            </w:pPr>
            <w:r>
              <w:rPr>
                <w:rFonts w:hint="default" w:ascii="Times New Roman" w:hAnsi="Times New Roman" w:cs="Times New Roman"/>
                <w:b w:val="0"/>
              </w:rPr>
              <w:t>工况数</w:t>
            </w:r>
          </w:p>
        </w:tc>
        <w:tc>
          <w:tcPr>
            <w:tcW w:w="1661" w:type="dxa"/>
            <w:tcBorders>
              <w:top w:val="single" w:color="000000" w:sz="12" w:space="0"/>
              <w:left w:val="nil"/>
              <w:bottom w:val="single" w:color="000000" w:sz="4" w:space="0"/>
              <w:right w:val="nil"/>
            </w:tcBorders>
            <w:shd w:val="clear" w:color="auto" w:fill="FFFFFF"/>
          </w:tcPr>
          <w:p w14:paraId="7ACBCB1D">
            <w:pPr>
              <w:pStyle w:val="54"/>
              <w:bidi w:val="0"/>
              <w:rPr>
                <w:rFonts w:hint="default" w:ascii="Times New Roman" w:hAnsi="Times New Roman" w:cs="Times New Roman"/>
                <w:b w:val="0"/>
              </w:rPr>
            </w:pPr>
            <w:r>
              <w:rPr>
                <w:rFonts w:hint="default" w:ascii="Times New Roman" w:hAnsi="Times New Roman" w:cs="Times New Roman"/>
                <w:b w:val="0"/>
              </w:rPr>
              <w:t>MAE</w:t>
            </w:r>
          </w:p>
        </w:tc>
        <w:tc>
          <w:tcPr>
            <w:tcW w:w="1661" w:type="dxa"/>
            <w:tcBorders>
              <w:top w:val="single" w:color="000000" w:sz="12" w:space="0"/>
              <w:left w:val="nil"/>
              <w:bottom w:val="single" w:color="000000" w:sz="4" w:space="0"/>
              <w:right w:val="nil"/>
            </w:tcBorders>
            <w:shd w:val="clear" w:color="auto" w:fill="FFFFFF"/>
          </w:tcPr>
          <w:p w14:paraId="72D2B370">
            <w:pPr>
              <w:pStyle w:val="54"/>
              <w:bidi w:val="0"/>
              <w:rPr>
                <w:rFonts w:hint="default" w:ascii="Times New Roman" w:hAnsi="Times New Roman" w:cs="Times New Roman"/>
                <w:b w:val="0"/>
              </w:rPr>
            </w:pPr>
            <w:r>
              <w:rPr>
                <w:rFonts w:hint="default" w:ascii="Times New Roman" w:hAnsi="Times New Roman" w:cs="Times New Roman"/>
                <w:b w:val="0"/>
              </w:rPr>
              <w:t>RMSE</w:t>
            </w:r>
          </w:p>
        </w:tc>
        <w:tc>
          <w:tcPr>
            <w:tcW w:w="1661" w:type="dxa"/>
            <w:tcBorders>
              <w:top w:val="single" w:color="000000" w:sz="12" w:space="0"/>
              <w:left w:val="nil"/>
              <w:bottom w:val="single" w:color="000000" w:sz="4" w:space="0"/>
              <w:right w:val="nil"/>
            </w:tcBorders>
            <w:shd w:val="clear" w:color="auto" w:fill="FFFFFF"/>
          </w:tcPr>
          <w:p w14:paraId="1423C02C">
            <w:pPr>
              <w:pStyle w:val="54"/>
              <w:bidi w:val="0"/>
              <w:rPr>
                <w:rFonts w:hint="default" w:ascii="Times New Roman" w:hAnsi="Times New Roman" w:cs="Times New Roman"/>
                <w:b w:val="0"/>
              </w:rPr>
            </w:pPr>
            <w:r>
              <w:rPr>
                <w:rFonts w:hint="default" w:ascii="Times New Roman" w:hAnsi="Times New Roman" w:cs="Times New Roman"/>
                <w:b w:val="0"/>
              </w:rPr>
              <w:t>等级准确率</w:t>
            </w:r>
          </w:p>
        </w:tc>
      </w:tr>
      <w:tr w14:paraId="404F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000000" w:sz="4" w:space="0"/>
              <w:left w:val="nil"/>
              <w:bottom w:val="nil"/>
              <w:right w:val="nil"/>
            </w:tcBorders>
            <w:shd w:val="clear" w:color="auto" w:fill="FFFFFF"/>
            <w:vAlign w:val="top"/>
          </w:tcPr>
          <w:p>
            <w:r>
              <w:t>五折交叉验证</w:t>
            </w:r>
          </w:p>
        </w:tc>
        <w:tc>
          <w:tcPr>
            <w:tcW w:w="1661" w:type="dxa"/>
            <w:tcBorders>
              <w:top w:val="single" w:color="000000" w:sz="4" w:space="0"/>
              <w:left w:val="nil"/>
              <w:bottom w:val="nil"/>
              <w:right w:val="nil"/>
            </w:tcBorders>
            <w:shd w:val="clear" w:color="auto" w:fill="FFFFFF"/>
            <w:vAlign w:val="top"/>
          </w:tcPr>
          <w:p>
            <w:r>
              <w:t>6558</w:t>
            </w:r>
          </w:p>
        </w:tc>
        <w:tc>
          <w:tcPr>
            <w:tcW w:w="1661" w:type="dxa"/>
            <w:tcBorders>
              <w:top w:val="single" w:color="000000" w:sz="4" w:space="0"/>
              <w:left w:val="nil"/>
              <w:bottom w:val="nil"/>
              <w:right w:val="nil"/>
            </w:tcBorders>
            <w:shd w:val="clear" w:color="auto" w:fill="FFFFFF"/>
            <w:vAlign w:val="top"/>
          </w:tcPr>
          <w:p>
            <w:r>
              <w:t>0.0102</w:t>
            </w:r>
          </w:p>
        </w:tc>
        <w:tc>
          <w:tcPr>
            <w:tcW w:w="1661" w:type="dxa"/>
            <w:tcBorders>
              <w:top w:val="single" w:color="000000" w:sz="4" w:space="0"/>
              <w:left w:val="nil"/>
              <w:bottom w:val="nil"/>
              <w:right w:val="nil"/>
            </w:tcBorders>
            <w:shd w:val="clear" w:color="auto" w:fill="FFFFFF"/>
            <w:vAlign w:val="top"/>
          </w:tcPr>
          <w:p>
            <w:r>
              <w:t>0.0462</w:t>
            </w:r>
          </w:p>
        </w:tc>
        <w:tc>
          <w:tcPr>
            <w:tcW w:w="1661" w:type="dxa"/>
            <w:tcBorders>
              <w:top w:val="single" w:color="000000" w:sz="4" w:space="0"/>
              <w:left w:val="nil"/>
              <w:bottom w:val="nil"/>
              <w:right w:val="nil"/>
            </w:tcBorders>
            <w:shd w:val="clear" w:color="auto" w:fill="FFFFFF"/>
            <w:vAlign w:val="top"/>
          </w:tcPr>
          <w:p>
            <w:r>
              <w:t>95.9591%</w:t>
            </w:r>
          </w:p>
        </w:tc>
      </w:tr>
      <w:tr w14:paraId="2F6B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nil"/>
              <w:left w:val="nil"/>
              <w:bottom w:val="single" w:color="000000" w:sz="12" w:space="0"/>
              <w:right w:val="nil"/>
            </w:tcBorders>
            <w:shd w:val="clear" w:color="auto" w:fill="FFFFFF"/>
            <w:vAlign w:val="top"/>
          </w:tcPr>
          <w:p>
            <w:r>
              <w:t>独立测试</w:t>
            </w:r>
          </w:p>
        </w:tc>
        <w:tc>
          <w:tcPr>
            <w:tcW w:w="1661" w:type="dxa"/>
            <w:tcBorders>
              <w:top w:val="nil"/>
              <w:left w:val="nil"/>
              <w:bottom w:val="single" w:color="000000" w:sz="12" w:space="0"/>
              <w:right w:val="nil"/>
            </w:tcBorders>
            <w:shd w:val="clear" w:color="auto" w:fill="FFFFFF"/>
            <w:vAlign w:val="top"/>
          </w:tcPr>
          <w:p>
            <w:r>
              <w:t>1325</w:t>
            </w:r>
          </w:p>
        </w:tc>
        <w:tc>
          <w:tcPr>
            <w:tcW w:w="1661" w:type="dxa"/>
            <w:tcBorders>
              <w:top w:val="nil"/>
              <w:left w:val="nil"/>
              <w:bottom w:val="single" w:color="000000" w:sz="12" w:space="0"/>
              <w:right w:val="nil"/>
            </w:tcBorders>
            <w:shd w:val="clear" w:color="auto" w:fill="FFFFFF"/>
            <w:vAlign w:val="top"/>
          </w:tcPr>
          <w:p>
            <w:r>
              <w:t>0.0084</w:t>
            </w:r>
          </w:p>
        </w:tc>
        <w:tc>
          <w:tcPr>
            <w:tcW w:w="1661" w:type="dxa"/>
            <w:tcBorders>
              <w:top w:val="nil"/>
              <w:left w:val="nil"/>
              <w:bottom w:val="single" w:color="000000" w:sz="12" w:space="0"/>
              <w:right w:val="nil"/>
            </w:tcBorders>
            <w:shd w:val="clear" w:color="auto" w:fill="FFFFFF"/>
            <w:vAlign w:val="top"/>
          </w:tcPr>
          <w:p>
            <w:r>
              <w:t>0.0372</w:t>
            </w:r>
          </w:p>
        </w:tc>
        <w:tc>
          <w:tcPr>
            <w:tcW w:w="1661" w:type="dxa"/>
            <w:tcBorders>
              <w:top w:val="nil"/>
              <w:left w:val="nil"/>
              <w:bottom w:val="single" w:color="000000" w:sz="12" w:space="0"/>
              <w:right w:val="nil"/>
            </w:tcBorders>
            <w:shd w:val="clear" w:color="auto" w:fill="FFFFFF"/>
            <w:vAlign w:val="top"/>
          </w:tcPr>
          <w:p>
            <w:r>
              <w:t>97.2075%</w:t>
            </w:r>
          </w:p>
        </w:tc>
      </w:tr>
    </w:tbl>
    <w:p w14:paraId="377E7EDA">
      <w:pPr>
        <w:ind w:firstLine="480"/>
        <w:rPr>
          <w:rFonts w:hint="default" w:ascii="Times New Roman" w:hAnsi="Times New Roman" w:cs="Times New Roman"/>
        </w:rPr>
      </w:pPr>
      <w:r>
        <w:rPr>
          <w:rFonts w:hint="default" w:ascii="Times New Roman" w:hAnsi="Times New Roman" w:cs="Times New Roman"/>
        </w:rPr>
        <w:t>五折和独立测试的等级准确率均超过 95%，且两者差异较小，表明模型在不同划分方式下保持了较稳定的四级毁伤判定能力。独立测试 MAE 为 0.0084，说明连续 Dk 的平均绝对偏差约为 0.009；RMSE 高于 MAE，反映少量工况存在相对较大的连续值偏差。</w:t>
      </w:r>
      <w:r>
        <w:rPr>
          <w:rFonts w:hint="default" w:ascii="Times New Roman" w:hAnsi="Times New Roman" w:cs="Times New Roman"/>
          <w:vertAlign w:val="subscript"/>
        </w:rPr>
      </w:r>
      <w:r>
        <w:rPr>
          <w:rFonts w:hint="default" w:ascii="Times New Roman" w:hAnsi="Times New Roman" w:cs="Times New Roman"/>
        </w:rPr>
      </w:r>
    </w:p>
    <w:p w14:paraId="5CEA857E">
      <w:pPr>
        <w:pStyle w:val="54"/>
        <w:bidi w:val="0"/>
        <w:rPr>
          <w:rFonts w:hint="default" w:ascii="Times New Roman" w:hAnsi="Times New Roman" w:cs="Times New Roman"/>
        </w:rPr>
      </w:pPr>
      <w:r>
        <w:drawing>
          <wp:inline distT="0" distB="0" distL="114300" distR="114300">
            <wp:extent cx="4646930" cy="4216400"/>
            <wp:effectExtent l="0" t="0" r="0" b="0"/>
            <wp:docPr id="67" name="Picture" descr="图 2 机械制造设施五折交叉验证等级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图 2 机械制造设施五折交叉验证等级混淆矩阵"/>
                    <pic:cNvPicPr>
                      <a:picLocks noChangeAspect="1" noChangeArrowheads="1"/>
                    </pic:cNvPicPr>
                  </pic:nvPicPr>
                  <pic:blipFill>
                    <a:blip r:embed="rId17"/>
                    <a:srcRect l="11831"/>
                    <a:stretch>
                      <a:fillRect/>
                    </a:stretch>
                  </pic:blipFill>
                  <pic:spPr>
                    <a:xfrm>
                      <a:off x="0" y="0"/>
                      <a:ext cx="4646930" cy="4216400"/>
                    </a:xfrm>
                    <a:prstGeom prst="rect">
                      <a:avLst/>
                    </a:prstGeom>
                    <a:noFill/>
                    <a:ln w="9525">
                      <a:noFill/>
                    </a:ln>
                  </pic:spPr>
                </pic:pic>
              </a:graphicData>
            </a:graphic>
          </wp:inline>
        </w:drawing>
      </w:r>
    </w:p>
    <w:p w14:paraId="5CE8D93C">
      <w:pPr>
        <w:pStyle w:val="16"/>
        <w:ind w:firstLine="480"/>
        <w:rPr>
          <w:rFonts w:hint="default" w:ascii="Times New Roman" w:hAnsi="Times New Roman" w:cs="Times New Roman"/>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rPr>
        <w:t xml:space="preserve"> 五折交叉验证等级混淆矩阵</w:t>
      </w:r>
    </w:p>
    <w:p w14:paraId="33903E95">
      <w:pPr>
        <w:pStyle w:val="3"/>
        <w:rPr>
          <w:rFonts w:hint="default" w:ascii="Times New Roman" w:hAnsi="Times New Roman" w:cs="Times New Roman"/>
        </w:rPr>
      </w:pPr>
      <w:bookmarkStart w:id="26" w:name="_Toc2734"/>
      <w:r>
        <w:rPr>
          <w:rFonts w:hint="default" w:ascii="Times New Roman" w:hAnsi="Times New Roman" w:cs="Times New Roman"/>
        </w:rPr>
        <w:t>模型性能评估</w:t>
      </w:r>
      <w:bookmarkEnd w:id="26"/>
    </w:p>
    <w:p w14:paraId="3277C3A0">
      <w:pPr>
        <w:ind w:firstLine="480"/>
        <w:rPr>
          <w:rFonts w:hint="default" w:ascii="Times New Roman" w:hAnsi="Times New Roman" w:cs="Times New Roman"/>
        </w:rPr>
      </w:pPr>
      <w:r>
        <w:rPr>
          <w:rFonts w:hint="eastAsia" w:ascii="Times New Roman" w:hAnsi="Times New Roman" w:cs="Times New Roman"/>
          <w:lang w:val="en-US" w:eastAsia="zh-CN"/>
        </w:rPr>
        <w:t>机械制造与的功能、建筑开口和高价值目标组合更复杂，专项应用采用逐设施模型与 FDS 复核相结合的工程流程。模型直接输出连续 Dk 和四级毁伤结果；对于等级边界附近或方向响应不稳定的工况，程序提示转入 FDS 精细计算，避免低置信度边界工况被直接输出为确定等级。</w:t>
      </w:r>
    </w:p>
    <w:p w14:paraId="0D52A1EB">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default" w:ascii="Times New Roman" w:hAnsi="Times New Roman" w:cs="Times New Roman"/>
        </w:rPr>
        <w:t xml:space="preserve"> 测试结果</w:t>
      </w:r>
    </w:p>
    <w:tbl>
      <w:tblPr>
        <w:tblStyle w:val="12"/>
        <w:tblW w:w="5000" w:type="pct"/>
        <w:tblInd w:w="0" w:type="dxa"/>
        <w:tblLayout w:type="autofit"/>
        <w:tblCellMar>
          <w:top w:w="0" w:type="dxa"/>
          <w:left w:w="108" w:type="dxa"/>
          <w:bottom w:w="0" w:type="dxa"/>
          <w:right w:w="108" w:type="dxa"/>
        </w:tblCellMar>
      </w:tblPr>
      <w:tblGrid>
        <w:gridCol w:w="3033"/>
        <w:gridCol w:w="1829"/>
        <w:gridCol w:w="1886"/>
        <w:gridCol w:w="1774"/>
      </w:tblGrid>
      <w:tr w14:paraId="4795DB35">
        <w:tblPrEx>
          <w:tblCellMar>
            <w:top w:w="0" w:type="dxa"/>
            <w:left w:w="108" w:type="dxa"/>
            <w:bottom w:w="0" w:type="dxa"/>
            <w:right w:w="108" w:type="dxa"/>
          </w:tblCellMar>
        </w:tblPrEx>
        <w:trPr>
          <w:tblHeader/>
        </w:trPr>
        <w:tc>
          <w:tcPr>
            <w:tcW w:w="1779" w:type="pct"/>
            <w:tcBorders>
              <w:top w:val="single" w:color="000000" w:sz="12" w:space="0"/>
              <w:left w:val="nil"/>
              <w:bottom w:val="single" w:color="000000" w:sz="4" w:space="0"/>
              <w:right w:val="nil"/>
              <w:tl2br w:val="nil"/>
            </w:tcBorders>
            <w:shd w:val="clear" w:color="auto" w:fill="FFFFFF"/>
          </w:tcPr>
          <w:p w14:paraId="13404E2D">
            <w:pPr>
              <w:pStyle w:val="54"/>
              <w:bidi w:val="0"/>
              <w:rPr>
                <w:b w:val="0"/>
              </w:rPr>
            </w:pPr>
            <w:r>
              <w:rPr>
                <w:rFonts w:hint="eastAsia"/>
                <w:b w:val="0"/>
              </w:rPr>
              <w:t>设施名称</w:t>
            </w:r>
          </w:p>
        </w:tc>
        <w:tc>
          <w:tcPr>
            <w:tcW w:w="1073" w:type="pct"/>
            <w:tcBorders>
              <w:top w:val="single" w:color="000000" w:sz="12" w:space="0"/>
              <w:left w:val="nil"/>
              <w:bottom w:val="single" w:color="000000" w:sz="4" w:space="0"/>
              <w:right w:val="nil"/>
            </w:tcBorders>
            <w:shd w:val="clear" w:color="auto" w:fill="FFFFFF"/>
          </w:tcPr>
          <w:p w14:paraId="1FEC8AEF">
            <w:pPr>
              <w:pStyle w:val="54"/>
              <w:bidi w:val="0"/>
              <w:rPr>
                <w:b w:val="0"/>
              </w:rPr>
            </w:pPr>
            <w:r>
              <w:rPr>
                <w:rFonts w:hint="eastAsia"/>
                <w:b w:val="0"/>
              </w:rPr>
              <w:t>测试工况数</w:t>
            </w:r>
          </w:p>
        </w:tc>
        <w:tc>
          <w:tcPr>
            <w:tcW w:w="1106" w:type="pct"/>
            <w:tcBorders>
              <w:top w:val="single" w:color="000000" w:sz="12" w:space="0"/>
              <w:left w:val="nil"/>
              <w:bottom w:val="single" w:color="000000" w:sz="4" w:space="0"/>
              <w:right w:val="nil"/>
            </w:tcBorders>
            <w:shd w:val="clear" w:color="auto" w:fill="FFFFFF"/>
          </w:tcPr>
          <w:p w14:paraId="06DC7687">
            <w:pPr>
              <w:pStyle w:val="54"/>
              <w:bidi w:val="0"/>
              <w:rPr>
                <w:b w:val="0"/>
              </w:rPr>
            </w:pPr>
            <w:r>
              <w:rPr>
                <w:rFonts w:hint="eastAsia"/>
                <w:b w:val="0"/>
              </w:rPr>
              <w:t>等级准确率</w:t>
            </w:r>
          </w:p>
        </w:tc>
        <w:tc>
          <w:tcPr>
            <w:tcW w:w="1040" w:type="pct"/>
            <w:tcBorders>
              <w:top w:val="single" w:color="000000" w:sz="12" w:space="0"/>
              <w:left w:val="nil"/>
              <w:bottom w:val="single" w:color="000000" w:sz="4" w:space="0"/>
              <w:right w:val="nil"/>
            </w:tcBorders>
            <w:shd w:val="clear" w:color="auto" w:fill="FFFFFF"/>
          </w:tcPr>
          <w:p w14:paraId="5024ABF8">
            <w:pPr>
              <w:pStyle w:val="54"/>
              <w:bidi w:val="0"/>
              <w:rPr>
                <w:b w:val="0"/>
              </w:rPr>
            </w:pPr>
            <w:r>
              <w:rPr>
                <w:b w:val="0"/>
              </w:rPr>
              <w:t>MAE</w:t>
            </w:r>
          </w:p>
        </w:tc>
      </w:tr>
      <w:tr w14:paraId="5D126604">
        <w:tblPrEx>
          <w:tblCellMar>
            <w:top w:w="0" w:type="dxa"/>
            <w:left w:w="108" w:type="dxa"/>
            <w:bottom w:w="0" w:type="dxa"/>
            <w:right w:w="108" w:type="dxa"/>
          </w:tblCellMar>
        </w:tblPrEx>
        <w:tc>
          <w:tcPr>
            <w:tcW w:w="1779" w:type="pct"/>
            <w:tcBorders>
              <w:top w:val="single" w:color="000000" w:sz="4" w:space="0"/>
              <w:left w:val="nil"/>
              <w:bottom w:val="nil"/>
              <w:right w:val="nil"/>
            </w:tcBorders>
            <w:shd w:val="clear" w:color="auto" w:fill="FFFFFF"/>
          </w:tcPr>
          <w:p>
            <w:r>
              <w:t>机械-总装</w:t>
            </w:r>
          </w:p>
        </w:tc>
        <w:tc>
          <w:tcPr>
            <w:tcW w:w="1073" w:type="pct"/>
            <w:tcBorders>
              <w:top w:val="single" w:color="000000" w:sz="4" w:space="0"/>
              <w:left w:val="nil"/>
              <w:bottom w:val="nil"/>
              <w:right w:val="nil"/>
            </w:tcBorders>
            <w:shd w:val="clear" w:color="auto" w:fill="FFFFFF"/>
          </w:tcPr>
          <w:p>
            <w:r>
              <w:t>22</w:t>
            </w:r>
          </w:p>
        </w:tc>
        <w:tc>
          <w:tcPr>
            <w:tcW w:w="1106" w:type="pct"/>
            <w:tcBorders>
              <w:top w:val="single" w:color="000000" w:sz="4" w:space="0"/>
              <w:left w:val="nil"/>
              <w:bottom w:val="nil"/>
              <w:right w:val="nil"/>
            </w:tcBorders>
            <w:shd w:val="clear" w:color="auto" w:fill="FFFFFF"/>
          </w:tcPr>
          <w:p>
            <w:r>
              <w:t>100.0000%</w:t>
            </w:r>
          </w:p>
        </w:tc>
        <w:tc>
          <w:tcPr>
            <w:tcW w:w="1040" w:type="pct"/>
            <w:tcBorders>
              <w:top w:val="single" w:color="000000" w:sz="4" w:space="0"/>
              <w:left w:val="nil"/>
              <w:bottom w:val="nil"/>
              <w:right w:val="nil"/>
            </w:tcBorders>
            <w:shd w:val="clear" w:color="auto" w:fill="FFFFFF"/>
          </w:tcPr>
          <w:p>
            <w:r>
              <w:t>0.000639</w:t>
            </w:r>
          </w:p>
        </w:tc>
      </w:tr>
      <w:tr w14:paraId="72D3FD2F">
        <w:tblPrEx>
          <w:tblCellMar>
            <w:top w:w="0" w:type="dxa"/>
            <w:left w:w="108" w:type="dxa"/>
            <w:bottom w:w="0" w:type="dxa"/>
            <w:right w:w="108" w:type="dxa"/>
          </w:tblCellMar>
        </w:tblPrEx>
        <w:tc>
          <w:tcPr>
            <w:tcW w:w="1779" w:type="pct"/>
            <w:tcBorders>
              <w:top w:val="nil"/>
              <w:left w:val="nil"/>
              <w:bottom w:val="nil"/>
              <w:right w:val="nil"/>
            </w:tcBorders>
            <w:shd w:val="clear" w:color="auto" w:fill="FFFFFF"/>
          </w:tcPr>
          <w:p>
            <w:r>
              <w:t>机械-机械加工</w:t>
            </w:r>
          </w:p>
        </w:tc>
        <w:tc>
          <w:tcPr>
            <w:tcW w:w="1073" w:type="pct"/>
            <w:tcBorders>
              <w:top w:val="nil"/>
              <w:left w:val="nil"/>
              <w:bottom w:val="nil"/>
              <w:right w:val="nil"/>
            </w:tcBorders>
            <w:shd w:val="clear" w:color="auto" w:fill="FFFFFF"/>
          </w:tcPr>
          <w:p>
            <w:r>
              <w:t>22</w:t>
            </w:r>
          </w:p>
        </w:tc>
        <w:tc>
          <w:tcPr>
            <w:tcW w:w="1106" w:type="pct"/>
            <w:tcBorders>
              <w:top w:val="nil"/>
              <w:left w:val="nil"/>
              <w:bottom w:val="nil"/>
              <w:right w:val="nil"/>
            </w:tcBorders>
            <w:shd w:val="clear" w:color="auto" w:fill="FFFFFF"/>
          </w:tcPr>
          <w:p>
            <w:r>
              <w:t>100.0000%</w:t>
            </w:r>
          </w:p>
        </w:tc>
        <w:tc>
          <w:tcPr>
            <w:tcW w:w="1040" w:type="pct"/>
            <w:tcBorders>
              <w:top w:val="nil"/>
              <w:left w:val="nil"/>
              <w:bottom w:val="nil"/>
              <w:right w:val="nil"/>
            </w:tcBorders>
            <w:shd w:val="clear" w:color="auto" w:fill="FFFFFF"/>
          </w:tcPr>
          <w:p>
            <w:r>
              <w:t>0.000159</w:t>
            </w:r>
          </w:p>
        </w:tc>
      </w:tr>
      <w:tr w14:paraId="11B8A2B5">
        <w:tc>
          <w:tcPr>
            <w:tcW w:w="1779" w:type="pct"/>
            <w:tcBorders>
              <w:top w:val="nil"/>
              <w:left w:val="nil"/>
              <w:bottom w:val="nil"/>
              <w:right w:val="nil"/>
            </w:tcBorders>
            <w:shd w:val="clear" w:color="auto" w:fill="FFFFFF"/>
          </w:tcPr>
          <w:p>
            <w:r>
              <w:t>机械-部装</w:t>
            </w:r>
          </w:p>
        </w:tc>
        <w:tc>
          <w:tcPr>
            <w:tcW w:w="1073" w:type="pct"/>
            <w:tcBorders>
              <w:top w:val="nil"/>
              <w:left w:val="nil"/>
              <w:bottom w:val="nil"/>
              <w:right w:val="nil"/>
            </w:tcBorders>
            <w:shd w:val="clear" w:color="auto" w:fill="FFFFFF"/>
          </w:tcPr>
          <w:p>
            <w:r>
              <w:t>22</w:t>
            </w:r>
          </w:p>
        </w:tc>
        <w:tc>
          <w:tcPr>
            <w:tcW w:w="1106" w:type="pct"/>
            <w:tcBorders>
              <w:top w:val="nil"/>
              <w:left w:val="nil"/>
              <w:bottom w:val="nil"/>
              <w:right w:val="nil"/>
            </w:tcBorders>
            <w:shd w:val="clear" w:color="auto" w:fill="FFFFFF"/>
          </w:tcPr>
          <w:p>
            <w:r>
              <w:t>100.0000%</w:t>
            </w:r>
          </w:p>
        </w:tc>
        <w:tc>
          <w:tcPr>
            <w:tcW w:w="1040" w:type="pct"/>
            <w:tcBorders>
              <w:top w:val="nil"/>
              <w:left w:val="nil"/>
              <w:bottom w:val="nil"/>
              <w:right w:val="nil"/>
            </w:tcBorders>
            <w:shd w:val="clear" w:color="auto" w:fill="FFFFFF"/>
          </w:tcPr>
          <w:p>
            <w:r>
              <w:t>0.000000</w:t>
            </w:r>
          </w:p>
        </w:tc>
      </w:tr>
      <w:tr w14:paraId="59EB52B4">
        <w:tblPrEx>
          <w:tblCellMar>
            <w:top w:w="0" w:type="dxa"/>
            <w:left w:w="108" w:type="dxa"/>
            <w:bottom w:w="0" w:type="dxa"/>
            <w:right w:w="108" w:type="dxa"/>
          </w:tblCellMar>
        </w:tblPrEx>
        <w:tc>
          <w:tcPr>
            <w:tcW w:w="1779" w:type="pct"/>
            <w:tcBorders>
              <w:top w:val="nil"/>
              <w:left w:val="nil"/>
              <w:bottom w:val="nil"/>
              <w:right w:val="nil"/>
            </w:tcBorders>
            <w:shd w:val="clear" w:color="auto" w:fill="FFFFFF"/>
          </w:tcPr>
          <w:p>
            <w:r>
              <w:t>机械制造设施</w:t>
            </w:r>
          </w:p>
        </w:tc>
        <w:tc>
          <w:tcPr>
            <w:tcW w:w="1073" w:type="pct"/>
            <w:tcBorders>
              <w:top w:val="nil"/>
              <w:left w:val="nil"/>
              <w:bottom w:val="nil"/>
              <w:right w:val="nil"/>
            </w:tcBorders>
            <w:shd w:val="clear" w:color="auto" w:fill="FFFFFF"/>
          </w:tcPr>
          <w:p>
            <w:r>
              <w:t>17</w:t>
            </w:r>
          </w:p>
        </w:tc>
        <w:tc>
          <w:tcPr>
            <w:tcW w:w="1106" w:type="pct"/>
            <w:tcBorders>
              <w:top w:val="nil"/>
              <w:left w:val="nil"/>
              <w:bottom w:val="nil"/>
              <w:right w:val="nil"/>
            </w:tcBorders>
            <w:shd w:val="clear" w:color="auto" w:fill="FFFFFF"/>
          </w:tcPr>
          <w:p>
            <w:r>
              <w:t>100.0000%</w:t>
            </w:r>
          </w:p>
        </w:tc>
        <w:tc>
          <w:tcPr>
            <w:tcW w:w="1040" w:type="pct"/>
            <w:tcBorders>
              <w:top w:val="nil"/>
              <w:left w:val="nil"/>
              <w:bottom w:val="nil"/>
              <w:right w:val="nil"/>
            </w:tcBorders>
            <w:shd w:val="clear" w:color="auto" w:fill="FFFFFF"/>
          </w:tcPr>
          <w:p>
            <w:r>
              <w:t>0.009555</w:t>
            </w:r>
          </w:p>
        </w:tc>
      </w:tr>
      <w:tr w14:paraId="5B5D4610">
        <w:tblPrEx>
          <w:tblCellMar>
            <w:top w:w="0" w:type="dxa"/>
            <w:left w:w="108" w:type="dxa"/>
            <w:bottom w:w="0" w:type="dxa"/>
            <w:right w:w="108" w:type="dxa"/>
          </w:tblCellMar>
        </w:tblPrEx>
        <w:tc>
          <w:tcPr>
            <w:tcW w:w="1779" w:type="pct"/>
            <w:tcBorders>
              <w:top w:val="nil"/>
              <w:left w:val="nil"/>
              <w:bottom w:val="nil"/>
              <w:right w:val="nil"/>
            </w:tcBorders>
            <w:shd w:val="clear" w:color="auto" w:fill="FFFFFF"/>
          </w:tcPr>
          <w:p w14:paraId="7114E89F">
            <w:pPr>
              <w:pStyle w:val="54"/>
              <w:bidi w:val="0"/>
              <w:rPr>
                <w:b w:val="0"/>
              </w:rPr>
            </w:pPr>
            <w:r>
              <w:rPr>
                <w:rFonts w:hint="eastAsia"/>
                <w:b w:val="0"/>
              </w:rPr>
              <w:t>大型机械制造等效设施</w:t>
            </w:r>
          </w:p>
        </w:tc>
        <w:tc>
          <w:tcPr>
            <w:tcW w:w="1073" w:type="pct"/>
            <w:tcBorders>
              <w:top w:val="nil"/>
              <w:left w:val="nil"/>
              <w:bottom w:val="nil"/>
              <w:right w:val="nil"/>
            </w:tcBorders>
            <w:shd w:val="clear" w:color="auto" w:fill="FFFFFF"/>
          </w:tcPr>
          <w:p>
            <w:r>
              <w:t>36</w:t>
            </w:r>
          </w:p>
        </w:tc>
        <w:tc>
          <w:tcPr>
            <w:tcW w:w="1106" w:type="pct"/>
            <w:tcBorders>
              <w:top w:val="nil"/>
              <w:left w:val="nil"/>
              <w:bottom w:val="nil"/>
              <w:right w:val="nil"/>
            </w:tcBorders>
            <w:shd w:val="clear" w:color="auto" w:fill="FFFFFF"/>
          </w:tcPr>
          <w:p>
            <w:r>
              <w:t>94.4444%</w:t>
            </w:r>
          </w:p>
        </w:tc>
        <w:tc>
          <w:tcPr>
            <w:tcW w:w="1040" w:type="pct"/>
            <w:tcBorders>
              <w:top w:val="nil"/>
              <w:left w:val="nil"/>
              <w:bottom w:val="nil"/>
              <w:right w:val="nil"/>
            </w:tcBorders>
            <w:shd w:val="clear" w:color="auto" w:fill="FFFFFF"/>
          </w:tcPr>
          <w:p>
            <w:r>
              <w:t>0.000785</w:t>
            </w:r>
          </w:p>
        </w:tc>
      </w:tr>
      <w:tr w14:paraId="2BBFB77C">
        <w:tblPrEx>
          <w:tblCellMar>
            <w:top w:w="0" w:type="dxa"/>
            <w:left w:w="108" w:type="dxa"/>
            <w:bottom w:w="0" w:type="dxa"/>
            <w:right w:w="108" w:type="dxa"/>
          </w:tblCellMar>
        </w:tblPrEx>
        <w:tc>
          <w:tcPr>
            <w:tcW w:w="1779" w:type="pct"/>
            <w:tcBorders>
              <w:top w:val="nil"/>
              <w:left w:val="nil"/>
              <w:bottom w:val="nil"/>
              <w:right w:val="nil"/>
            </w:tcBorders>
            <w:shd w:val="clear" w:color="auto" w:fill="FFFFFF"/>
          </w:tcPr>
          <w:p w14:paraId="157B407C">
            <w:pPr>
              <w:pStyle w:val="54"/>
              <w:bidi w:val="0"/>
              <w:rPr>
                <w:b w:val="0"/>
              </w:rPr>
            </w:pPr>
            <w:r>
              <w:rPr>
                <w:rFonts w:hint="eastAsia"/>
                <w:b w:val="0"/>
              </w:rPr>
              <w:t>中型机械制造等效设施</w:t>
            </w:r>
          </w:p>
        </w:tc>
        <w:tc>
          <w:tcPr>
            <w:tcW w:w="1073" w:type="pct"/>
            <w:tcBorders>
              <w:top w:val="nil"/>
              <w:left w:val="nil"/>
              <w:bottom w:val="nil"/>
              <w:right w:val="nil"/>
            </w:tcBorders>
            <w:shd w:val="clear" w:color="auto" w:fill="FFFFFF"/>
          </w:tcPr>
          <w:p>
            <w:r>
              <w:t>32</w:t>
            </w:r>
          </w:p>
        </w:tc>
        <w:tc>
          <w:tcPr>
            <w:tcW w:w="1106" w:type="pct"/>
            <w:tcBorders>
              <w:top w:val="nil"/>
              <w:left w:val="nil"/>
              <w:bottom w:val="nil"/>
              <w:right w:val="nil"/>
            </w:tcBorders>
            <w:shd w:val="clear" w:color="auto" w:fill="FFFFFF"/>
          </w:tcPr>
          <w:p>
            <w:r>
              <w:t>90.6250%</w:t>
            </w:r>
          </w:p>
        </w:tc>
        <w:tc>
          <w:tcPr>
            <w:tcW w:w="1040" w:type="pct"/>
            <w:tcBorders>
              <w:top w:val="nil"/>
              <w:left w:val="nil"/>
              <w:bottom w:val="nil"/>
              <w:right w:val="nil"/>
            </w:tcBorders>
            <w:shd w:val="clear" w:color="auto" w:fill="FFFFFF"/>
          </w:tcPr>
          <w:p>
            <w:r>
              <w:t>0.012832</w:t>
            </w:r>
          </w:p>
        </w:tc>
      </w:tr>
      <w:tr w14:paraId="3DA34803">
        <w:tc>
          <w:tcPr>
            <w:tcW w:w="1779" w:type="pct"/>
            <w:tcBorders>
              <w:top w:val="nil"/>
              <w:left w:val="nil"/>
              <w:bottom w:val="nil"/>
              <w:right w:val="nil"/>
            </w:tcBorders>
            <w:shd w:val="clear" w:color="auto" w:fill="FFFFFF"/>
          </w:tcPr>
          <w:p w14:paraId="5DCB7657">
            <w:pPr>
              <w:pStyle w:val="54"/>
              <w:bidi w:val="0"/>
              <w:rPr>
                <w:b w:val="0"/>
              </w:rPr>
            </w:pPr>
            <w:r>
              <w:rPr>
                <w:rFonts w:hint="eastAsia"/>
                <w:b w:val="0"/>
              </w:rPr>
              <w:t>小型机械制造等效设施</w:t>
            </w:r>
          </w:p>
        </w:tc>
        <w:tc>
          <w:tcPr>
            <w:tcW w:w="1073" w:type="pct"/>
            <w:tcBorders>
              <w:top w:val="nil"/>
              <w:left w:val="nil"/>
              <w:bottom w:val="nil"/>
              <w:right w:val="nil"/>
            </w:tcBorders>
            <w:shd w:val="clear" w:color="auto" w:fill="FFFFFF"/>
          </w:tcPr>
          <w:p>
            <w:r>
              <w:t>36</w:t>
            </w:r>
          </w:p>
        </w:tc>
        <w:tc>
          <w:tcPr>
            <w:tcW w:w="1106" w:type="pct"/>
            <w:tcBorders>
              <w:top w:val="nil"/>
              <w:left w:val="nil"/>
              <w:bottom w:val="nil"/>
              <w:right w:val="nil"/>
            </w:tcBorders>
            <w:shd w:val="clear" w:color="auto" w:fill="FFFFFF"/>
          </w:tcPr>
          <w:p>
            <w:r>
              <w:t>94.4444%</w:t>
            </w:r>
          </w:p>
        </w:tc>
        <w:tc>
          <w:tcPr>
            <w:tcW w:w="1040" w:type="pct"/>
            <w:tcBorders>
              <w:top w:val="nil"/>
              <w:left w:val="nil"/>
              <w:bottom w:val="nil"/>
              <w:right w:val="nil"/>
            </w:tcBorders>
            <w:shd w:val="clear" w:color="auto" w:fill="FFFFFF"/>
          </w:tcPr>
          <w:p>
            <w:r>
              <w:t>0.009282</w:t>
            </w:r>
          </w:p>
        </w:tc>
      </w:tr>
      <w:tr w14:paraId="591DD614">
        <w:tblPrEx>
          <w:tblCellMar>
            <w:top w:w="0" w:type="dxa"/>
            <w:left w:w="108" w:type="dxa"/>
            <w:bottom w:w="0" w:type="dxa"/>
            <w:right w:w="108" w:type="dxa"/>
          </w:tblCellMar>
        </w:tblPrEx>
        <w:tc>
          <w:tcPr>
            <w:tcW w:w="1779" w:type="pct"/>
            <w:tcBorders>
              <w:top w:val="nil"/>
              <w:left w:val="nil"/>
              <w:bottom w:val="single" w:color="000000" w:sz="12" w:space="0"/>
              <w:right w:val="nil"/>
            </w:tcBorders>
            <w:shd w:val="clear" w:color="auto" w:fill="FFFFFF"/>
          </w:tcPr>
          <w:p w14:paraId="3459F746">
            <w:pPr>
              <w:pStyle w:val="54"/>
              <w:bidi w:val="0"/>
              <w:rPr>
                <w:b w:val="0"/>
              </w:rPr>
            </w:pPr>
            <w:r>
              <w:rPr>
                <w:rFonts w:hint="eastAsia"/>
                <w:b w:val="0"/>
              </w:rPr>
              <w:t>机械制造类合计</w:t>
            </w:r>
          </w:p>
        </w:tc>
        <w:tc>
          <w:tcPr>
            <w:tcW w:w="1073" w:type="pct"/>
            <w:tcBorders>
              <w:top w:val="nil"/>
              <w:left w:val="nil"/>
              <w:bottom w:val="single" w:color="000000" w:sz="12" w:space="0"/>
              <w:right w:val="nil"/>
            </w:tcBorders>
            <w:shd w:val="clear" w:color="auto" w:fill="FFFFFF"/>
          </w:tcPr>
          <w:p>
            <w:r>
              <w:t>187</w:t>
            </w:r>
          </w:p>
        </w:tc>
        <w:tc>
          <w:tcPr>
            <w:tcW w:w="1106" w:type="pct"/>
            <w:tcBorders>
              <w:top w:val="nil"/>
              <w:left w:val="nil"/>
              <w:bottom w:val="single" w:color="000000" w:sz="12" w:space="0"/>
              <w:right w:val="nil"/>
            </w:tcBorders>
            <w:shd w:val="clear" w:color="auto" w:fill="FFFFFF"/>
          </w:tcPr>
          <w:p>
            <w:r>
              <w:t>96.2567%</w:t>
            </w:r>
          </w:p>
        </w:tc>
        <w:tc>
          <w:tcPr>
            <w:tcW w:w="1040" w:type="pct"/>
            <w:tcBorders>
              <w:top w:val="nil"/>
              <w:left w:val="nil"/>
              <w:bottom w:val="single" w:color="000000" w:sz="12" w:space="0"/>
              <w:right w:val="nil"/>
            </w:tcBorders>
            <w:shd w:val="clear" w:color="auto" w:fill="FFFFFF"/>
          </w:tcPr>
          <w:p>
            <w:r>
              <w:t>0.005096</w:t>
            </w:r>
          </w:p>
        </w:tc>
      </w:tr>
    </w:tbl>
    <w:p w14:paraId="5662D1E4">
      <w:pPr>
        <w:rPr>
          <w:rFonts w:hint="default" w:ascii="Times New Roman" w:hAnsi="Times New Roman" w:cs="Times New Roman"/>
          <w:lang w:val="en-US" w:eastAsia="zh-CN"/>
        </w:rPr>
      </w:pPr>
      <w:r>
        <w:rPr>
          <w:rFonts w:hint="default" w:ascii="Times New Roman" w:hAnsi="Times New Roman" w:cs="Times New Roman"/>
          <w:lang w:val="en-US" w:eastAsia="zh-CN"/>
        </w:rPr>
        <w:t>分设施结果显示，弗莱马斯特、格里森、哈比森-费希尔以及大、小型等效设施在独立测试中保持了稳定的等级判断。特斯拉机械制造设施覆盖从基本完好到严重破坏的较宽 Dk 范围，测试准确率为 100.0000%。中型等效设施的等级误差主要出现在阈值邻近工况；结合连续 MAE 可对这些边界条件进行进一步排序。</w:t>
      </w:r>
    </w:p>
    <w:p w14:paraId="082F665A">
      <w:pPr>
        <w:rPr>
          <w:rFonts w:hint="default" w:ascii="Times New Roman" w:hAnsi="Times New Roman" w:cs="Times New Roman"/>
        </w:rPr>
      </w:pPr>
      <w:r>
        <w:rPr>
          <w:rFonts w:hint="default" w:ascii="Times New Roman" w:hAnsi="Times New Roman" w:cs="Times New Roman"/>
        </w:rPr>
        <w:br w:type="page"/>
      </w:r>
    </w:p>
    <w:p w14:paraId="5B9CF09A">
      <w:pPr>
        <w:pStyle w:val="2"/>
        <w:rPr>
          <w:rFonts w:hint="default" w:ascii="Times New Roman" w:hAnsi="Times New Roman" w:cs="Times New Roman"/>
        </w:rPr>
      </w:pPr>
      <w:bookmarkStart w:id="27" w:name="_Toc15245"/>
      <w:r>
        <w:rPr>
          <w:rFonts w:hint="default" w:ascii="Times New Roman" w:hAnsi="Times New Roman" w:cs="Times New Roman"/>
        </w:rPr>
        <w:t>仿真程序集成与界面展示</w:t>
      </w:r>
      <w:bookmarkEnd w:id="27"/>
    </w:p>
    <w:p w14:paraId="6F8425C0">
      <w:pPr>
        <w:rPr>
          <w:rFonts w:hint="default" w:ascii="Times New Roman" w:hAnsi="Times New Roman" w:cs="Times New Roman"/>
        </w:rPr>
      </w:pPr>
      <w:r>
        <w:rPr>
          <w:rFonts w:hint="default" w:ascii="Times New Roman" w:hAnsi="Times New Roman" w:cs="Times New Roman"/>
        </w:rPr>
        <w:t>代理模型已完整集成至仿真程序系统中，实现了从热辐射参数输入到</w:t>
      </w:r>
      <w:r>
        <w:rPr>
          <w:rFonts w:hint="default" w:ascii="Times New Roman" w:hAnsi="Times New Roman" w:cs="Times New Roman"/>
          <w:lang w:eastAsia="zh-CN"/>
        </w:rPr>
        <w:t>HS</w:t>
      </w:r>
      <w:r>
        <w:rPr>
          <w:rFonts w:hint="default" w:ascii="Times New Roman" w:hAnsi="Times New Roman" w:cs="Times New Roman"/>
        </w:rPr>
        <w:t>评估结果输出的全流程自动化。本章介绍系统集成架构、快速计算仿真链路和工程预测界面说明。</w:t>
      </w:r>
    </w:p>
    <w:p w14:paraId="08829230">
      <w:pPr>
        <w:pStyle w:val="3"/>
        <w:rPr>
          <w:rFonts w:hint="default" w:ascii="Times New Roman" w:hAnsi="Times New Roman" w:cs="Times New Roman"/>
        </w:rPr>
      </w:pPr>
      <w:bookmarkStart w:id="28" w:name="_Toc25339"/>
      <w:r>
        <w:rPr>
          <w:rFonts w:hint="default" w:ascii="Times New Roman" w:hAnsi="Times New Roman" w:cs="Times New Roman"/>
        </w:rPr>
        <w:t>系统集成架构</w:t>
      </w:r>
      <w:bookmarkEnd w:id="28"/>
    </w:p>
    <w:p w14:paraId="5D71D1D1">
      <w:pPr>
        <w:rPr>
          <w:rFonts w:hint="default" w:ascii="Times New Roman" w:hAnsi="Times New Roman" w:cs="Times New Roman"/>
        </w:rPr>
      </w:pPr>
      <w:r>
        <w:rPr>
          <w:rFonts w:hint="default" w:ascii="Times New Roman" w:hAnsi="Times New Roman" w:cs="Times New Roman"/>
        </w:rPr>
        <w:t>代理模型已经集成到仿真程序的工程快速预测功能中。用户完成设施选择并设置热辐射方位角、俯仰角、热通量和持续时间后，程序自动读取当前设施的建筑、开口、可燃物与敏感目标信息，形成模型输入，并完成连续 Dk 与四级HS结果计算。</w:t>
      </w:r>
    </w:p>
    <w:p w14:paraId="44A74466">
      <w:pPr>
        <w:rPr>
          <w:rFonts w:hint="default" w:ascii="Times New Roman" w:hAnsi="Times New Roman" w:cs="Times New Roman"/>
        </w:rPr>
      </w:pPr>
      <w:r>
        <w:rPr>
          <w:rFonts w:hint="default" w:ascii="Times New Roman" w:hAnsi="Times New Roman" w:cs="Times New Roman"/>
        </w:rPr>
        <w:t>预测结果界面以设施名称和本次热源工况为基础信息，突出显示设施整体毁伤等级，同时显示本次模型加载和推理耗时。热源参数区分别显示方位角、俯仰角、目标热通量和持续时间。程序在预测过程中显示加载状态；首次模型加载通常为数秒，后续预测受缓存影响会明显加快。</w:t>
      </w:r>
      <w:r/>
      <w:r/>
      <w:r/>
    </w:p>
    <w:p w14:paraId="4C53DD50">
      <w:pPr>
        <w:rPr>
          <w:rFonts w:hint="default" w:ascii="Times New Roman" w:hAnsi="Times New Roman" w:cs="Times New Roman"/>
        </w:rPr>
      </w:pPr>
    </w:p>
    <w:p w14:paraId="7EA19CC6">
      <w:pPr>
        <w:pStyle w:val="3"/>
        <w:rPr>
          <w:rFonts w:hint="default" w:ascii="Times New Roman" w:hAnsi="Times New Roman" w:cs="Times New Roman"/>
        </w:rPr>
      </w:pPr>
      <w:bookmarkStart w:id="29" w:name="_Toc835"/>
      <w:r>
        <w:rPr>
          <w:rFonts w:hint="default" w:ascii="Times New Roman" w:hAnsi="Times New Roman" w:cs="Times New Roman"/>
          <w:lang w:val="en-US" w:eastAsia="zh-CN"/>
        </w:rPr>
        <w:t>程序操作流程</w:t>
      </w:r>
      <w:bookmarkEnd w:id="29"/>
    </w:p>
    <w:p w14:paraId="13CC3715">
      <w:pPr>
        <w:pStyle w:val="16"/>
        <w:rPr>
          <w:rFonts w:hint="default" w:ascii="Times New Roman" w:hAnsi="Times New Roman" w:eastAsia="宋体" w:cs="Times New Roman"/>
          <w:lang w:val="en-US"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工程快速预测操作流程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3228"/>
        <w:gridCol w:w="3570"/>
      </w:tblGrid>
      <w:tr w14:paraId="4FEA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000000" w:sz="12" w:space="0"/>
              <w:left w:val="nil"/>
              <w:bottom w:val="single" w:color="000000" w:sz="4" w:space="0"/>
              <w:right w:val="nil"/>
              <w:tl2br w:val="nil"/>
            </w:tcBorders>
            <w:shd w:val="clear" w:color="auto" w:fill="FFFFFF"/>
          </w:tcPr>
          <w:p w14:paraId="4443D8BD">
            <w:pPr>
              <w:pStyle w:val="54"/>
              <w:bidi w:val="0"/>
              <w:rPr>
                <w:rFonts w:hint="default" w:ascii="Times New Roman" w:hAnsi="Times New Roman" w:cs="Times New Roman"/>
                <w:b w:val="0"/>
              </w:rPr>
            </w:pPr>
            <w:r>
              <w:rPr>
                <w:rFonts w:hint="default" w:ascii="Times New Roman" w:hAnsi="Times New Roman" w:cs="Times New Roman"/>
                <w:b w:val="0"/>
              </w:rPr>
              <w:t>阶段</w:t>
            </w:r>
          </w:p>
        </w:tc>
        <w:tc>
          <w:tcPr>
            <w:tcW w:w="3228" w:type="dxa"/>
            <w:tcBorders>
              <w:top w:val="single" w:color="000000" w:sz="12" w:space="0"/>
              <w:left w:val="nil"/>
              <w:bottom w:val="single" w:color="000000" w:sz="4" w:space="0"/>
              <w:right w:val="nil"/>
            </w:tcBorders>
            <w:shd w:val="clear" w:color="auto" w:fill="FFFFFF"/>
          </w:tcPr>
          <w:p w14:paraId="431F84D3">
            <w:pPr>
              <w:pStyle w:val="54"/>
              <w:bidi w:val="0"/>
              <w:rPr>
                <w:rFonts w:hint="default" w:ascii="Times New Roman" w:hAnsi="Times New Roman" w:cs="Times New Roman"/>
                <w:b w:val="0"/>
              </w:rPr>
            </w:pPr>
            <w:r>
              <w:rPr>
                <w:rFonts w:hint="default" w:ascii="Times New Roman" w:hAnsi="Times New Roman" w:cs="Times New Roman"/>
                <w:b w:val="0"/>
              </w:rPr>
              <w:t>程序操作</w:t>
            </w:r>
          </w:p>
        </w:tc>
        <w:tc>
          <w:tcPr>
            <w:tcW w:w="3570" w:type="dxa"/>
            <w:tcBorders>
              <w:top w:val="single" w:color="000000" w:sz="12" w:space="0"/>
              <w:left w:val="nil"/>
              <w:bottom w:val="single" w:color="000000" w:sz="4" w:space="0"/>
              <w:right w:val="nil"/>
            </w:tcBorders>
            <w:shd w:val="clear" w:color="auto" w:fill="FFFFFF"/>
          </w:tcPr>
          <w:p w14:paraId="7865B672">
            <w:pPr>
              <w:pStyle w:val="54"/>
              <w:bidi w:val="0"/>
              <w:rPr>
                <w:rFonts w:hint="default" w:ascii="Times New Roman" w:hAnsi="Times New Roman" w:cs="Times New Roman"/>
                <w:b w:val="0"/>
              </w:rPr>
            </w:pPr>
            <w:r>
              <w:rPr>
                <w:rFonts w:hint="default" w:ascii="Times New Roman" w:hAnsi="Times New Roman" w:cs="Times New Roman"/>
                <w:b w:val="0"/>
              </w:rPr>
              <w:t>输出内容</w:t>
            </w:r>
          </w:p>
        </w:tc>
      </w:tr>
      <w:tr w14:paraId="2E85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000000" w:sz="4" w:space="0"/>
              <w:left w:val="nil"/>
              <w:bottom w:val="nil"/>
              <w:right w:val="nil"/>
            </w:tcBorders>
            <w:shd w:val="clear" w:color="auto" w:fill="FFFFFF"/>
          </w:tcPr>
          <w:p w14:paraId="7297D0C5">
            <w:pPr>
              <w:pStyle w:val="54"/>
              <w:bidi w:val="0"/>
              <w:rPr>
                <w:rFonts w:hint="default" w:ascii="Times New Roman" w:hAnsi="Times New Roman" w:cs="Times New Roman"/>
                <w:b w:val="0"/>
              </w:rPr>
            </w:pPr>
            <w:r>
              <w:rPr>
                <w:rFonts w:hint="default" w:ascii="Times New Roman" w:hAnsi="Times New Roman" w:cs="Times New Roman"/>
                <w:b w:val="0"/>
              </w:rPr>
              <w:t>1</w:t>
            </w:r>
          </w:p>
        </w:tc>
        <w:tc>
          <w:tcPr>
            <w:tcW w:w="3228" w:type="dxa"/>
            <w:tcBorders>
              <w:top w:val="single" w:color="000000" w:sz="4" w:space="0"/>
              <w:left w:val="nil"/>
              <w:bottom w:val="nil"/>
              <w:right w:val="nil"/>
            </w:tcBorders>
            <w:shd w:val="clear" w:color="auto" w:fill="FFFFFF"/>
          </w:tcPr>
          <w:p w14:paraId="0A5DE214">
            <w:pPr>
              <w:pStyle w:val="54"/>
              <w:bidi w:val="0"/>
              <w:rPr>
                <w:rFonts w:hint="default" w:ascii="Times New Roman" w:hAnsi="Times New Roman" w:cs="Times New Roman"/>
                <w:b w:val="0"/>
              </w:rPr>
            </w:pPr>
            <w:r>
              <w:rPr>
                <w:rFonts w:hint="default" w:ascii="Times New Roman" w:hAnsi="Times New Roman" w:cs="Times New Roman"/>
                <w:b w:val="0"/>
              </w:rPr>
              <w:t>选择</w:t>
            </w:r>
            <w:r>
              <w:rPr>
                <w:rFonts w:hint="eastAsia" w:ascii="Times New Roman" w:hAnsi="Times New Roman" w:cs="Times New Roman"/>
                <w:b w:val="0"/>
                <w:lang w:eastAsia="zh-CN"/>
              </w:rPr>
              <w:t>机械制造</w:t>
            </w:r>
            <w:r>
              <w:rPr>
                <w:rFonts w:hint="default" w:ascii="Times New Roman" w:hAnsi="Times New Roman" w:cs="Times New Roman"/>
                <w:b w:val="0"/>
              </w:rPr>
              <w:t>设施或及规模</w:t>
            </w:r>
          </w:p>
        </w:tc>
        <w:tc>
          <w:tcPr>
            <w:tcW w:w="3570" w:type="dxa"/>
            <w:tcBorders>
              <w:top w:val="single" w:color="000000" w:sz="4" w:space="0"/>
              <w:left w:val="nil"/>
              <w:bottom w:val="nil"/>
              <w:right w:val="nil"/>
            </w:tcBorders>
            <w:shd w:val="clear" w:color="auto" w:fill="FFFFFF"/>
          </w:tcPr>
          <w:p w14:paraId="2F82A5B4">
            <w:pPr>
              <w:pStyle w:val="54"/>
              <w:bidi w:val="0"/>
              <w:rPr>
                <w:rFonts w:hint="default" w:ascii="Times New Roman" w:hAnsi="Times New Roman" w:cs="Times New Roman"/>
                <w:b w:val="0"/>
              </w:rPr>
            </w:pPr>
            <w:r>
              <w:rPr>
                <w:rFonts w:hint="default" w:ascii="Times New Roman" w:hAnsi="Times New Roman" w:cs="Times New Roman"/>
                <w:b w:val="0"/>
              </w:rPr>
              <w:t>确定设施类别、建筑和目标参数</w:t>
            </w:r>
          </w:p>
        </w:tc>
      </w:tr>
      <w:tr w14:paraId="2126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shd w:val="clear" w:color="auto" w:fill="FFFFFF"/>
          </w:tcPr>
          <w:p w14:paraId="0DE3487A">
            <w:pPr>
              <w:pStyle w:val="54"/>
              <w:bidi w:val="0"/>
              <w:rPr>
                <w:rFonts w:hint="default" w:ascii="Times New Roman" w:hAnsi="Times New Roman" w:cs="Times New Roman"/>
                <w:b w:val="0"/>
              </w:rPr>
            </w:pPr>
            <w:r>
              <w:rPr>
                <w:rFonts w:hint="default" w:ascii="Times New Roman" w:hAnsi="Times New Roman" w:cs="Times New Roman"/>
                <w:b w:val="0"/>
              </w:rPr>
              <w:t>2</w:t>
            </w:r>
          </w:p>
        </w:tc>
        <w:tc>
          <w:tcPr>
            <w:tcW w:w="3228" w:type="dxa"/>
            <w:tcBorders>
              <w:top w:val="nil"/>
              <w:left w:val="nil"/>
              <w:bottom w:val="nil"/>
              <w:right w:val="nil"/>
            </w:tcBorders>
            <w:shd w:val="clear" w:color="auto" w:fill="FFFFFF"/>
          </w:tcPr>
          <w:p w14:paraId="6700674B">
            <w:pPr>
              <w:pStyle w:val="54"/>
              <w:bidi w:val="0"/>
              <w:rPr>
                <w:rFonts w:hint="default" w:ascii="Times New Roman" w:hAnsi="Times New Roman" w:cs="Times New Roman"/>
                <w:b w:val="0"/>
              </w:rPr>
            </w:pPr>
            <w:r>
              <w:rPr>
                <w:rFonts w:hint="default" w:ascii="Times New Roman" w:hAnsi="Times New Roman" w:cs="Times New Roman"/>
                <w:b w:val="0"/>
              </w:rPr>
              <w:t>输入热辐射参数</w:t>
            </w:r>
          </w:p>
        </w:tc>
        <w:tc>
          <w:tcPr>
            <w:tcW w:w="3570" w:type="dxa"/>
            <w:tcBorders>
              <w:top w:val="nil"/>
              <w:left w:val="nil"/>
              <w:bottom w:val="nil"/>
              <w:right w:val="nil"/>
            </w:tcBorders>
            <w:shd w:val="clear" w:color="auto" w:fill="FFFFFF"/>
          </w:tcPr>
          <w:p w14:paraId="6BE70E0F">
            <w:pPr>
              <w:pStyle w:val="54"/>
              <w:bidi w:val="0"/>
              <w:rPr>
                <w:rFonts w:hint="default" w:ascii="Times New Roman" w:hAnsi="Times New Roman" w:cs="Times New Roman"/>
                <w:b w:val="0"/>
              </w:rPr>
            </w:pPr>
            <w:r>
              <w:rPr>
                <w:rFonts w:hint="default" w:ascii="Times New Roman" w:hAnsi="Times New Roman" w:cs="Times New Roman"/>
                <w:b w:val="0"/>
              </w:rPr>
              <w:t>方位角、俯仰角、热通量、持续时间</w:t>
            </w:r>
          </w:p>
        </w:tc>
      </w:tr>
      <w:tr w14:paraId="03B0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9" w:type="dxa"/>
            <w:tcBorders>
              <w:top w:val="nil"/>
              <w:left w:val="nil"/>
              <w:bottom w:val="nil"/>
              <w:right w:val="nil"/>
            </w:tcBorders>
            <w:shd w:val="clear" w:color="auto" w:fill="FFFFFF"/>
          </w:tcPr>
          <w:p w14:paraId="6905920F">
            <w:pPr>
              <w:pStyle w:val="54"/>
              <w:bidi w:val="0"/>
              <w:rPr>
                <w:rFonts w:hint="default" w:ascii="Times New Roman" w:hAnsi="Times New Roman" w:cs="Times New Roman"/>
                <w:b w:val="0"/>
              </w:rPr>
            </w:pPr>
            <w:r>
              <w:rPr>
                <w:rFonts w:hint="default" w:ascii="Times New Roman" w:hAnsi="Times New Roman" w:cs="Times New Roman"/>
                <w:b w:val="0"/>
              </w:rPr>
              <w:t>3</w:t>
            </w:r>
          </w:p>
        </w:tc>
        <w:tc>
          <w:tcPr>
            <w:tcW w:w="3228" w:type="dxa"/>
            <w:tcBorders>
              <w:top w:val="nil"/>
              <w:left w:val="nil"/>
              <w:bottom w:val="nil"/>
              <w:right w:val="nil"/>
            </w:tcBorders>
            <w:shd w:val="clear" w:color="auto" w:fill="FFFFFF"/>
            <w:vAlign w:val="top"/>
          </w:tcPr>
          <w:p w14:paraId="07DD163A">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自动生成模型参数</w:t>
            </w:r>
          </w:p>
        </w:tc>
        <w:tc>
          <w:tcPr>
            <w:tcW w:w="3570" w:type="dxa"/>
            <w:tcBorders>
              <w:top w:val="nil"/>
              <w:left w:val="nil"/>
              <w:bottom w:val="nil"/>
              <w:right w:val="nil"/>
            </w:tcBorders>
            <w:shd w:val="clear" w:color="auto" w:fill="FFFFFF"/>
            <w:vAlign w:val="top"/>
          </w:tcPr>
          <w:p w14:paraId="7212CF1B">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热源、建筑（含设施类别）、可燃物与敏感目标特征</w:t>
            </w:r>
          </w:p>
        </w:tc>
      </w:tr>
      <w:tr w14:paraId="4CFA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shd w:val="clear" w:color="auto" w:fill="FFFFFF"/>
          </w:tcPr>
          <w:p w14:paraId="3EFDB448">
            <w:pPr>
              <w:pStyle w:val="54"/>
              <w:bidi w:val="0"/>
              <w:rPr>
                <w:rFonts w:hint="default" w:ascii="Times New Roman" w:hAnsi="Times New Roman" w:cs="Times New Roman"/>
                <w:b w:val="0"/>
              </w:rPr>
            </w:pPr>
            <w:r>
              <w:rPr>
                <w:rFonts w:hint="default" w:ascii="Times New Roman" w:hAnsi="Times New Roman" w:cs="Times New Roman"/>
                <w:b w:val="0"/>
              </w:rPr>
              <w:t>4</w:t>
            </w:r>
          </w:p>
        </w:tc>
        <w:tc>
          <w:tcPr>
            <w:tcW w:w="3228" w:type="dxa"/>
            <w:tcBorders>
              <w:top w:val="nil"/>
              <w:left w:val="nil"/>
              <w:bottom w:val="nil"/>
              <w:right w:val="nil"/>
            </w:tcBorders>
            <w:shd w:val="clear" w:color="auto" w:fill="FFFFFF"/>
            <w:vAlign w:val="top"/>
          </w:tcPr>
          <w:p w14:paraId="553D0E48">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执行代理模型</w:t>
            </w:r>
            <w:r>
              <w:rPr>
                <w:rFonts w:hint="eastAsia" w:ascii="Times New Roman" w:hAnsi="Times New Roman" w:cs="Times New Roman"/>
                <w:b w:val="0"/>
                <w:lang w:val="en-US" w:eastAsia="zh-CN"/>
              </w:rPr>
              <w:t>计算</w:t>
            </w:r>
          </w:p>
        </w:tc>
        <w:tc>
          <w:tcPr>
            <w:tcW w:w="3570" w:type="dxa"/>
            <w:tcBorders>
              <w:top w:val="nil"/>
              <w:left w:val="nil"/>
              <w:bottom w:val="nil"/>
              <w:right w:val="nil"/>
            </w:tcBorders>
            <w:shd w:val="clear" w:color="auto" w:fill="FFFFFF"/>
            <w:vAlign w:val="top"/>
          </w:tcPr>
          <w:p w14:paraId="1747060B">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输出 Dk 和等级</w:t>
            </w:r>
          </w:p>
        </w:tc>
      </w:tr>
      <w:tr w14:paraId="42FF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single" w:color="000000" w:sz="12" w:space="0"/>
              <w:right w:val="nil"/>
            </w:tcBorders>
            <w:shd w:val="clear" w:color="auto" w:fill="FFFFFF"/>
          </w:tcPr>
          <w:p w14:paraId="750424C5">
            <w:pPr>
              <w:pStyle w:val="54"/>
              <w:bidi w:val="0"/>
              <w:rPr>
                <w:rFonts w:hint="default" w:ascii="Times New Roman" w:hAnsi="Times New Roman" w:cs="Times New Roman"/>
                <w:b w:val="0"/>
              </w:rPr>
            </w:pPr>
            <w:r>
              <w:rPr>
                <w:rFonts w:hint="default" w:ascii="Times New Roman" w:hAnsi="Times New Roman" w:cs="Times New Roman"/>
                <w:b w:val="0"/>
              </w:rPr>
              <w:t>5</w:t>
            </w:r>
          </w:p>
        </w:tc>
        <w:tc>
          <w:tcPr>
            <w:tcW w:w="3228" w:type="dxa"/>
            <w:tcBorders>
              <w:top w:val="nil"/>
              <w:left w:val="nil"/>
              <w:bottom w:val="single" w:color="000000" w:sz="12" w:space="0"/>
              <w:right w:val="nil"/>
            </w:tcBorders>
            <w:shd w:val="clear" w:color="auto" w:fill="FFFFFF"/>
            <w:vAlign w:val="top"/>
          </w:tcPr>
          <w:p w14:paraId="549E7406">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展示并保存结果</w:t>
            </w:r>
          </w:p>
        </w:tc>
        <w:tc>
          <w:tcPr>
            <w:tcW w:w="3570" w:type="dxa"/>
            <w:tcBorders>
              <w:top w:val="nil"/>
              <w:left w:val="nil"/>
              <w:bottom w:val="single" w:color="000000" w:sz="12" w:space="0"/>
              <w:right w:val="nil"/>
            </w:tcBorders>
            <w:shd w:val="clear" w:color="auto" w:fill="FFFFFF"/>
            <w:vAlign w:val="top"/>
          </w:tcPr>
          <w:p w14:paraId="08B5A794">
            <w:pPr>
              <w:pStyle w:val="54"/>
              <w:bidi w:val="0"/>
              <w:ind w:firstLine="0" w:firstLineChars="0"/>
              <w:rPr>
                <w:rFonts w:hint="default" w:ascii="Times New Roman" w:hAnsi="Times New Roman" w:cs="Times New Roman"/>
                <w:b w:val="0"/>
              </w:rPr>
            </w:pPr>
            <w:r>
              <w:rPr>
                <w:rFonts w:hint="default" w:ascii="Times New Roman" w:hAnsi="Times New Roman" w:cs="Times New Roman"/>
                <w:b w:val="0"/>
                <w:lang w:eastAsia="zh-CN"/>
              </w:rPr>
              <w:t>HS</w:t>
            </w:r>
            <w:r>
              <w:rPr>
                <w:rFonts w:hint="default" w:ascii="Times New Roman" w:hAnsi="Times New Roman" w:cs="Times New Roman"/>
                <w:b w:val="0"/>
              </w:rPr>
              <w:t>等级、Dk、工况参数和计算信息</w:t>
            </w:r>
          </w:p>
        </w:tc>
      </w:tr>
    </w:tbl>
    <w:p w14:paraId="21C239FE">
      <w:pPr>
        <w:rPr>
          <w:rFonts w:hint="default" w:ascii="Times New Roman" w:hAnsi="Times New Roman" w:cs="Times New Roman"/>
        </w:rPr>
      </w:pPr>
      <w:r>
        <w:rPr>
          <w:rFonts w:hint="default" w:ascii="Times New Roman" w:hAnsi="Times New Roman" w:cs="Times New Roman"/>
        </w:rPr>
        <w:t>程序集成使单个热辐射工况能够快速完成设施级HS判断，并保持与离线模型评价和阈值图谱相同的参数定义。该功能适合用于批量工况初筛、重点方向识别和精细仿真方案准备。</w:t>
      </w:r>
    </w:p>
    <w:p w14:paraId="378E76CB">
      <w:pPr>
        <w:pStyle w:val="54"/>
        <w:bidi w:val="0"/>
        <w:rPr>
          <w:rFonts w:hint="default"/>
        </w:rPr>
      </w:pPr>
      <w:r>
        <w:drawing>
          <wp:inline distT="0" distB="0" distL="114300" distR="114300">
            <wp:extent cx="2626360" cy="1871980"/>
            <wp:effectExtent l="0" t="0" r="254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2626360" cy="1871980"/>
                    </a:xfrm>
                    <a:prstGeom prst="rect">
                      <a:avLst/>
                    </a:prstGeom>
                    <a:noFill/>
                    <a:ln>
                      <a:noFill/>
                    </a:ln>
                  </pic:spPr>
                </pic:pic>
              </a:graphicData>
            </a:graphic>
          </wp:inline>
        </w:drawing>
      </w:r>
      <w:r>
        <w:drawing>
          <wp:inline distT="0" distB="0" distL="114300" distR="114300">
            <wp:extent cx="2541905" cy="1871980"/>
            <wp:effectExtent l="0" t="0" r="10795" b="139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2541905" cy="1871980"/>
                    </a:xfrm>
                    <a:prstGeom prst="rect">
                      <a:avLst/>
                    </a:prstGeom>
                    <a:noFill/>
                    <a:ln>
                      <a:noFill/>
                    </a:ln>
                  </pic:spPr>
                </pic:pic>
              </a:graphicData>
            </a:graphic>
          </wp:inline>
        </w:drawing>
      </w:r>
    </w:p>
    <w:p w14:paraId="3D30E34A">
      <w:pPr>
        <w:pStyle w:val="16"/>
        <w:bidi w:val="0"/>
        <w:rPr>
          <w:rFonts w:hint="default" w:ascii="Times New Roman" w:hAnsi="Times New Roman" w:cs="Times New Roma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工程预测结果界面截图</w:t>
      </w:r>
    </w:p>
    <w:p w14:paraId="07EBB1BC">
      <w:pPr>
        <w:rPr>
          <w:rFonts w:hint="default" w:ascii="Times New Roman" w:hAnsi="Times New Roman" w:cs="Times New Roman"/>
        </w:rPr>
      </w:pPr>
    </w:p>
    <w:p w14:paraId="6F285223">
      <w:pPr>
        <w:rPr>
          <w:rFonts w:hint="default" w:ascii="Times New Roman" w:hAnsi="Times New Roman" w:cs="Times New Roman"/>
        </w:rPr>
      </w:pPr>
      <w:r>
        <w:rPr>
          <w:rFonts w:hint="default" w:ascii="Times New Roman" w:hAnsi="Times New Roman" w:cs="Times New Roman"/>
        </w:rPr>
        <w:br w:type="page"/>
      </w:r>
    </w:p>
    <w:p w14:paraId="355DE51E">
      <w:pPr>
        <w:pStyle w:val="2"/>
        <w:rPr>
          <w:rFonts w:hint="default" w:ascii="Times New Roman" w:hAnsi="Times New Roman" w:cs="Times New Roman"/>
        </w:rPr>
      </w:pPr>
      <w:bookmarkStart w:id="30" w:name="_Toc20641"/>
      <w:r>
        <w:rPr>
          <w:rFonts w:hint="default" w:ascii="Times New Roman" w:hAnsi="Times New Roman" w:cs="Times New Roman"/>
        </w:rPr>
        <w:t>总结</w:t>
      </w:r>
      <w:bookmarkEnd w:id="30"/>
    </w:p>
    <w:p w14:paraId="73A38EC1">
      <w:pPr>
        <w:rPr>
          <w:rFonts w:hint="default" w:ascii="Times New Roman" w:hAnsi="Times New Roman" w:cs="Times New Roman"/>
        </w:rPr>
      </w:pPr>
      <w:r>
        <w:rPr>
          <w:rFonts w:hint="default" w:ascii="Times New Roman" w:hAnsi="Times New Roman" w:cs="Times New Roman"/>
        </w:rPr>
        <w:t>本研究建立了面向机械制造设施的 FDS 数据驱动工程预测方法。合格数据覆盖 7 个机械制造设施、923 条热辐射工况，并与其他设施数据共同构成 6558 条合格训练样本。模型以热源工况特征与设施构型及目标特征为输入，能够综合表达热通量、持续时间、受热方向、厂房尺度、建筑开口和生产设备分布对设施级 Dk 的影响。</w:t>
      </w:r>
    </w:p>
    <w:p w14:paraId="6EE54DEA">
      <w:pPr>
        <w:rPr>
          <w:rFonts w:hint="default" w:ascii="Times New Roman" w:hAnsi="Times New Roman" w:cs="Times New Roman"/>
        </w:rPr>
      </w:pPr>
      <w:r>
        <w:rPr>
          <w:rFonts w:hint="default" w:ascii="Times New Roman" w:hAnsi="Times New Roman" w:cs="Times New Roman"/>
        </w:rPr>
        <w:t>等级约束 ExtraTrees 模型采用 50 棵回归树和 50 棵分类树，同时输出连续 Dk 和四级毁伤结果。综合五折等级准确率为 95.9591%，独立测试等级准确率为 97.2075%；机械制造类专项独立测试准确率为 96.2567%。综合结果与专项结果共同表明，模型在当前工况范围内能够稳定完成机械制造设施的工程等级判断。</w:t>
      </w:r>
    </w:p>
    <w:p w14:paraId="785C3A47">
      <w:pPr>
        <w:rPr>
          <w:rFonts w:hint="default" w:ascii="Times New Roman" w:hAnsi="Times New Roman" w:cs="Times New Roman"/>
        </w:rPr>
      </w:pPr>
      <w:r>
        <w:rPr>
          <w:rFonts w:hint="default" w:ascii="Times New Roman" w:hAnsi="Times New Roman" w:cs="Times New Roman"/>
        </w:rPr>
        <w:t>机械制造专项因素分析表明，俯仰角、热剂量和热通量是影响 Dk 与等级水平的重要因素，方位角、迎火侧总开口比例和敏感目标比例进一步决定方向差异。不同方向和工况下的毁伤响应差异反映了特异设施对象差异以及大、中、小等效设施的尺度效应。</w:t>
      </w:r>
    </w:p>
    <w:p w14:paraId="661C7124">
      <w:pPr>
        <w:rPr>
          <w:rFonts w:hint="default" w:ascii="Times New Roman" w:hAnsi="Times New Roman" w:cs="Times New Roman"/>
        </w:rPr>
      </w:pPr>
      <w:r>
        <w:rPr>
          <w:rFonts w:hint="default" w:ascii="Times New Roman" w:hAnsi="Times New Roman" w:cs="Times New Roman"/>
        </w:rPr>
        <w:br w:type="page"/>
      </w:r>
    </w:p>
    <w:p w14:paraId="6E288D13">
      <w:pPr>
        <w:rPr>
          <w:rFonts w:hint="default" w:ascii="Times New Roman" w:hAnsi="Times New Roman" w:cs="Times New Roman"/>
        </w:rPr>
      </w:pPr>
    </w:p>
    <w:p w14:paraId="78D2F8F3">
      <w:pPr>
        <w:pStyle w:val="28"/>
        <w:tabs>
          <w:tab w:val="right" w:leader="dot" w:pos="8296"/>
        </w:tabs>
        <w:ind w:left="566" w:leftChars="-1" w:hanging="568" w:hangingChars="202"/>
        <w:jc w:val="center"/>
        <w:outlineLvl w:val="0"/>
        <w:rPr>
          <w:rFonts w:hint="default" w:ascii="Times New Roman" w:hAnsi="Times New Roman" w:eastAsia="仿宋" w:cs="Times New Roman"/>
          <w:sz w:val="28"/>
          <w:szCs w:val="28"/>
        </w:rPr>
      </w:pPr>
      <w:bookmarkStart w:id="31" w:name="_Toc18456"/>
      <w:r>
        <w:rPr>
          <w:rStyle w:val="23"/>
          <w:rFonts w:hint="default" w:ascii="Times New Roman" w:hAnsi="Times New Roman" w:eastAsia="宋体" w:cs="Times New Roman"/>
          <w:b/>
          <w:sz w:val="28"/>
          <w:szCs w:val="28"/>
          <w:lang w:val="en-US" w:eastAsia="zh-CN"/>
        </w:rPr>
        <w:t>参考文献</w:t>
      </w:r>
      <w:bookmarkEnd w:id="22"/>
      <w:bookmarkEnd w:id="31"/>
    </w:p>
    <w:p w14:paraId="30B3EC59">
      <w:pPr>
        <w:pStyle w:val="56"/>
        <w:bidi w:val="0"/>
        <w:rPr>
          <w:rFonts w:hint="default" w:ascii="Times New Roman" w:hAnsi="Times New Roman" w:cs="Times New Roman"/>
        </w:rPr>
      </w:pPr>
      <w:r>
        <w:rPr>
          <w:rFonts w:hint="default" w:ascii="Times New Roman" w:hAnsi="Times New Roman" w:cs="Times New Roman"/>
        </w:rPr>
        <w:t>NASA. NASA-STD-6001B: Flammability, Odor, and Offgassing Requirements. NASA Technical Standard, 2016.</w:t>
      </w:r>
    </w:p>
    <w:p w14:paraId="08332493">
      <w:pPr>
        <w:pStyle w:val="56"/>
        <w:bidi w:val="0"/>
        <w:rPr>
          <w:rFonts w:hint="default" w:ascii="Times New Roman" w:hAnsi="Times New Roman" w:cs="Times New Roman"/>
        </w:rPr>
      </w:pPr>
      <w:r>
        <w:rPr>
          <w:rFonts w:hint="default" w:ascii="Times New Roman" w:hAnsi="Times New Roman" w:cs="Times New Roman"/>
        </w:rPr>
        <w:t>NASA. KSC Ground Systems Fire Protection Design Manual. Kennedy Space Center, 2020.</w:t>
      </w:r>
    </w:p>
    <w:p w14:paraId="439C4190">
      <w:pPr>
        <w:pStyle w:val="56"/>
        <w:bidi w:val="0"/>
        <w:rPr>
          <w:rFonts w:hint="default" w:ascii="Times New Roman" w:hAnsi="Times New Roman" w:cs="Times New Roman"/>
        </w:rPr>
      </w:pPr>
      <w:r>
        <w:rPr>
          <w:rFonts w:hint="default" w:ascii="Times New Roman" w:hAnsi="Times New Roman" w:cs="Times New Roman"/>
        </w:rPr>
        <w:t>NFPA 410. Standard on Aircraft Maintenance. National Fire Protection Association, 2021.</w:t>
      </w:r>
    </w:p>
    <w:p w14:paraId="145DEE18">
      <w:pPr>
        <w:pStyle w:val="56"/>
        <w:bidi w:val="0"/>
        <w:rPr>
          <w:rFonts w:hint="default" w:ascii="Times New Roman" w:hAnsi="Times New Roman" w:cs="Times New Roman"/>
        </w:rPr>
      </w:pPr>
      <w:r>
        <w:rPr>
          <w:rFonts w:hint="default" w:ascii="Times New Roman" w:hAnsi="Times New Roman" w:cs="Times New Roman"/>
        </w:rPr>
        <w:t>NFPA 75. Standard for the Fire Protection of Information Technology Equipment, 2020.</w:t>
      </w:r>
    </w:p>
    <w:p w14:paraId="40917673">
      <w:pPr>
        <w:pStyle w:val="56"/>
        <w:bidi w:val="0"/>
        <w:rPr>
          <w:rFonts w:hint="default" w:ascii="Times New Roman" w:hAnsi="Times New Roman" w:cs="Times New Roman"/>
        </w:rPr>
      </w:pPr>
      <w:r>
        <w:rPr>
          <w:rFonts w:hint="default" w:ascii="Times New Roman" w:hAnsi="Times New Roman" w:cs="Times New Roman"/>
        </w:rPr>
        <w:t>NFPA 30. Flammable and Combustible Liquids Code, 2021.</w:t>
      </w:r>
    </w:p>
    <w:p w14:paraId="76C71DCE">
      <w:pPr>
        <w:pStyle w:val="56"/>
        <w:bidi w:val="0"/>
        <w:rPr>
          <w:rFonts w:hint="default" w:ascii="Times New Roman" w:hAnsi="Times New Roman" w:cs="Times New Roman"/>
        </w:rPr>
      </w:pPr>
      <w:r>
        <w:rPr>
          <w:rFonts w:hint="default" w:ascii="Times New Roman" w:hAnsi="Times New Roman" w:cs="Times New Roman"/>
        </w:rPr>
        <w:t>Mouritz, A. &amp; Gibson, A. Fire Properties of Polymer Composite Materials. Springer, 2007.</w:t>
      </w:r>
    </w:p>
    <w:p w14:paraId="611A14AD">
      <w:pPr>
        <w:pStyle w:val="56"/>
        <w:bidi w:val="0"/>
        <w:rPr>
          <w:rFonts w:hint="default" w:ascii="Times New Roman" w:hAnsi="Times New Roman" w:cs="Times New Roman"/>
        </w:rPr>
      </w:pPr>
      <w:r>
        <w:rPr>
          <w:rFonts w:hint="default" w:ascii="Times New Roman" w:hAnsi="Times New Roman" w:cs="Times New Roman"/>
        </w:rPr>
        <w:t>Lyon, R. &amp; Walters, R. Flammability of Aircraft and Spacecraft Materials. FAA Technical Report, 2019.</w:t>
      </w:r>
    </w:p>
    <w:p w14:paraId="2B6097C6">
      <w:pPr>
        <w:pStyle w:val="56"/>
        <w:bidi w:val="0"/>
        <w:rPr>
          <w:rFonts w:hint="default" w:ascii="Times New Roman" w:hAnsi="Times New Roman" w:cs="Times New Roman"/>
        </w:rPr>
      </w:pPr>
      <w:r>
        <w:rPr>
          <w:rFonts w:hint="default" w:ascii="Times New Roman" w:hAnsi="Times New Roman" w:cs="Times New Roman"/>
        </w:rPr>
        <w:t>Babrauskas, V. Heat Release Rates. SFPE Handbook, 2016.</w:t>
      </w:r>
    </w:p>
    <w:p w14:paraId="4E962C18">
      <w:pPr>
        <w:pStyle w:val="56"/>
        <w:bidi w:val="0"/>
        <w:rPr>
          <w:rFonts w:hint="default" w:ascii="Times New Roman" w:hAnsi="Times New Roman" w:cs="Times New Roman"/>
        </w:rPr>
      </w:pPr>
      <w:r>
        <w:rPr>
          <w:rFonts w:hint="default" w:ascii="Times New Roman" w:hAnsi="Times New Roman" w:cs="Times New Roman"/>
        </w:rPr>
        <w:t>Heskestad, G. Fire Plumes, Flame Height, and Air Entrainment. SFPE Handbook, 2016.</w:t>
      </w:r>
    </w:p>
    <w:p w14:paraId="16E318BB">
      <w:pPr>
        <w:pStyle w:val="56"/>
        <w:bidi w:val="0"/>
        <w:rPr>
          <w:rFonts w:hint="default" w:ascii="Times New Roman" w:hAnsi="Times New Roman" w:cs="Times New Roman"/>
        </w:rPr>
      </w:pPr>
      <w:r>
        <w:rPr>
          <w:rFonts w:hint="default" w:ascii="Times New Roman" w:hAnsi="Times New Roman" w:cs="Times New Roman"/>
        </w:rPr>
        <w:t>GAO. NASA: Fire Safety and Risk Management Review. US Government Accountability Office, 2018.</w:t>
      </w:r>
    </w:p>
    <w:p w14:paraId="5E47CFAB">
      <w:pPr>
        <w:pStyle w:val="56"/>
        <w:bidi w:val="0"/>
        <w:rPr>
          <w:rFonts w:hint="default" w:ascii="Times New Roman" w:hAnsi="Times New Roman" w:cs="Times New Roman"/>
        </w:rPr>
      </w:pPr>
      <w:r>
        <w:rPr>
          <w:rFonts w:hint="default" w:ascii="Times New Roman" w:hAnsi="Times New Roman" w:cs="Times New Roman"/>
        </w:rPr>
        <w:t>NIST. Fire Hazards of Electronic Equipment. NIST SP-500 Series, 2012.</w:t>
      </w:r>
    </w:p>
    <w:p w14:paraId="3F173E39">
      <w:pPr>
        <w:pStyle w:val="56"/>
        <w:bidi w:val="0"/>
        <w:rPr>
          <w:rFonts w:hint="default" w:ascii="Times New Roman" w:hAnsi="Times New Roman" w:cs="Times New Roman"/>
        </w:rPr>
      </w:pPr>
      <w:r>
        <w:rPr>
          <w:rFonts w:hint="default" w:ascii="Times New Roman" w:hAnsi="Times New Roman" w:cs="Times New Roman"/>
        </w:rPr>
        <w:t>ESA. Clean Room and Spacecraft Assembly Fire Safety Guidelines. European Space Agency, 2019.</w:t>
      </w:r>
    </w:p>
    <w:p w14:paraId="2B79BDC8">
      <w:pPr>
        <w:pStyle w:val="47"/>
        <w:autoSpaceDN/>
        <w:snapToGrid w:val="0"/>
        <w:spacing w:line="360" w:lineRule="auto"/>
        <w:ind w:left="0" w:leftChars="0" w:firstLine="0" w:firstLineChars="0"/>
        <w:jc w:val="both"/>
        <w:rPr>
          <w:rFonts w:hint="default" w:ascii="Times New Roman" w:hAnsi="Times New Roman" w:eastAsia="仿宋_GB2312" w:cs="Times New Roman"/>
          <w:sz w:val="30"/>
          <w:lang w:val="en-US" w:eastAsia="zh-CN"/>
        </w:rPr>
      </w:pPr>
    </w:p>
    <w:sectPr>
      <w:pgSz w:w="11906" w:h="16838"/>
      <w:pgMar w:top="1440" w:right="1800" w:bottom="1440" w:left="1800" w:header="851" w:footer="992" w:gutter="0"/>
      <w:pgNumType w:fmt="decimal"/>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Arial">
    <w:panose1 w:val="020B0604020202020204"/>
    <w:charset w:val="01"/>
    <w:family w:val="swiss"/>
    <w:pitch w:val="default"/>
    <w:sig w:usb0="00007A87" w:usb1="80000000" w:usb2="00000008" w:usb3="00000000" w:csb0="400001FF" w:csb1="FFFF0000"/>
  </w:font>
  <w:font w:name="Courier New">
    <w:panose1 w:val="02070309020205020404"/>
    <w:charset w:val="01"/>
    <w:family w:val="modern"/>
    <w:pitch w:val="default"/>
    <w:sig w:usb0="E0002AFF" w:usb1="C0007843" w:usb2="00000009" w:usb3="00000000" w:csb0="400001FF" w:csb1="FFFF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080E0000" w:usb2="0000000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altName w:val="宋体"/>
    <w:panose1 w:val="02010609060101010101"/>
    <w:charset w:val="86"/>
    <w:family w:val="modern"/>
    <w:pitch w:val="default"/>
    <w:sig w:usb0="00000000" w:usb1="00000000" w:usb2="00000016" w:usb3="00000000" w:csb0="00040001" w:csb1="00000000"/>
  </w:font>
  <w:font w:name="仿宋_GB2312">
    <w:altName w:val="宋体"/>
    <w:panose1 w:val="02010609030101010101"/>
    <w:charset w:val="86"/>
    <w:family w:val="modern"/>
    <w:pitch w:val="default"/>
    <w:sig w:usb0="00000000" w:usb1="0000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Noto Sans CJK SC">
    <w:panose1 w:val="020B0500000000000000"/>
    <w:charset w:val="86"/>
    <w:family w:val="auto"/>
    <w:pitch w:val="default"/>
    <w:sig w:usb0="30000083" w:usb1="2BDF3C10" w:usb2="00000016" w:usb3="00000000" w:csb0="602E0107" w:csb1="00000000"/>
  </w:font>
  <w:font w:name="Tahoma">
    <w:altName w:val="noto sans thai"/>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8C3B7">
    <w:pPr>
      <w:pStyle w:val="21"/>
      <w:framePr w:wrap="around" w:vAnchor="text" w:hAnchor="margin" w:xAlign="outside" w:y="1"/>
      <w:rPr>
        <w:rStyle w:val="25"/>
      </w:rPr>
    </w:pPr>
    <w:r>
      <w:fldChar w:fldCharType="begin"/>
    </w:r>
    <w:r>
      <w:rPr>
        <w:rStyle w:val="25"/>
      </w:rPr>
      <w:instrText xml:space="preserve">PAGE  </w:instrText>
    </w:r>
    <w:r>
      <w:fldChar w:fldCharType="end"/>
    </w:r>
  </w:p>
  <w:p w14:paraId="73FEBE70">
    <w:pPr>
      <w:pStyle w:val="21"/>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20645">
    <w:pPr>
      <w:pStyle w:val="21"/>
      <w:framePr w:wrap="around" w:vAnchor="text" w:hAnchor="margin" w:xAlign="outside" w:y="1"/>
      <w:rPr>
        <w:rStyle w:val="25"/>
      </w:rPr>
    </w:pPr>
    <w:r>
      <w:fldChar w:fldCharType="begin"/>
    </w:r>
    <w:r>
      <w:rPr>
        <w:rStyle w:val="25"/>
      </w:rPr>
      <w:instrText xml:space="preserve">PAGE  </w:instrText>
    </w:r>
    <w:r>
      <w:fldChar w:fldCharType="separate"/>
    </w:r>
    <w:r>
      <w:rPr>
        <w:rStyle w:val="25"/>
        <w:lang w:val="en-US" w:eastAsia="zh-CN"/>
      </w:rPr>
      <w:t>- 25 -</w:t>
    </w:r>
    <w:r>
      <w:fldChar w:fldCharType="end"/>
    </w:r>
  </w:p>
  <w:p w14:paraId="171A5E5F">
    <w:pPr>
      <w:pStyle w:val="21"/>
      <w:ind w:right="360" w:firstLine="360"/>
      <w:jc w:val="center"/>
    </w:pPr>
  </w:p>
  <w:p w14:paraId="6262CB32">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C2BA">
    <w:pPr>
      <w:pStyle w:val="2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AB5B">
    <w:pPr>
      <w:pStyle w:val="21"/>
      <w:framePr w:wrap="around" w:vAnchor="text" w:hAnchor="margin" w:xAlign="outside" w:y="1"/>
      <w:rPr>
        <w:rStyle w:val="25"/>
      </w:rPr>
    </w:pPr>
    <w:r>
      <w:fldChar w:fldCharType="begin"/>
    </w:r>
    <w:r>
      <w:rPr>
        <w:rStyle w:val="25"/>
      </w:rPr>
      <w:instrText xml:space="preserve">PAGE  </w:instrText>
    </w:r>
    <w:r>
      <w:fldChar w:fldCharType="end"/>
    </w:r>
  </w:p>
  <w:p w14:paraId="43305302">
    <w:pPr>
      <w:pStyle w:val="21"/>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1AED">
    <w:pPr>
      <w:pStyle w:val="21"/>
      <w:jc w:val="center"/>
    </w:pPr>
    <w:r>
      <w:fldChar w:fldCharType="begin"/>
    </w:r>
    <w:r>
      <w:instrText xml:space="preserve"> PAGE   \* MERGEFORMAT </w:instrText>
    </w:r>
    <w:r>
      <w:fldChar w:fldCharType="separate"/>
    </w:r>
    <w:r>
      <w:rPr>
        <w:lang w:val="zh-CN" w:eastAsia="zh-CN"/>
      </w:rPr>
      <w:t>I</w:t>
    </w:r>
    <w:r>
      <w:fldChar w:fldCharType="end"/>
    </w:r>
  </w:p>
  <w:p w14:paraId="5EDA7356">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75B21">
    <w:pPr>
      <w:pStyle w:val="2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8977">
    <w:pPr>
      <w:pStyle w:val="2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E857B">
    <w:pPr>
      <w:pStyle w:val="2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EF28">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C24E67"/>
    <w:multiLevelType w:val="multilevel"/>
    <w:tmpl w:val="31C24E67"/>
    <w:lvl w:ilvl="0" w:tentative="0">
      <w:start w:val="1"/>
      <w:numFmt w:val="decimal"/>
      <w:pStyle w:val="5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3A9678D"/>
    <w:multiLevelType w:val="multilevel"/>
    <w:tmpl w:val="63A9678D"/>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lZDZiNDNiNWM1NWFiMTM2ZTY0ODJhNzA5MDBmYmYifQ=="/>
  </w:docVars>
  <w:rsids>
    <w:rsidRoot w:val="00172A27"/>
    <w:rsid w:val="000037B7"/>
    <w:rsid w:val="000046DB"/>
    <w:rsid w:val="0003369C"/>
    <w:rsid w:val="00050683"/>
    <w:rsid w:val="00073CA5"/>
    <w:rsid w:val="000A17B4"/>
    <w:rsid w:val="000A63CD"/>
    <w:rsid w:val="000A7EFE"/>
    <w:rsid w:val="00112CE7"/>
    <w:rsid w:val="00117D12"/>
    <w:rsid w:val="00131460"/>
    <w:rsid w:val="00157FA7"/>
    <w:rsid w:val="0016476A"/>
    <w:rsid w:val="001F7C08"/>
    <w:rsid w:val="002147EA"/>
    <w:rsid w:val="0022650D"/>
    <w:rsid w:val="0026379B"/>
    <w:rsid w:val="002725A0"/>
    <w:rsid w:val="00283693"/>
    <w:rsid w:val="002A3D33"/>
    <w:rsid w:val="002C352B"/>
    <w:rsid w:val="002D0193"/>
    <w:rsid w:val="002F7AEA"/>
    <w:rsid w:val="00313F1A"/>
    <w:rsid w:val="00324B9E"/>
    <w:rsid w:val="00345197"/>
    <w:rsid w:val="0037261A"/>
    <w:rsid w:val="003866E0"/>
    <w:rsid w:val="003A322B"/>
    <w:rsid w:val="003D1E4B"/>
    <w:rsid w:val="003E2F07"/>
    <w:rsid w:val="003E5EF5"/>
    <w:rsid w:val="003F1D39"/>
    <w:rsid w:val="00403904"/>
    <w:rsid w:val="004136B4"/>
    <w:rsid w:val="004235C7"/>
    <w:rsid w:val="00425F86"/>
    <w:rsid w:val="00445B98"/>
    <w:rsid w:val="00471694"/>
    <w:rsid w:val="00494233"/>
    <w:rsid w:val="004D5A68"/>
    <w:rsid w:val="004E677A"/>
    <w:rsid w:val="00530FA8"/>
    <w:rsid w:val="00533B1E"/>
    <w:rsid w:val="00561FC4"/>
    <w:rsid w:val="005861AC"/>
    <w:rsid w:val="005D49BC"/>
    <w:rsid w:val="005D76DC"/>
    <w:rsid w:val="006874FC"/>
    <w:rsid w:val="006A7110"/>
    <w:rsid w:val="006D0DFC"/>
    <w:rsid w:val="006D66E9"/>
    <w:rsid w:val="006E7E2A"/>
    <w:rsid w:val="00717B5D"/>
    <w:rsid w:val="00796109"/>
    <w:rsid w:val="007A2452"/>
    <w:rsid w:val="007B06D6"/>
    <w:rsid w:val="00837C97"/>
    <w:rsid w:val="00845A38"/>
    <w:rsid w:val="00863C20"/>
    <w:rsid w:val="0086431E"/>
    <w:rsid w:val="00880723"/>
    <w:rsid w:val="0089676B"/>
    <w:rsid w:val="008A52F2"/>
    <w:rsid w:val="008B2549"/>
    <w:rsid w:val="008D7757"/>
    <w:rsid w:val="008D7CA9"/>
    <w:rsid w:val="008F79D4"/>
    <w:rsid w:val="009061C9"/>
    <w:rsid w:val="009307CC"/>
    <w:rsid w:val="00935BBC"/>
    <w:rsid w:val="00941D0A"/>
    <w:rsid w:val="009517D1"/>
    <w:rsid w:val="009719B0"/>
    <w:rsid w:val="0098502C"/>
    <w:rsid w:val="009A2DDC"/>
    <w:rsid w:val="009D0F50"/>
    <w:rsid w:val="00A17566"/>
    <w:rsid w:val="00A40522"/>
    <w:rsid w:val="00A54F42"/>
    <w:rsid w:val="00A644C2"/>
    <w:rsid w:val="00A84696"/>
    <w:rsid w:val="00B06934"/>
    <w:rsid w:val="00B51CCF"/>
    <w:rsid w:val="00B640B3"/>
    <w:rsid w:val="00BA01AA"/>
    <w:rsid w:val="00BC302B"/>
    <w:rsid w:val="00C04C64"/>
    <w:rsid w:val="00C507E4"/>
    <w:rsid w:val="00C6617B"/>
    <w:rsid w:val="00C85336"/>
    <w:rsid w:val="00C87868"/>
    <w:rsid w:val="00CB222D"/>
    <w:rsid w:val="00CD77EF"/>
    <w:rsid w:val="00D16E1F"/>
    <w:rsid w:val="00D647E0"/>
    <w:rsid w:val="00D86E43"/>
    <w:rsid w:val="00DA194D"/>
    <w:rsid w:val="00DB0C9D"/>
    <w:rsid w:val="00DB38E2"/>
    <w:rsid w:val="00DC1F49"/>
    <w:rsid w:val="00DD1DA7"/>
    <w:rsid w:val="00DF5C44"/>
    <w:rsid w:val="00DF7183"/>
    <w:rsid w:val="00E80CC3"/>
    <w:rsid w:val="00EE4197"/>
    <w:rsid w:val="00F10A82"/>
    <w:rsid w:val="00F54F49"/>
    <w:rsid w:val="00F61F91"/>
    <w:rsid w:val="00F9088C"/>
    <w:rsid w:val="00F916E3"/>
    <w:rsid w:val="00FA2EA8"/>
    <w:rsid w:val="00FC21C7"/>
    <w:rsid w:val="00FC6342"/>
    <w:rsid w:val="00FD5499"/>
    <w:rsid w:val="02F32B56"/>
    <w:rsid w:val="03B269A4"/>
    <w:rsid w:val="04E65903"/>
    <w:rsid w:val="05FB130E"/>
    <w:rsid w:val="06807618"/>
    <w:rsid w:val="06AE2400"/>
    <w:rsid w:val="072B7F2A"/>
    <w:rsid w:val="08BC7B38"/>
    <w:rsid w:val="08FA3336"/>
    <w:rsid w:val="0D0567F0"/>
    <w:rsid w:val="0D7E3AFF"/>
    <w:rsid w:val="0FB63E1B"/>
    <w:rsid w:val="10260A90"/>
    <w:rsid w:val="10E87F18"/>
    <w:rsid w:val="11345752"/>
    <w:rsid w:val="119D4831"/>
    <w:rsid w:val="125D5D38"/>
    <w:rsid w:val="13243011"/>
    <w:rsid w:val="140334FB"/>
    <w:rsid w:val="15341A54"/>
    <w:rsid w:val="160E259E"/>
    <w:rsid w:val="177A2613"/>
    <w:rsid w:val="197A2973"/>
    <w:rsid w:val="1A840C0A"/>
    <w:rsid w:val="2051361B"/>
    <w:rsid w:val="20C0033E"/>
    <w:rsid w:val="23355B0C"/>
    <w:rsid w:val="27C26D1A"/>
    <w:rsid w:val="293B7BDB"/>
    <w:rsid w:val="2D8D7A26"/>
    <w:rsid w:val="2DA61BFF"/>
    <w:rsid w:val="2FD52024"/>
    <w:rsid w:val="32117A7A"/>
    <w:rsid w:val="37EF39B9"/>
    <w:rsid w:val="39EF41D8"/>
    <w:rsid w:val="3B945A4C"/>
    <w:rsid w:val="3BC3469C"/>
    <w:rsid w:val="3D0F3129"/>
    <w:rsid w:val="411965E8"/>
    <w:rsid w:val="41421CDA"/>
    <w:rsid w:val="43212C92"/>
    <w:rsid w:val="439320F2"/>
    <w:rsid w:val="449C72D1"/>
    <w:rsid w:val="454313DF"/>
    <w:rsid w:val="4559454E"/>
    <w:rsid w:val="46826ECA"/>
    <w:rsid w:val="47200E11"/>
    <w:rsid w:val="4A227A1C"/>
    <w:rsid w:val="4BA40904"/>
    <w:rsid w:val="4C677226"/>
    <w:rsid w:val="4C9954A0"/>
    <w:rsid w:val="4D8C1D7C"/>
    <w:rsid w:val="4ED765AF"/>
    <w:rsid w:val="4F0E1E0E"/>
    <w:rsid w:val="50CC366C"/>
    <w:rsid w:val="518D3FFF"/>
    <w:rsid w:val="5274688D"/>
    <w:rsid w:val="53C90AD2"/>
    <w:rsid w:val="56A87CBD"/>
    <w:rsid w:val="576A14F1"/>
    <w:rsid w:val="59054CA9"/>
    <w:rsid w:val="59C14BA2"/>
    <w:rsid w:val="5C4F2050"/>
    <w:rsid w:val="5C735ECB"/>
    <w:rsid w:val="5C8F6A67"/>
    <w:rsid w:val="5CDC56C5"/>
    <w:rsid w:val="5E4C7C1E"/>
    <w:rsid w:val="5EC03E77"/>
    <w:rsid w:val="5F5C70D4"/>
    <w:rsid w:val="609E4875"/>
    <w:rsid w:val="60FC3CA7"/>
    <w:rsid w:val="6330596A"/>
    <w:rsid w:val="64DA5735"/>
    <w:rsid w:val="67155394"/>
    <w:rsid w:val="67C41CBB"/>
    <w:rsid w:val="68632EA7"/>
    <w:rsid w:val="6C353BC2"/>
    <w:rsid w:val="6C68355C"/>
    <w:rsid w:val="6D344F72"/>
    <w:rsid w:val="6F7704FD"/>
    <w:rsid w:val="6F850D4A"/>
    <w:rsid w:val="706C73A7"/>
    <w:rsid w:val="70986532"/>
    <w:rsid w:val="716D7E06"/>
    <w:rsid w:val="71CD6049"/>
    <w:rsid w:val="74087332"/>
    <w:rsid w:val="786F150D"/>
    <w:rsid w:val="78865B21"/>
    <w:rsid w:val="793FD048"/>
    <w:rsid w:val="794705A3"/>
    <w:rsid w:val="7D9F11E6"/>
    <w:rsid w:val="9AA70A00"/>
    <w:rsid w:val="FE7FB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Pr>
      <w:rFonts w:ascii="宋体" w:hAnsi="宋体" w:eastAsia="宋体" w:cs="Times New Roman"/>
      <w:color w:val="000000"/>
      <w:kern w:val="2"/>
      <w:sz w:val="24"/>
      <w:szCs w:val="24"/>
      <w:u w:val="none"/>
      <w:lang w:val="en-US" w:eastAsia="zh-CN" w:bidi="ar-SA"/>
    </w:rPr>
  </w:style>
  <w:style w:type="paragraph" w:styleId="2">
    <w:name w:val="heading 1"/>
    <w:basedOn w:val="1"/>
    <w:next w:val="1"/>
    <w:link w:val="32"/>
    <w:qFormat/>
    <w:uiPriority w:val="0"/>
    <w:pPr>
      <w:numPr>
        <w:ilvl w:val="0"/>
        <w:numId w:val="1"/>
      </w:numPr>
      <w:ind w:left="432" w:hanging="432" w:firstLineChars="0"/>
      <w:outlineLvl w:val="0"/>
    </w:pPr>
    <w:rPr>
      <w:rFonts w:ascii="宋体" w:hAnsi="宋体" w:eastAsia="宋体"/>
      <w:b/>
      <w:sz w:val="32"/>
      <w:szCs w:val="32"/>
    </w:rPr>
  </w:style>
  <w:style w:type="paragraph" w:styleId="3">
    <w:name w:val="heading 2"/>
    <w:basedOn w:val="1"/>
    <w:next w:val="1"/>
    <w:autoRedefine/>
    <w:unhideWhenUsed/>
    <w:qFormat/>
    <w:uiPriority w:val="0"/>
    <w:pPr>
      <w:numPr>
        <w:ilvl w:val="1"/>
        <w:numId w:val="1"/>
      </w:numPr>
      <w:ind w:left="575" w:hanging="575" w:firstLineChars="0"/>
      <w:outlineLvl w:val="1"/>
    </w:pPr>
    <w:rPr>
      <w:rFonts w:eastAsia="宋体"/>
      <w:b/>
      <w:sz w:val="28"/>
      <w:szCs w:val="28"/>
    </w:rPr>
  </w:style>
  <w:style w:type="paragraph" w:styleId="4">
    <w:name w:val="heading 3"/>
    <w:basedOn w:val="1"/>
    <w:next w:val="1"/>
    <w:qFormat/>
    <w:uiPriority w:val="0"/>
    <w:pPr>
      <w:numPr>
        <w:ilvl w:val="2"/>
        <w:numId w:val="1"/>
      </w:numPr>
      <w:ind w:left="720" w:hanging="720" w:firstLineChars="0"/>
      <w:outlineLvl w:val="2"/>
    </w:pPr>
    <w:rPr>
      <w:rFonts w:eastAsia="宋体"/>
      <w:b/>
    </w:rPr>
  </w:style>
  <w:style w:type="paragraph" w:styleId="5">
    <w:name w:val="heading 4"/>
    <w:basedOn w:val="1"/>
    <w:next w:val="1"/>
    <w:autoRedefine/>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1">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semiHidden/>
    <w:qFormat/>
    <w:uiPriority w:val="0"/>
    <w:rPr>
      <w:sz w:val="18"/>
      <w:szCs w:val="18"/>
    </w:rPr>
  </w:style>
  <w:style w:type="paragraph" w:styleId="14">
    <w:name w:val="Body Text Indent"/>
    <w:basedOn w:val="1"/>
    <w:unhideWhenUsed/>
    <w:qFormat/>
    <w:uiPriority w:val="99"/>
    <w:pPr>
      <w:spacing w:after="120"/>
      <w:ind w:left="420" w:leftChars="200"/>
    </w:pPr>
  </w:style>
  <w:style w:type="paragraph" w:styleId="15">
    <w:name w:val="Body Text First Indent 2"/>
    <w:basedOn w:val="14"/>
    <w:unhideWhenUsed/>
    <w:qFormat/>
    <w:uiPriority w:val="99"/>
    <w:pPr>
      <w:ind w:left="0" w:leftChars="0"/>
    </w:pPr>
    <w:rPr>
      <w:sz w:val="24"/>
    </w:rPr>
  </w:style>
  <w:style w:type="paragraph" w:styleId="16">
    <w:name w:val="caption"/>
    <w:basedOn w:val="1"/>
    <w:next w:val="1"/>
    <w:link w:val="55"/>
    <w:qFormat/>
    <w:uiPriority w:val="0"/>
    <w:pPr>
      <w:spacing w:line="312" w:lineRule="auto"/>
      <w:ind w:firstLine="0" w:firstLineChars="0"/>
      <w:jc w:val="center"/>
    </w:pPr>
    <w:rPr>
      <w:rFonts w:cs="宋体"/>
      <w:b/>
      <w:bCs/>
    </w:rPr>
  </w:style>
  <w:style w:type="character" w:styleId="17">
    <w:name w:val="annotation reference"/>
    <w:qFormat/>
    <w:uiPriority w:val="0"/>
    <w:rPr>
      <w:sz w:val="21"/>
      <w:szCs w:val="21"/>
    </w:rPr>
  </w:style>
  <w:style w:type="paragraph" w:styleId="18">
    <w:name w:val="annotation text"/>
    <w:basedOn w:val="1"/>
    <w:link w:val="33"/>
    <w:qFormat/>
    <w:uiPriority w:val="0"/>
    <w:pPr>
      <w:jc w:val="left"/>
    </w:pPr>
  </w:style>
  <w:style w:type="paragraph" w:styleId="19">
    <w:name w:val="annotation subject"/>
    <w:basedOn w:val="18"/>
    <w:next w:val="18"/>
    <w:link w:val="37"/>
    <w:qFormat/>
    <w:uiPriority w:val="0"/>
    <w:rPr>
      <w:b/>
      <w:bCs/>
    </w:rPr>
  </w:style>
  <w:style w:type="character" w:styleId="20">
    <w:name w:val="FollowedHyperlink"/>
    <w:qFormat/>
    <w:uiPriority w:val="0"/>
    <w:rPr>
      <w:color w:val="800080"/>
      <w:u w:val="single"/>
    </w:rPr>
  </w:style>
  <w:style w:type="paragraph" w:styleId="21">
    <w:name w:val="footer"/>
    <w:basedOn w:val="1"/>
    <w:link w:val="35"/>
    <w:qFormat/>
    <w:uiPriority w:val="99"/>
    <w:pPr>
      <w:tabs>
        <w:tab w:val="center" w:pos="4153"/>
        <w:tab w:val="right" w:pos="8306"/>
      </w:tabs>
      <w:snapToGrid w:val="0"/>
      <w:jc w:val="left"/>
    </w:pPr>
    <w:rPr>
      <w:sz w:val="18"/>
      <w:szCs w:val="18"/>
    </w:rPr>
  </w:style>
  <w:style w:type="paragraph" w:styleId="22">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character" w:styleId="23">
    <w:name w:val="Hyperlink"/>
    <w:qFormat/>
    <w:uiPriority w:val="99"/>
    <w:rPr>
      <w:color w:val="000000"/>
      <w:u w:val="none"/>
    </w:rPr>
  </w:style>
  <w:style w:type="paragraph" w:styleId="24">
    <w:name w:val="Normal (Web)"/>
    <w:basedOn w:val="1"/>
    <w:qFormat/>
    <w:uiPriority w:val="0"/>
    <w:rPr>
      <w:sz w:val="24"/>
    </w:rPr>
  </w:style>
  <w:style w:type="character" w:styleId="25">
    <w:name w:val="page number"/>
    <w:qFormat/>
    <w:uiPriority w:val="0"/>
  </w:style>
  <w:style w:type="paragraph" w:styleId="26">
    <w:name w:val="Plain Text"/>
    <w:basedOn w:val="1"/>
    <w:link w:val="34"/>
    <w:qFormat/>
    <w:uiPriority w:val="0"/>
    <w:rPr>
      <w:rFonts w:ascii="宋体" w:hAnsi="Courier New" w:cs="Courier New"/>
      <w:szCs w:val="21"/>
    </w:rPr>
  </w:style>
  <w:style w:type="table" w:styleId="27">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pPr>
      <w:spacing w:line="360" w:lineRule="auto"/>
      <w:ind w:left="200" w:leftChars="200" w:hanging="200" w:hangingChars="200"/>
    </w:pPr>
    <w:rPr>
      <w:sz w:val="24"/>
      <w:szCs w:val="24"/>
    </w:rPr>
  </w:style>
  <w:style w:type="paragraph" w:styleId="29">
    <w:name w:val="toc 1"/>
    <w:basedOn w:val="1"/>
    <w:next w:val="1"/>
    <w:qFormat/>
    <w:uiPriority w:val="39"/>
    <w:pPr>
      <w:tabs>
        <w:tab w:val="right" w:leader="dot" w:pos="8306"/>
      </w:tabs>
      <w:ind w:firstLine="0" w:firstLineChars="0"/>
    </w:pPr>
    <w:rPr>
      <w:rFonts w:ascii="Times New Roman" w:hAnsi="Times New Roman"/>
      <w:sz w:val="21"/>
    </w:rPr>
  </w:style>
  <w:style w:type="paragraph" w:styleId="30">
    <w:name w:val="toc 2"/>
    <w:basedOn w:val="1"/>
    <w:next w:val="1"/>
    <w:qFormat/>
    <w:uiPriority w:val="39"/>
    <w:pPr>
      <w:tabs>
        <w:tab w:val="right" w:leader="dot" w:pos="8306"/>
      </w:tabs>
      <w:ind w:left="420" w:leftChars="200" w:firstLine="0" w:firstLineChars="0"/>
    </w:pPr>
    <w:rPr>
      <w:rFonts w:ascii="宋体" w:hAnsi="宋体" w:eastAsia="宋体" w:cs="宋体"/>
      <w:sz w:val="21"/>
    </w:rPr>
  </w:style>
  <w:style w:type="paragraph" w:styleId="31">
    <w:name w:val="toc 3"/>
    <w:basedOn w:val="1"/>
    <w:next w:val="1"/>
    <w:unhideWhenUsed/>
    <w:qFormat/>
    <w:uiPriority w:val="39"/>
    <w:pPr>
      <w:tabs>
        <w:tab w:val="right" w:leader="dot" w:pos="8306"/>
      </w:tabs>
      <w:ind w:left="960" w:leftChars="400" w:firstLine="0" w:firstLineChars="0"/>
    </w:pPr>
    <w:rPr>
      <w:rFonts w:ascii="宋体" w:hAnsi="宋体" w:eastAsia="宋体" w:cs="宋体"/>
      <w:sz w:val="21"/>
      <w:szCs w:val="21"/>
    </w:rPr>
  </w:style>
  <w:style w:type="character" w:customStyle="1" w:styleId="32">
    <w:name w:val="标题 1 字符"/>
    <w:link w:val="2"/>
    <w:qFormat/>
    <w:uiPriority w:val="0"/>
    <w:rPr>
      <w:rFonts w:ascii="宋体" w:hAnsi="宋体" w:eastAsia="宋体" w:cs="Times New Roman"/>
      <w:b/>
      <w:color w:val="000000"/>
      <w:kern w:val="2"/>
      <w:sz w:val="32"/>
      <w:szCs w:val="32"/>
      <w:u w:val="none"/>
      <w:lang w:val="en-US" w:eastAsia="zh-CN" w:bidi="ar-SA"/>
    </w:rPr>
  </w:style>
  <w:style w:type="character" w:customStyle="1" w:styleId="33">
    <w:name w:val="批注文字 字符"/>
    <w:link w:val="18"/>
    <w:qFormat/>
    <w:uiPriority w:val="0"/>
    <w:rPr>
      <w:kern w:val="2"/>
      <w:sz w:val="21"/>
    </w:rPr>
  </w:style>
  <w:style w:type="character" w:customStyle="1" w:styleId="34">
    <w:name w:val="纯文本 字符1"/>
    <w:link w:val="26"/>
    <w:qFormat/>
    <w:uiPriority w:val="0"/>
    <w:rPr>
      <w:rFonts w:ascii="宋体" w:hAnsi="Courier New" w:cs="Courier New"/>
      <w:kern w:val="2"/>
      <w:sz w:val="21"/>
      <w:szCs w:val="21"/>
    </w:rPr>
  </w:style>
  <w:style w:type="character" w:customStyle="1" w:styleId="35">
    <w:name w:val="页脚 字符"/>
    <w:link w:val="21"/>
    <w:qFormat/>
    <w:uiPriority w:val="99"/>
    <w:rPr>
      <w:kern w:val="2"/>
      <w:sz w:val="18"/>
      <w:szCs w:val="18"/>
    </w:rPr>
  </w:style>
  <w:style w:type="character" w:customStyle="1" w:styleId="36">
    <w:name w:val="页眉 字符"/>
    <w:link w:val="22"/>
    <w:qFormat/>
    <w:uiPriority w:val="99"/>
    <w:rPr>
      <w:kern w:val="2"/>
      <w:sz w:val="18"/>
      <w:szCs w:val="18"/>
    </w:rPr>
  </w:style>
  <w:style w:type="character" w:customStyle="1" w:styleId="37">
    <w:name w:val="批注主题 字符"/>
    <w:link w:val="19"/>
    <w:qFormat/>
    <w:uiPriority w:val="0"/>
    <w:rPr>
      <w:b/>
      <w:bCs/>
      <w:kern w:val="2"/>
      <w:sz w:val="21"/>
    </w:rPr>
  </w:style>
  <w:style w:type="paragraph" w:customStyle="1" w:styleId="38">
    <w:name w:val="xl64"/>
    <w:basedOn w:val="1"/>
    <w:qFormat/>
    <w:uiPriority w:val="0"/>
    <w:pPr>
      <w:widowControl/>
      <w:spacing w:before="100" w:beforeAutospacing="1" w:after="100" w:afterAutospacing="1"/>
      <w:jc w:val="center"/>
    </w:pPr>
    <w:rPr>
      <w:rFonts w:ascii="宋体" w:hAnsi="宋体" w:cs="宋体"/>
      <w:kern w:val="0"/>
      <w:sz w:val="24"/>
      <w:szCs w:val="24"/>
    </w:rPr>
  </w:style>
  <w:style w:type="paragraph" w:customStyle="1" w:styleId="39">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40">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41">
    <w:name w:val="xl6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2">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43">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44">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45">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46">
    <w:name w:val="xl68"/>
    <w:basedOn w:val="1"/>
    <w:qFormat/>
    <w:uiPriority w:val="0"/>
    <w:pPr>
      <w:widowControl/>
      <w:pBdr>
        <w:bottom w:val="single" w:color="auto" w:sz="4" w:space="0"/>
      </w:pBdr>
      <w:spacing w:before="100" w:beforeAutospacing="1" w:after="100" w:afterAutospacing="1"/>
      <w:jc w:val="center"/>
    </w:pPr>
    <w:rPr>
      <w:rFonts w:ascii="宋体" w:hAnsi="宋体" w:cs="宋体"/>
      <w:b/>
      <w:bCs/>
      <w:kern w:val="0"/>
      <w:sz w:val="36"/>
      <w:szCs w:val="36"/>
    </w:rPr>
  </w:style>
  <w:style w:type="paragraph" w:customStyle="1" w:styleId="47">
    <w:name w:val="段"/>
    <w:qFormat/>
    <w:uiPriority w:val="0"/>
    <w:pPr>
      <w:autoSpaceDE w:val="0"/>
      <w:autoSpaceDN w:val="0"/>
      <w:ind w:firstLine="200" w:firstLineChars="200"/>
      <w:jc w:val="both"/>
    </w:pPr>
    <w:rPr>
      <w:rFonts w:ascii="宋体" w:hAnsi="Times New Roman" w:eastAsia="宋体" w:cs="宋体"/>
      <w:szCs w:val="21"/>
      <w:lang w:val="en-US" w:eastAsia="zh-CN" w:bidi="ar-SA"/>
    </w:rPr>
  </w:style>
  <w:style w:type="paragraph" w:customStyle="1" w:styleId="48">
    <w:name w:val="font5"/>
    <w:basedOn w:val="1"/>
    <w:qFormat/>
    <w:uiPriority w:val="0"/>
    <w:pPr>
      <w:widowControl/>
      <w:spacing w:before="100" w:beforeAutospacing="1" w:after="100" w:afterAutospacing="1"/>
      <w:jc w:val="left"/>
    </w:pPr>
    <w:rPr>
      <w:rFonts w:ascii="宋体" w:hAnsi="宋体" w:cs="宋体"/>
      <w:kern w:val="0"/>
      <w:sz w:val="18"/>
      <w:szCs w:val="18"/>
    </w:rPr>
  </w:style>
  <w:style w:type="character" w:customStyle="1" w:styleId="49">
    <w:name w:val="纯文本 字符"/>
    <w:qFormat/>
    <w:uiPriority w:val="0"/>
    <w:rPr>
      <w:rFonts w:ascii="宋体" w:hAnsi="Courier New" w:cs="Courier New"/>
      <w:kern w:val="2"/>
      <w:sz w:val="21"/>
      <w:szCs w:val="21"/>
    </w:rPr>
  </w:style>
  <w:style w:type="paragraph" w:customStyle="1" w:styleId="50">
    <w:name w:val="TOC Heading"/>
    <w:basedOn w:val="2"/>
    <w:next w:val="1"/>
    <w:qFormat/>
    <w:uiPriority w:val="39"/>
    <w:pPr>
      <w:widowControl/>
      <w:spacing w:before="240" w:after="0" w:line="259" w:lineRule="auto"/>
      <w:jc w:val="left"/>
      <w:outlineLvl w:val="9"/>
    </w:pPr>
    <w:rPr>
      <w:rFonts w:ascii="等线 Light" w:hAnsi="等线 Light" w:eastAsia="等线 Light"/>
      <w:b w:val="0"/>
      <w:color w:val="2F5496"/>
      <w:kern w:val="0"/>
      <w:sz w:val="32"/>
      <w:szCs w:val="32"/>
    </w:rPr>
  </w:style>
  <w:style w:type="paragraph" w:customStyle="1" w:styleId="51">
    <w:name w:val="WPSOffice手动目录 1"/>
    <w:qFormat/>
    <w:uiPriority w:val="0"/>
    <w:rPr>
      <w:rFonts w:ascii="Times New Roman" w:hAnsi="Times New Roman" w:eastAsia="宋体" w:cs="Times New Roman"/>
      <w:lang w:val="en-US" w:eastAsia="zh-CN" w:bidi="ar-SA"/>
    </w:rPr>
  </w:style>
  <w:style w:type="paragraph" w:customStyle="1" w:styleId="52">
    <w:name w:val="WPSOffice手动目录 2"/>
    <w:qFormat/>
    <w:uiPriority w:val="0"/>
    <w:pPr>
      <w:ind w:leftChars="200"/>
    </w:pPr>
    <w:rPr>
      <w:rFonts w:ascii="Times New Roman" w:hAnsi="Times New Roman" w:eastAsia="宋体" w:cs="Times New Roman"/>
      <w:lang w:val="en-US" w:eastAsia="zh-CN" w:bidi="ar-SA"/>
    </w:rPr>
  </w:style>
  <w:style w:type="paragraph" w:customStyle="1" w:styleId="53">
    <w:name w:val="Table Paragraph"/>
    <w:basedOn w:val="1"/>
    <w:qFormat/>
    <w:uiPriority w:val="1"/>
    <w:rPr>
      <w:rFonts w:ascii="宋体" w:hAnsi="宋体" w:eastAsia="宋体" w:cs="宋体"/>
      <w:lang w:val="zh-CN" w:eastAsia="zh-CN" w:bidi="zh-CN"/>
    </w:rPr>
  </w:style>
  <w:style w:type="paragraph" w:customStyle="1" w:styleId="54">
    <w:name w:val="图表"/>
    <w:basedOn w:val="1"/>
    <w:qFormat/>
    <w:uiPriority w:val="0"/>
    <w:pPr>
      <w:ind w:firstLine="0" w:firstLineChars="0"/>
      <w:jc w:val="center"/>
    </w:pPr>
    <w:rPr>
      <w:rFonts w:ascii="Times" w:hAnsi="Times" w:eastAsia="宋体"/>
      <w:bCs/>
      <w:szCs w:val="32"/>
    </w:rPr>
  </w:style>
  <w:style w:type="character" w:customStyle="1" w:styleId="55">
    <w:name w:val="题注 Char"/>
    <w:link w:val="16"/>
    <w:qFormat/>
    <w:uiPriority w:val="0"/>
    <w:rPr>
      <w:rFonts w:ascii="宋体" w:hAnsi="宋体" w:eastAsia="宋体" w:cs="宋体"/>
      <w:b/>
      <w:bCs/>
      <w:color w:val="000000"/>
      <w:kern w:val="2"/>
      <w:sz w:val="24"/>
      <w:szCs w:val="24"/>
      <w:u w:val="none"/>
      <w:lang w:val="en-US" w:eastAsia="zh-CN" w:bidi="ar-SA"/>
    </w:rPr>
  </w:style>
  <w:style w:type="paragraph" w:customStyle="1" w:styleId="56">
    <w:name w:val="参考文献"/>
    <w:basedOn w:val="1"/>
    <w:qFormat/>
    <w:uiPriority w:val="0"/>
    <w:pPr>
      <w:numPr>
        <w:ilvl w:val="0"/>
        <w:numId w:val="2"/>
      </w:numPr>
      <w:ind w:left="420" w:right="178" w:rightChars="74" w:hanging="420" w:firstLineChars="0"/>
    </w:pPr>
    <w:rPr>
      <w:rFonts w:ascii="宋体" w:hAnsi="宋体" w:eastAsia="宋体" w:cs="宋体"/>
    </w:rPr>
  </w:style>
  <w:style w:type="paragraph" w:styleId="5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25</Pages>
  <Words>3395</Words>
  <Characters>3749</Characters>
  <Lines>27</Lines>
  <Paragraphs>7</Paragraphs>
  <TotalTime>2</TotalTime>
  <ScaleCrop>false</ScaleCrop>
  <LinksUpToDate>false</LinksUpToDate>
  <CharactersWithSpaces>3994</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2022-11-20T04:35:00Z</dcterms:created>
  <dc:creator>微软用户</dc:creator>
  <cp:lastModifiedBy>blue</cp:lastModifiedBy>
  <cp:lastPrinted>2018-02-07T06:08:00Z</cp:lastPrinted>
  <dcterms:modified xsi:type="dcterms:W3CDTF">2026-09-08T20:39:55Z</dcterms:modified>
  <dc:title>关于开展安徽省自然科学基金</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C7A969C828374B04A8D9B2766E7DE83B</vt:lpwstr>
  </property>
  <property fmtid="{D5CDD505-2E9C-101B-9397-08002B2CF9AE}" pid="4" name="KSOTemplateDocerSaveRecord">
    <vt:lpwstr>eyJoZGlkIjoiZjFmZWIzNDg2MmIzZjExOTIzMmViNTBmYTMwYTk0ZWYiLCJ1c2VySWQiOiIxNTgzOTkzNDQ4In0=</vt:lpwstr>
  </property>
</Properties>
</file>