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F925E00">
      <w:pPr>
        <w:pStyle w:val="26"/>
        <w:tabs>
          <w:tab w:val="left" w:pos="8640"/>
        </w:tabs>
        <w:spacing w:line="520" w:lineRule="exact"/>
        <w:ind w:right="489" w:rightChars="204"/>
        <w:rPr>
          <w:rFonts w:hint="default" w:ascii="Times New Roman" w:hAnsi="Times New Roman" w:eastAsia="黑体" w:cs="Times New Roman"/>
          <w:sz w:val="24"/>
        </w:rPr>
      </w:pPr>
    </w:p>
    <w:p w14:paraId="365E1352">
      <w:pPr>
        <w:pStyle w:val="26"/>
        <w:tabs>
          <w:tab w:val="left" w:pos="8640"/>
        </w:tabs>
        <w:spacing w:line="520" w:lineRule="exact"/>
        <w:ind w:right="489" w:rightChars="204"/>
        <w:rPr>
          <w:rFonts w:hint="default" w:ascii="Times New Roman" w:hAnsi="Times New Roman" w:eastAsia="黑体" w:cs="Times New Roman"/>
          <w:sz w:val="24"/>
        </w:rPr>
      </w:pPr>
    </w:p>
    <w:p w14:paraId="6F141003">
      <w:pPr>
        <w:pStyle w:val="26"/>
        <w:tabs>
          <w:tab w:val="left" w:pos="8640"/>
        </w:tabs>
        <w:spacing w:line="520" w:lineRule="exact"/>
        <w:ind w:right="489" w:rightChars="204"/>
        <w:rPr>
          <w:rFonts w:hint="default" w:ascii="Times New Roman" w:hAnsi="Times New Roman" w:eastAsia="黑体" w:cs="Times New Roman"/>
          <w:sz w:val="24"/>
        </w:rPr>
      </w:pPr>
      <w:r>
        <w:rPr>
          <w:rFonts w:hint="default" w:ascii="Times New Roman" w:hAnsi="Times New Roman" w:eastAsia="黑体" w:cs="Times New Roman"/>
          <w:sz w:val="24"/>
        </w:rPr>
        <w:t xml:space="preserve"> </w:t>
      </w:r>
    </w:p>
    <w:p w14:paraId="36C0DEB8">
      <w:pPr>
        <w:pStyle w:val="26"/>
        <w:tabs>
          <w:tab w:val="left" w:pos="8640"/>
        </w:tabs>
        <w:spacing w:line="520" w:lineRule="exact"/>
        <w:ind w:right="489" w:rightChars="204"/>
        <w:rPr>
          <w:rFonts w:hint="default" w:ascii="Times New Roman" w:hAnsi="Times New Roman" w:eastAsia="黑体" w:cs="Times New Roman"/>
          <w:sz w:val="24"/>
        </w:rPr>
      </w:pPr>
    </w:p>
    <w:p w14:paraId="1F218E95">
      <w:pPr>
        <w:spacing w:line="300" w:lineRule="auto"/>
        <w:jc w:val="center"/>
        <w:rPr>
          <w:rFonts w:hint="default" w:ascii="Times New Roman" w:hAnsi="Times New Roman" w:eastAsia="仿宋" w:cs="Times New Roman"/>
          <w:b/>
          <w:sz w:val="32"/>
          <w:szCs w:val="32"/>
        </w:rPr>
        <w:sectPr>
          <w:footerReference r:id="rId7" w:type="first"/>
          <w:headerReference r:id="rId5" w:type="even"/>
          <w:footerReference r:id="rId6" w:type="even"/>
          <w:pgSz w:w="11906" w:h="16838"/>
          <w:pgMar w:top="1440" w:right="1800" w:bottom="1440" w:left="1800" w:header="851" w:footer="992" w:gutter="0"/>
          <w:pgNumType w:fmt="upperRoman" w:start="1"/>
          <w:cols w:space="720" w:num="1"/>
          <w:docGrid w:type="lines" w:linePitch="312" w:charSpace="0"/>
        </w:sectPr>
      </w:pPr>
      <w:bookmarkStart w:id="32" w:name="_GoBack"/>
      <w:bookmarkEnd w:id="32"/>
    </w:p>
    <w:sdt>
      <w:sdtPr>
        <w:rPr>
          <w:rFonts w:hint="default" w:ascii="Times New Roman" w:hAnsi="Times New Roman" w:eastAsia="宋体" w:cs="Times New Roman"/>
          <w:color w:val="000000"/>
          <w:kern w:val="2"/>
          <w:sz w:val="21"/>
          <w:szCs w:val="24"/>
          <w:u w:val="none"/>
          <w:lang w:val="en-US" w:eastAsia="zh-CN" w:bidi="ar-SA"/>
        </w:rPr>
        <w:id w:val="147471818"/>
        <w15:color w:val="DBDBDB"/>
        <w:docPartObj>
          <w:docPartGallery w:val="Table of Contents"/>
          <w:docPartUnique/>
        </w:docPartObj>
      </w:sdtPr>
      <w:sdtEndPr>
        <w:rPr>
          <w:rFonts w:hint="default" w:ascii="Times New Roman" w:hAnsi="Times New Roman" w:eastAsia="宋体" w:cs="Times New Roman"/>
          <w:color w:val="000000"/>
          <w:kern w:val="2"/>
          <w:sz w:val="24"/>
          <w:szCs w:val="24"/>
          <w:u w:val="none"/>
          <w:lang w:val="en-US" w:eastAsia="zh-CN" w:bidi="ar-SA"/>
        </w:rPr>
      </w:sdtEndPr>
      <w:sdtContent>
        <w:p w14:paraId="196B69E5">
          <w:pPr>
            <w:spacing w:before="0" w:beforeLines="0" w:after="0" w:afterLines="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eastAsia="宋体" w:cs="Times New Roman"/>
              <w:sz w:val="21"/>
            </w:rPr>
            <w:t>目录</w:t>
          </w:r>
        </w:p>
        <w:p w14:paraId="45CBB981">
          <w:pPr>
            <w:pStyle w:val="29"/>
          </w:pPr>
          <w:r>
            <w:rPr>
              <w:rFonts w:hint="default" w:ascii="Times New Roman" w:hAnsi="Times New Roman" w:eastAsia="宋体" w:cs="Times New Roman"/>
              <w:kern w:val="2"/>
              <w:sz w:val="21"/>
              <w:lang w:val="en-US" w:eastAsia="zh-CN" w:bidi="ar-SA"/>
            </w:rPr>
            <w:fldChar w:fldCharType="begin"/>
          </w:r>
          <w:r>
            <w:rPr>
              <w:rFonts w:hint="default" w:ascii="Times New Roman" w:hAnsi="Times New Roman" w:eastAsia="宋体" w:cs="Times New Roman"/>
              <w:kern w:val="2"/>
              <w:sz w:val="21"/>
              <w:lang w:val="en-US" w:eastAsia="zh-CN" w:bidi="ar-SA"/>
            </w:rPr>
            <w:instrText xml:space="preserve">TOC \o "1-3" \h \u </w:instrText>
          </w:r>
          <w:r>
            <w:rPr>
              <w:rFonts w:hint="default" w:ascii="Times New Roman" w:hAnsi="Times New Roman" w:eastAsia="宋体" w:cs="Times New Roman"/>
              <w:kern w:val="2"/>
              <w:sz w:val="21"/>
              <w:lang w:val="en-US" w:eastAsia="zh-CN" w:bidi="ar-SA"/>
            </w:rPr>
            <w:fldChar w:fldCharType="separate"/>
          </w: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_Toc17840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32"/>
              <w:lang w:val="en-US" w:eastAsia="zh-CN"/>
            </w:rPr>
            <w:t>引言</w:t>
          </w:r>
          <w:r>
            <w:tab/>
          </w:r>
          <w:r>
            <w:fldChar w:fldCharType="begin"/>
          </w:r>
          <w:r>
            <w:instrText xml:space="preserve"> PAGEREF _Toc17840 \h </w:instrText>
          </w:r>
          <w:r>
            <w:fldChar w:fldCharType="separate"/>
          </w:r>
          <w:r>
            <w:t>1</w:t>
          </w:r>
          <w:r>
            <w:fldChar w:fldCharType="end"/>
          </w:r>
          <w:r>
            <w:rPr>
              <w:rFonts w:hint="default" w:ascii="Times New Roman" w:hAnsi="Times New Roman" w:eastAsia="宋体" w:cs="Times New Roman"/>
              <w:kern w:val="2"/>
              <w:lang w:val="en-US" w:eastAsia="zh-CN" w:bidi="ar-SA"/>
            </w:rPr>
            <w:fldChar w:fldCharType="end"/>
          </w:r>
        </w:p>
        <w:p w14:paraId="6E2380E3">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_Toc3771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32"/>
              <w:lang w:val="en-US" w:eastAsia="zh-CN"/>
            </w:rPr>
            <w:t>1. 研究背景与意义</w:t>
          </w:r>
          <w:r>
            <w:tab/>
          </w:r>
          <w:r>
            <w:fldChar w:fldCharType="begin"/>
          </w:r>
          <w:r>
            <w:instrText xml:space="preserve"> PAGEREF _Toc3771 \h </w:instrText>
          </w:r>
          <w:r>
            <w:fldChar w:fldCharType="separate"/>
          </w:r>
          <w:r>
            <w:t>2</w:t>
          </w:r>
          <w:r>
            <w:fldChar w:fldCharType="end"/>
          </w:r>
          <w:r>
            <w:rPr>
              <w:rFonts w:hint="default" w:ascii="Times New Roman" w:hAnsi="Times New Roman" w:eastAsia="宋体" w:cs="Times New Roman"/>
              <w:kern w:val="2"/>
              <w:lang w:val="en-US" w:eastAsia="zh-CN" w:bidi="ar-SA"/>
            </w:rPr>
            <w:fldChar w:fldCharType="end"/>
          </w:r>
        </w:p>
        <w:p w14:paraId="22BB4783">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_Toc14174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rPr>
            <w:t xml:space="preserve">1.1. </w:t>
          </w:r>
          <w:r>
            <w:rPr>
              <w:rFonts w:hint="default" w:ascii="Times New Roman" w:hAnsi="Times New Roman" w:cs="Times New Roman"/>
              <w:szCs w:val="28"/>
              <w:lang w:val="en-US" w:eastAsia="zh-CN"/>
            </w:rPr>
            <w:t>研究背景</w:t>
          </w:r>
          <w:r>
            <w:tab/>
          </w:r>
          <w:r>
            <w:fldChar w:fldCharType="begin"/>
          </w:r>
          <w:r>
            <w:instrText xml:space="preserve"> PAGEREF _Toc14174 \h </w:instrText>
          </w:r>
          <w:r>
            <w:fldChar w:fldCharType="separate"/>
          </w:r>
          <w:r>
            <w:t>2</w:t>
          </w:r>
          <w:r>
            <w:fldChar w:fldCharType="end"/>
          </w:r>
          <w:r>
            <w:rPr>
              <w:rFonts w:hint="default" w:ascii="Times New Roman" w:hAnsi="Times New Roman" w:eastAsia="宋体" w:cs="Times New Roman"/>
              <w:kern w:val="2"/>
              <w:lang w:val="en-US" w:eastAsia="zh-CN" w:bidi="ar-SA"/>
            </w:rPr>
            <w:fldChar w:fldCharType="end"/>
          </w:r>
        </w:p>
        <w:p w14:paraId="342C3616">
          <w:pPr>
            <w:pStyle w:val="31"/>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_Toc19610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24"/>
              <w:lang w:val="en-US" w:eastAsia="zh-CN"/>
            </w:rPr>
            <w:t>1.1.1. 航空航天设施（含机场机库）分类</w:t>
          </w:r>
          <w:r>
            <w:tab/>
          </w:r>
          <w:r>
            <w:fldChar w:fldCharType="begin"/>
          </w:r>
          <w:r>
            <w:instrText xml:space="preserve"> PAGEREF _Toc19610 \h </w:instrText>
          </w:r>
          <w:r>
            <w:fldChar w:fldCharType="separate"/>
          </w:r>
          <w:r>
            <w:t>2</w:t>
          </w:r>
          <w:r>
            <w:fldChar w:fldCharType="end"/>
          </w:r>
          <w:r>
            <w:rPr>
              <w:rFonts w:hint="default" w:ascii="Times New Roman" w:hAnsi="Times New Roman" w:eastAsia="宋体" w:cs="Times New Roman"/>
              <w:kern w:val="2"/>
              <w:lang w:val="en-US" w:eastAsia="zh-CN" w:bidi="ar-SA"/>
            </w:rPr>
            <w:fldChar w:fldCharType="end"/>
          </w:r>
        </w:p>
        <w:p w14:paraId="6A6297A5">
          <w:pPr>
            <w:pStyle w:val="31"/>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_Toc20521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24"/>
              <w:lang w:val="en-US" w:eastAsia="zh-CN"/>
            </w:rPr>
            <w:t>1.1.2. 热辐射HS与建筑响应特征</w:t>
          </w:r>
          <w:r>
            <w:tab/>
          </w:r>
          <w:r>
            <w:fldChar w:fldCharType="begin"/>
          </w:r>
          <w:r>
            <w:instrText xml:space="preserve"> PAGEREF _Toc20521 \h </w:instrText>
          </w:r>
          <w:r>
            <w:fldChar w:fldCharType="separate"/>
          </w:r>
          <w:r>
            <w:t>4</w:t>
          </w:r>
          <w:r>
            <w:fldChar w:fldCharType="end"/>
          </w:r>
          <w:r>
            <w:rPr>
              <w:rFonts w:hint="default" w:ascii="Times New Roman" w:hAnsi="Times New Roman" w:eastAsia="宋体" w:cs="Times New Roman"/>
              <w:kern w:val="2"/>
              <w:lang w:val="en-US" w:eastAsia="zh-CN" w:bidi="ar-SA"/>
            </w:rPr>
            <w:fldChar w:fldCharType="end"/>
          </w:r>
        </w:p>
        <w:p w14:paraId="1C4C7A4F">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_Toc27045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1.2. 研究目标与范围</w:t>
          </w:r>
          <w:r>
            <w:tab/>
          </w:r>
          <w:r>
            <w:fldChar w:fldCharType="begin"/>
          </w:r>
          <w:r>
            <w:instrText xml:space="preserve"> PAGEREF _Toc27045 \h </w:instrText>
          </w:r>
          <w:r>
            <w:fldChar w:fldCharType="separate"/>
          </w:r>
          <w:r>
            <w:t>5</w:t>
          </w:r>
          <w:r>
            <w:fldChar w:fldCharType="end"/>
          </w:r>
          <w:r>
            <w:rPr>
              <w:rFonts w:hint="default" w:ascii="Times New Roman" w:hAnsi="Times New Roman" w:eastAsia="宋体" w:cs="Times New Roman"/>
              <w:kern w:val="2"/>
              <w:lang w:val="en-US" w:eastAsia="zh-CN" w:bidi="ar-SA"/>
            </w:rPr>
            <w:fldChar w:fldCharType="end"/>
          </w:r>
        </w:p>
        <w:p w14:paraId="6E9B5FA3">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_Toc9960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32"/>
              <w:lang w:val="en-US" w:eastAsia="zh-CN"/>
            </w:rPr>
            <w:t>2. 数据体系建设</w:t>
          </w:r>
          <w:r>
            <w:tab/>
          </w:r>
          <w:r>
            <w:fldChar w:fldCharType="begin"/>
          </w:r>
          <w:r>
            <w:instrText xml:space="preserve"> PAGEREF _Toc9960 \h </w:instrText>
          </w:r>
          <w:r>
            <w:fldChar w:fldCharType="separate"/>
          </w:r>
          <w:r>
            <w:t>6</w:t>
          </w:r>
          <w:r>
            <w:fldChar w:fldCharType="end"/>
          </w:r>
          <w:r>
            <w:rPr>
              <w:rFonts w:hint="default" w:ascii="Times New Roman" w:hAnsi="Times New Roman" w:eastAsia="宋体" w:cs="Times New Roman"/>
              <w:kern w:val="2"/>
              <w:lang w:val="en-US" w:eastAsia="zh-CN" w:bidi="ar-SA"/>
            </w:rPr>
            <w:fldChar w:fldCharType="end"/>
          </w:r>
        </w:p>
        <w:p w14:paraId="77A508D1">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_Toc12133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2.1. 数据组成</w:t>
          </w:r>
          <w:r>
            <w:tab/>
          </w:r>
          <w:r>
            <w:fldChar w:fldCharType="begin"/>
          </w:r>
          <w:r>
            <w:instrText xml:space="preserve"> PAGEREF _Toc12133 \h </w:instrText>
          </w:r>
          <w:r>
            <w:fldChar w:fldCharType="separate"/>
          </w:r>
          <w:r>
            <w:t>6</w:t>
          </w:r>
          <w:r>
            <w:fldChar w:fldCharType="end"/>
          </w:r>
          <w:r>
            <w:rPr>
              <w:rFonts w:hint="default" w:ascii="Times New Roman" w:hAnsi="Times New Roman" w:eastAsia="宋体" w:cs="Times New Roman"/>
              <w:kern w:val="2"/>
              <w:lang w:val="en-US" w:eastAsia="zh-CN" w:bidi="ar-SA"/>
            </w:rPr>
            <w:fldChar w:fldCharType="end"/>
          </w:r>
        </w:p>
        <w:p w14:paraId="5BBAE8BB">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_Toc31948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28"/>
              <w:lang w:val="en-US" w:eastAsia="zh-CN"/>
            </w:rPr>
            <w:t>2.2. 工况覆盖</w:t>
          </w:r>
          <w:r>
            <w:tab/>
          </w:r>
          <w:r>
            <w:fldChar w:fldCharType="begin"/>
          </w:r>
          <w:r>
            <w:instrText xml:space="preserve"> PAGEREF _Toc31948 \h </w:instrText>
          </w:r>
          <w:r>
            <w:fldChar w:fldCharType="separate"/>
          </w:r>
          <w:r>
            <w:t>9</w:t>
          </w:r>
          <w:r>
            <w:fldChar w:fldCharType="end"/>
          </w:r>
          <w:r>
            <w:rPr>
              <w:rFonts w:hint="default" w:ascii="Times New Roman" w:hAnsi="Times New Roman" w:eastAsia="宋体" w:cs="Times New Roman"/>
              <w:kern w:val="2"/>
              <w:lang w:val="en-US" w:eastAsia="zh-CN" w:bidi="ar-SA"/>
            </w:rPr>
            <w:fldChar w:fldCharType="end"/>
          </w:r>
        </w:p>
        <w:p w14:paraId="640045F8">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_Toc10478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28"/>
              <w:lang w:val="en-US" w:eastAsia="zh-CN"/>
            </w:rPr>
            <w:t xml:space="preserve">2.3. </w:t>
          </w:r>
          <w:r>
            <w:rPr>
              <w:rFonts w:hint="eastAsia"/>
            </w:rPr>
            <w:t>设施构型与目标特征覆盖</w:t>
          </w:r>
          <w:r>
            <w:tab/>
          </w:r>
          <w:r>
            <w:fldChar w:fldCharType="begin"/>
          </w:r>
          <w:r>
            <w:instrText xml:space="preserve"> PAGEREF _Toc10478 \h </w:instrText>
          </w:r>
          <w:r>
            <w:fldChar w:fldCharType="separate"/>
          </w:r>
          <w:r>
            <w:t>9</w:t>
          </w:r>
          <w:r>
            <w:fldChar w:fldCharType="end"/>
          </w:r>
          <w:r>
            <w:rPr>
              <w:rFonts w:hint="default" w:ascii="Times New Roman" w:hAnsi="Times New Roman" w:eastAsia="宋体" w:cs="Times New Roman"/>
              <w:kern w:val="2"/>
              <w:lang w:val="en-US" w:eastAsia="zh-CN" w:bidi="ar-SA"/>
            </w:rPr>
            <w:fldChar w:fldCharType="end"/>
          </w:r>
        </w:p>
        <w:p w14:paraId="4DD51745">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_Toc19634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32"/>
              <w:lang w:val="en-US" w:eastAsia="zh-CN"/>
            </w:rPr>
            <w:t xml:space="preserve">3. </w:t>
          </w:r>
          <w:r>
            <w:rPr>
              <w:rFonts w:hint="default" w:ascii="Times New Roman" w:hAnsi="Times New Roman" w:cs="Times New Roman"/>
              <w:lang w:val="en-US" w:eastAsia="zh-CN"/>
            </w:rPr>
            <w:t>特征参数工程</w:t>
          </w:r>
          <w:r>
            <w:tab/>
          </w:r>
          <w:r>
            <w:fldChar w:fldCharType="begin"/>
          </w:r>
          <w:r>
            <w:instrText xml:space="preserve"> PAGEREF _Toc19634 \h </w:instrText>
          </w:r>
          <w:r>
            <w:fldChar w:fldCharType="separate"/>
          </w:r>
          <w:r>
            <w:t>11</w:t>
          </w:r>
          <w:r>
            <w:fldChar w:fldCharType="end"/>
          </w:r>
          <w:r>
            <w:rPr>
              <w:rFonts w:hint="default" w:ascii="Times New Roman" w:hAnsi="Times New Roman" w:eastAsia="宋体" w:cs="Times New Roman"/>
              <w:kern w:val="2"/>
              <w:lang w:val="en-US" w:eastAsia="zh-CN" w:bidi="ar-SA"/>
            </w:rPr>
            <w:fldChar w:fldCharType="end"/>
          </w:r>
        </w:p>
        <w:p w14:paraId="4421524E">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_Toc31067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3.1. 特征分类</w:t>
          </w:r>
          <w:r>
            <w:tab/>
          </w:r>
          <w:r>
            <w:fldChar w:fldCharType="begin"/>
          </w:r>
          <w:r>
            <w:instrText xml:space="preserve"> PAGEREF _Toc31067 \h </w:instrText>
          </w:r>
          <w:r>
            <w:fldChar w:fldCharType="separate"/>
          </w:r>
          <w:r>
            <w:t>11</w:t>
          </w:r>
          <w:r>
            <w:fldChar w:fldCharType="end"/>
          </w:r>
          <w:r>
            <w:rPr>
              <w:rFonts w:hint="default" w:ascii="Times New Roman" w:hAnsi="Times New Roman" w:eastAsia="宋体" w:cs="Times New Roman"/>
              <w:kern w:val="2"/>
              <w:lang w:val="en-US" w:eastAsia="zh-CN" w:bidi="ar-SA"/>
            </w:rPr>
            <w:fldChar w:fldCharType="end"/>
          </w:r>
        </w:p>
        <w:p w14:paraId="1574A6C1">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_Toc14901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3.2. </w:t>
          </w:r>
          <w:r>
            <w:rPr>
              <w:rFonts w:hint="default" w:ascii="Times New Roman" w:hAnsi="Times New Roman" w:cs="Times New Roman"/>
              <w:lang w:val="en-US" w:eastAsia="zh-CN"/>
            </w:rPr>
            <w:t>特征处理</w:t>
          </w:r>
          <w:r>
            <w:tab/>
          </w:r>
          <w:r>
            <w:fldChar w:fldCharType="begin"/>
          </w:r>
          <w:r>
            <w:instrText xml:space="preserve"> PAGEREF _Toc14901 \h </w:instrText>
          </w:r>
          <w:r>
            <w:fldChar w:fldCharType="separate"/>
          </w:r>
          <w:r>
            <w:t>13</w:t>
          </w:r>
          <w:r>
            <w:fldChar w:fldCharType="end"/>
          </w:r>
          <w:r>
            <w:rPr>
              <w:rFonts w:hint="default" w:ascii="Times New Roman" w:hAnsi="Times New Roman" w:eastAsia="宋体" w:cs="Times New Roman"/>
              <w:kern w:val="2"/>
              <w:lang w:val="en-US" w:eastAsia="zh-CN" w:bidi="ar-SA"/>
            </w:rPr>
            <w:fldChar w:fldCharType="end"/>
          </w:r>
        </w:p>
        <w:p w14:paraId="3BBDDDAD">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_Toc14106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3.3. 特征重要性分析</w:t>
          </w:r>
          <w:r>
            <w:tab/>
          </w:r>
          <w:r>
            <w:fldChar w:fldCharType="begin"/>
          </w:r>
          <w:r>
            <w:instrText xml:space="preserve"> PAGEREF _Toc14106 \h </w:instrText>
          </w:r>
          <w:r>
            <w:fldChar w:fldCharType="separate"/>
          </w:r>
          <w:r>
            <w:t>13</w:t>
          </w:r>
          <w:r>
            <w:fldChar w:fldCharType="end"/>
          </w:r>
          <w:r>
            <w:rPr>
              <w:rFonts w:hint="default" w:ascii="Times New Roman" w:hAnsi="Times New Roman" w:eastAsia="宋体" w:cs="Times New Roman"/>
              <w:kern w:val="2"/>
              <w:lang w:val="en-US" w:eastAsia="zh-CN" w:bidi="ar-SA"/>
            </w:rPr>
            <w:fldChar w:fldCharType="end"/>
          </w:r>
        </w:p>
        <w:p w14:paraId="23FB7298">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_Toc1599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4. 代理模型架构设计</w:t>
          </w:r>
          <w:r>
            <w:tab/>
          </w:r>
          <w:r>
            <w:fldChar w:fldCharType="begin"/>
          </w:r>
          <w:r>
            <w:instrText xml:space="preserve"> PAGEREF _Toc1599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4BC0940A">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_Toc31423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 xml:space="preserve">4.1. </w:t>
          </w:r>
          <w:r>
            <w:rPr>
              <w:rFonts w:hint="default" w:ascii="Times New Roman" w:hAnsi="Times New Roman" w:cs="Times New Roman"/>
            </w:rPr>
            <w:t>ExtraTrees 建模原理</w:t>
          </w:r>
          <w:r>
            <w:tab/>
          </w:r>
          <w:r>
            <w:fldChar w:fldCharType="begin"/>
          </w:r>
          <w:r>
            <w:instrText xml:space="preserve"> PAGEREF _Toc31423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79799CDD">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_Toc7461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4.2. 连续 Dk 回归</w:t>
          </w:r>
          <w:r>
            <w:tab/>
          </w:r>
          <w:r>
            <w:fldChar w:fldCharType="begin"/>
          </w:r>
          <w:r>
            <w:instrText xml:space="preserve"> PAGEREF _Toc7461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63C5E424">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_Toc1327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4.3. </w:t>
          </w:r>
          <w:r>
            <w:rPr>
              <w:rFonts w:hint="default" w:ascii="Times New Roman" w:hAnsi="Times New Roman" w:cs="Times New Roman"/>
              <w:lang w:eastAsia="zh-CN"/>
            </w:rPr>
            <w:t>HS</w:t>
          </w:r>
          <w:r>
            <w:rPr>
              <w:rFonts w:hint="default" w:ascii="Times New Roman" w:hAnsi="Times New Roman" w:cs="Times New Roman"/>
            </w:rPr>
            <w:t>分类</w:t>
          </w:r>
          <w:r>
            <w:tab/>
          </w:r>
          <w:r>
            <w:fldChar w:fldCharType="begin"/>
          </w:r>
          <w:r>
            <w:instrText xml:space="preserve"> PAGEREF _Toc1327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333D11EE">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_Toc12943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4.4. 等级一致性约束</w:t>
          </w:r>
          <w:r>
            <w:tab/>
          </w:r>
          <w:r>
            <w:fldChar w:fldCharType="begin"/>
          </w:r>
          <w:r>
            <w:instrText xml:space="preserve"> PAGEREF _Toc12943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5F2CB50C">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_Toc16482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4.5. 模型</w:t>
          </w:r>
          <w:r>
            <w:rPr>
              <w:rFonts w:hint="default" w:ascii="Times New Roman" w:hAnsi="Times New Roman" w:cs="Times New Roman"/>
              <w:lang w:val="en-US" w:eastAsia="zh-CN"/>
            </w:rPr>
            <w:t>参数与树数选择</w:t>
          </w:r>
          <w:r>
            <w:tab/>
          </w:r>
          <w:r>
            <w:fldChar w:fldCharType="begin"/>
          </w:r>
          <w:r>
            <w:instrText xml:space="preserve"> PAGEREF _Toc16482 \h </w:instrText>
          </w:r>
          <w:r>
            <w:fldChar w:fldCharType="separate"/>
          </w:r>
          <w:r>
            <w:t>17</w:t>
          </w:r>
          <w:r>
            <w:fldChar w:fldCharType="end"/>
          </w:r>
          <w:r>
            <w:rPr>
              <w:rFonts w:hint="default" w:ascii="Times New Roman" w:hAnsi="Times New Roman" w:eastAsia="宋体" w:cs="Times New Roman"/>
              <w:kern w:val="2"/>
              <w:lang w:val="en-US" w:eastAsia="zh-CN" w:bidi="ar-SA"/>
            </w:rPr>
            <w:fldChar w:fldCharType="end"/>
          </w:r>
        </w:p>
        <w:p w14:paraId="014891A3">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_Toc16831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5. </w:t>
          </w:r>
          <w:r>
            <w:rPr>
              <w:rFonts w:hint="default" w:ascii="Times New Roman" w:hAnsi="Times New Roman" w:cs="Times New Roman"/>
              <w:lang w:val="en-US" w:eastAsia="zh-CN"/>
            </w:rPr>
            <w:t>模型训练与验证</w:t>
          </w:r>
          <w:r>
            <w:tab/>
          </w:r>
          <w:r>
            <w:fldChar w:fldCharType="begin"/>
          </w:r>
          <w:r>
            <w:instrText xml:space="preserve"> PAGEREF _Toc16831 \h </w:instrText>
          </w:r>
          <w:r>
            <w:fldChar w:fldCharType="separate"/>
          </w:r>
          <w:r>
            <w:t>19</w:t>
          </w:r>
          <w:r>
            <w:fldChar w:fldCharType="end"/>
          </w:r>
          <w:r>
            <w:rPr>
              <w:rFonts w:hint="default" w:ascii="Times New Roman" w:hAnsi="Times New Roman" w:eastAsia="宋体" w:cs="Times New Roman"/>
              <w:kern w:val="2"/>
              <w:lang w:val="en-US" w:eastAsia="zh-CN" w:bidi="ar-SA"/>
            </w:rPr>
            <w:fldChar w:fldCharType="end"/>
          </w:r>
        </w:p>
        <w:p w14:paraId="3B90E749">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_Toc14103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5.1. </w:t>
          </w:r>
          <w:r>
            <w:rPr>
              <w:rFonts w:hint="default" w:ascii="Times New Roman" w:hAnsi="Times New Roman" w:cs="Times New Roman"/>
              <w:lang w:val="en-US" w:eastAsia="zh-CN"/>
            </w:rPr>
            <w:t>数据划分</w:t>
          </w:r>
          <w:r>
            <w:tab/>
          </w:r>
          <w:r>
            <w:fldChar w:fldCharType="begin"/>
          </w:r>
          <w:r>
            <w:instrText xml:space="preserve"> PAGEREF _Toc14103 \h </w:instrText>
          </w:r>
          <w:r>
            <w:fldChar w:fldCharType="separate"/>
          </w:r>
          <w:r>
            <w:t>19</w:t>
          </w:r>
          <w:r>
            <w:fldChar w:fldCharType="end"/>
          </w:r>
          <w:r>
            <w:rPr>
              <w:rFonts w:hint="default" w:ascii="Times New Roman" w:hAnsi="Times New Roman" w:eastAsia="宋体" w:cs="Times New Roman"/>
              <w:kern w:val="2"/>
              <w:lang w:val="en-US" w:eastAsia="zh-CN" w:bidi="ar-SA"/>
            </w:rPr>
            <w:fldChar w:fldCharType="end"/>
          </w:r>
        </w:p>
        <w:p w14:paraId="5B740CB9">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_Toc15604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5.2. </w:t>
          </w:r>
          <w:r>
            <w:rPr>
              <w:rFonts w:hint="default" w:ascii="Times New Roman" w:hAnsi="Times New Roman" w:cs="Times New Roman"/>
              <w:lang w:val="en-US" w:eastAsia="zh-CN"/>
            </w:rPr>
            <w:t>评价指标</w:t>
          </w:r>
          <w:r>
            <w:tab/>
          </w:r>
          <w:r>
            <w:fldChar w:fldCharType="begin"/>
          </w:r>
          <w:r>
            <w:instrText xml:space="preserve"> PAGEREF _Toc15604 \h </w:instrText>
          </w:r>
          <w:r>
            <w:fldChar w:fldCharType="separate"/>
          </w:r>
          <w:r>
            <w:t>19</w:t>
          </w:r>
          <w:r>
            <w:fldChar w:fldCharType="end"/>
          </w:r>
          <w:r>
            <w:rPr>
              <w:rFonts w:hint="default" w:ascii="Times New Roman" w:hAnsi="Times New Roman" w:eastAsia="宋体" w:cs="Times New Roman"/>
              <w:kern w:val="2"/>
              <w:lang w:val="en-US" w:eastAsia="zh-CN" w:bidi="ar-SA"/>
            </w:rPr>
            <w:fldChar w:fldCharType="end"/>
          </w:r>
        </w:p>
        <w:p w14:paraId="646DB711">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_Toc17186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5.3. </w:t>
          </w:r>
          <w:r>
            <w:rPr>
              <w:rFonts w:hint="default" w:ascii="Times New Roman" w:hAnsi="Times New Roman" w:cs="Times New Roman"/>
              <w:lang w:val="en-US" w:eastAsia="zh-CN"/>
            </w:rPr>
            <w:t>综合模型评价结果</w:t>
          </w:r>
          <w:r>
            <w:tab/>
          </w:r>
          <w:r>
            <w:fldChar w:fldCharType="begin"/>
          </w:r>
          <w:r>
            <w:instrText xml:space="preserve"> PAGEREF _Toc17186 \h </w:instrText>
          </w:r>
          <w:r>
            <w:fldChar w:fldCharType="separate"/>
          </w:r>
          <w:r>
            <w:t>19</w:t>
          </w:r>
          <w:r>
            <w:fldChar w:fldCharType="end"/>
          </w:r>
          <w:r>
            <w:rPr>
              <w:rFonts w:hint="default" w:ascii="Times New Roman" w:hAnsi="Times New Roman" w:eastAsia="宋体" w:cs="Times New Roman"/>
              <w:kern w:val="2"/>
              <w:lang w:val="en-US" w:eastAsia="zh-CN" w:bidi="ar-SA"/>
            </w:rPr>
            <w:fldChar w:fldCharType="end"/>
          </w:r>
        </w:p>
        <w:p w14:paraId="23A30967">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_Toc19704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5.4. 模型性能评估</w:t>
          </w:r>
          <w:r>
            <w:tab/>
          </w:r>
          <w:r>
            <w:fldChar w:fldCharType="begin"/>
          </w:r>
          <w:r>
            <w:instrText xml:space="preserve"> PAGEREF _Toc19704 \h </w:instrText>
          </w:r>
          <w:r>
            <w:fldChar w:fldCharType="separate"/>
          </w:r>
          <w:r>
            <w:t>20</w:t>
          </w:r>
          <w:r>
            <w:fldChar w:fldCharType="end"/>
          </w:r>
          <w:r>
            <w:rPr>
              <w:rFonts w:hint="default" w:ascii="Times New Roman" w:hAnsi="Times New Roman" w:eastAsia="宋体" w:cs="Times New Roman"/>
              <w:kern w:val="2"/>
              <w:lang w:val="en-US" w:eastAsia="zh-CN" w:bidi="ar-SA"/>
            </w:rPr>
            <w:fldChar w:fldCharType="end"/>
          </w:r>
        </w:p>
        <w:p w14:paraId="2933B71C">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_Toc28485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6. 仿真程序集成与界面展示</w:t>
          </w:r>
          <w:r>
            <w:tab/>
          </w:r>
          <w:r>
            <w:fldChar w:fldCharType="begin"/>
          </w:r>
          <w:r>
            <w:instrText xml:space="preserve"> PAGEREF _Toc28485 \h </w:instrText>
          </w:r>
          <w:r>
            <w:fldChar w:fldCharType="separate"/>
          </w:r>
          <w:r>
            <w:t>22</w:t>
          </w:r>
          <w:r>
            <w:fldChar w:fldCharType="end"/>
          </w:r>
          <w:r>
            <w:rPr>
              <w:rFonts w:hint="default" w:ascii="Times New Roman" w:hAnsi="Times New Roman" w:eastAsia="宋体" w:cs="Times New Roman"/>
              <w:kern w:val="2"/>
              <w:lang w:val="en-US" w:eastAsia="zh-CN" w:bidi="ar-SA"/>
            </w:rPr>
            <w:fldChar w:fldCharType="end"/>
          </w:r>
        </w:p>
        <w:p w14:paraId="0A535B0D">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_Toc18977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6.1. 系统集成架构</w:t>
          </w:r>
          <w:r>
            <w:tab/>
          </w:r>
          <w:r>
            <w:fldChar w:fldCharType="begin"/>
          </w:r>
          <w:r>
            <w:instrText xml:space="preserve"> PAGEREF _Toc18977 \h </w:instrText>
          </w:r>
          <w:r>
            <w:fldChar w:fldCharType="separate"/>
          </w:r>
          <w:r>
            <w:t>22</w:t>
          </w:r>
          <w:r>
            <w:fldChar w:fldCharType="end"/>
          </w:r>
          <w:r>
            <w:rPr>
              <w:rFonts w:hint="default" w:ascii="Times New Roman" w:hAnsi="Times New Roman" w:eastAsia="宋体" w:cs="Times New Roman"/>
              <w:kern w:val="2"/>
              <w:lang w:val="en-US" w:eastAsia="zh-CN" w:bidi="ar-SA"/>
            </w:rPr>
            <w:fldChar w:fldCharType="end"/>
          </w:r>
        </w:p>
        <w:p w14:paraId="6D37195D">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_Toc12465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6.2. </w:t>
          </w:r>
          <w:r>
            <w:rPr>
              <w:rFonts w:hint="default" w:ascii="Times New Roman" w:hAnsi="Times New Roman" w:cs="Times New Roman"/>
              <w:lang w:val="en-US" w:eastAsia="zh-CN"/>
            </w:rPr>
            <w:t>程序操作流程</w:t>
          </w:r>
          <w:r>
            <w:tab/>
          </w:r>
          <w:r>
            <w:fldChar w:fldCharType="begin"/>
          </w:r>
          <w:r>
            <w:instrText xml:space="preserve"> PAGEREF _Toc12465 \h </w:instrText>
          </w:r>
          <w:r>
            <w:fldChar w:fldCharType="separate"/>
          </w:r>
          <w:r>
            <w:t>22</w:t>
          </w:r>
          <w:r>
            <w:fldChar w:fldCharType="end"/>
          </w:r>
          <w:r>
            <w:rPr>
              <w:rFonts w:hint="default" w:ascii="Times New Roman" w:hAnsi="Times New Roman" w:eastAsia="宋体" w:cs="Times New Roman"/>
              <w:kern w:val="2"/>
              <w:lang w:val="en-US" w:eastAsia="zh-CN" w:bidi="ar-SA"/>
            </w:rPr>
            <w:fldChar w:fldCharType="end"/>
          </w:r>
        </w:p>
        <w:p w14:paraId="2352E988">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_Toc8777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7. 总结</w:t>
          </w:r>
          <w:r>
            <w:tab/>
          </w:r>
          <w:r>
            <w:fldChar w:fldCharType="begin"/>
          </w:r>
          <w:r>
            <w:instrText xml:space="preserve"> PAGEREF _Toc8777 \h </w:instrText>
          </w:r>
          <w:r>
            <w:fldChar w:fldCharType="separate"/>
          </w:r>
          <w:r>
            <w:t>24</w:t>
          </w:r>
          <w:r>
            <w:fldChar w:fldCharType="end"/>
          </w:r>
          <w:r>
            <w:rPr>
              <w:rFonts w:hint="default" w:ascii="Times New Roman" w:hAnsi="Times New Roman" w:eastAsia="宋体" w:cs="Times New Roman"/>
              <w:kern w:val="2"/>
              <w:lang w:val="en-US" w:eastAsia="zh-CN" w:bidi="ar-SA"/>
            </w:rPr>
            <w:fldChar w:fldCharType="end"/>
          </w:r>
        </w:p>
        <w:p w14:paraId="40802E7E">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_Toc32156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eastAsia="宋体" w:cs="Times New Roman"/>
              <w:szCs w:val="28"/>
              <w:lang w:val="en-US" w:eastAsia="zh-CN"/>
            </w:rPr>
            <w:t>参考文献</w:t>
          </w:r>
          <w:r>
            <w:tab/>
          </w:r>
          <w:r>
            <w:fldChar w:fldCharType="begin"/>
          </w:r>
          <w:r>
            <w:instrText xml:space="preserve"> PAGEREF _Toc32156 \h </w:instrText>
          </w:r>
          <w:r>
            <w:fldChar w:fldCharType="separate"/>
          </w:r>
          <w:r>
            <w:t>25</w:t>
          </w:r>
          <w:r>
            <w:fldChar w:fldCharType="end"/>
          </w:r>
          <w:r>
            <w:rPr>
              <w:rFonts w:hint="default" w:ascii="Times New Roman" w:hAnsi="Times New Roman" w:eastAsia="宋体" w:cs="Times New Roman"/>
              <w:kern w:val="2"/>
              <w:lang w:val="en-US" w:eastAsia="zh-CN" w:bidi="ar-SA"/>
            </w:rPr>
            <w:fldChar w:fldCharType="end"/>
          </w:r>
        </w:p>
        <w:p w14:paraId="00253A2B">
          <w:pPr>
            <w:rPr>
              <w:rFonts w:hint="default" w:ascii="Times New Roman" w:hAnsi="Times New Roman" w:eastAsia="宋体" w:cs="Times New Roman"/>
              <w:color w:val="000000"/>
              <w:kern w:val="2"/>
              <w:sz w:val="24"/>
              <w:szCs w:val="24"/>
              <w:u w:val="none"/>
              <w:lang w:val="en-US" w:eastAsia="zh-CN" w:bidi="ar-SA"/>
            </w:rPr>
          </w:pPr>
          <w:r>
            <w:rPr>
              <w:rFonts w:hint="default" w:ascii="Times New Roman" w:hAnsi="Times New Roman" w:eastAsia="宋体" w:cs="Times New Roman"/>
              <w:kern w:val="2"/>
              <w:lang w:val="en-US" w:eastAsia="zh-CN" w:bidi="ar-SA"/>
            </w:rPr>
            <w:fldChar w:fldCharType="end"/>
          </w:r>
        </w:p>
      </w:sdtContent>
    </w:sdt>
    <w:p w14:paraId="0037EFA8">
      <w:pPr>
        <w:rPr>
          <w:rFonts w:hint="default" w:ascii="Times New Roman" w:hAnsi="Times New Roman" w:eastAsia="宋体" w:cs="Times New Roman"/>
          <w:color w:val="000000"/>
          <w:kern w:val="2"/>
          <w:sz w:val="24"/>
          <w:szCs w:val="24"/>
          <w:u w:val="none"/>
          <w:lang w:val="en-US" w:eastAsia="zh-CN" w:bidi="ar-SA"/>
        </w:rPr>
        <w:sectPr>
          <w:footerReference r:id="rId11" w:type="first"/>
          <w:footerReference r:id="rId9" w:type="default"/>
          <w:headerReference r:id="rId8" w:type="even"/>
          <w:footerReference r:id="rId10" w:type="even"/>
          <w:pgSz w:w="11906" w:h="16838"/>
          <w:pgMar w:top="1440" w:right="1800" w:bottom="1440" w:left="1800" w:header="851" w:footer="992" w:gutter="0"/>
          <w:pgNumType w:fmt="upperRoman" w:start="1"/>
          <w:cols w:space="720" w:num="1"/>
          <w:docGrid w:type="lines" w:linePitch="326" w:charSpace="0"/>
        </w:sectPr>
      </w:pPr>
    </w:p>
    <w:p w14:paraId="328A2C14">
      <w:pPr>
        <w:outlineLvl w:val="0"/>
        <w:rPr>
          <w:rStyle w:val="23"/>
          <w:rFonts w:hint="default" w:ascii="Times New Roman" w:hAnsi="Times New Roman" w:cs="Times New Roman"/>
          <w:b/>
          <w:sz w:val="32"/>
          <w:szCs w:val="32"/>
          <w:lang w:val="en-US" w:eastAsia="zh-CN"/>
        </w:rPr>
      </w:pPr>
      <w:bookmarkStart w:id="0" w:name="_Toc8722"/>
      <w:bookmarkStart w:id="1" w:name="_Toc17840"/>
      <w:r>
        <w:rPr>
          <w:rStyle w:val="23"/>
          <w:rFonts w:hint="default" w:ascii="Times New Roman" w:hAnsi="Times New Roman" w:cs="Times New Roman"/>
          <w:b/>
          <w:sz w:val="32"/>
          <w:szCs w:val="32"/>
          <w:lang w:val="en-US" w:eastAsia="zh-CN"/>
        </w:rPr>
        <w:t>引言</w:t>
      </w:r>
      <w:bookmarkEnd w:id="0"/>
      <w:bookmarkEnd w:id="1"/>
    </w:p>
    <w:p w14:paraId="66B4A8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航空航天设施是承担航天器制造、装配、处理、发射和飞行控制的重要工程载体，机场机库则承担航空器停放、维修和后勤保障任务。两类设施通常具有高价值目标集中、功能系统复杂和生产保障连续性要求高等特点；火灾或外部热辐射造成的局部损伤，可能进一步影响关键设备、任务准备和维修保障进度。对于发射控制、卫星处理、飞机总装以及机库维修等场景，建筑、设备和目标之间的空间关系直接决定热量传递路径和设施级损失。</w:t>
      </w:r>
    </w:p>
    <w:p w14:paraId="61F3E2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本报告将航空航天设施与机场机库设施纳入同一工程预测体系，建立基于 FDS 数值模拟数据的快速预测方法。传统精细化火灾数值仿真能够提供详细的温度场和热通量分布，但在多方向、多持续时间和多热通量条件下进行大规模扫描时计算成本较高。代理模型以热源工况特征与设施构型及目标特征为输入，同时预测连续毁伤指数 D</w:t>
      </w:r>
      <w:r>
        <w:rPr>
          <w:rFonts w:hint="default" w:ascii="Times New Roman" w:hAnsi="Times New Roman" w:cs="Times New Roman"/>
          <w:sz w:val="24"/>
          <w:szCs w:val="24"/>
          <w:vertAlign w:val="subscript"/>
        </w:rPr>
        <w:t>k</w:t>
      </w:r>
      <w:r>
        <w:rPr>
          <w:rFonts w:hint="default" w:ascii="Times New Roman" w:hAnsi="Times New Roman" w:cs="Times New Roman"/>
          <w:sz w:val="24"/>
          <w:szCs w:val="24"/>
        </w:rPr>
        <w:t xml:space="preserve"> 和四级毁伤结果。通过等级约束机制，连续值与工程等级保持一致，可用于热辐射工况快速筛查、阈值方向分析和代表性工况选择。</w:t>
      </w:r>
    </w:p>
    <w:p w14:paraId="6D5BA6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仿宋_GB2312" w:cs="Times New Roman"/>
          <w:sz w:val="24"/>
          <w:szCs w:val="24"/>
          <w:lang w:val="en-US" w:eastAsia="zh-CN"/>
        </w:rPr>
        <w:sectPr>
          <w:footerReference r:id="rId12" w:type="default"/>
          <w:pgSz w:w="11906" w:h="16838"/>
          <w:pgMar w:top="1440" w:right="1800" w:bottom="1440" w:left="1800" w:header="851" w:footer="992" w:gutter="0"/>
          <w:pgNumType w:fmt="decimal" w:start="1"/>
          <w:cols w:space="720" w:num="1"/>
          <w:docGrid w:type="lines" w:linePitch="326" w:charSpace="0"/>
        </w:sectPr>
      </w:pPr>
      <w:r>
        <w:rPr>
          <w:rFonts w:hint="default" w:ascii="Times New Roman" w:hAnsi="Times New Roman" w:cs="Times New Roman"/>
          <w:sz w:val="24"/>
          <w:szCs w:val="24"/>
        </w:rPr>
        <w:t>当前数据共包含6558条模拟工况。本报告覆盖其中航空航天设施2838条工况，以及机场机库设施1285条工况，合计4123条工况，包括特异设施模型和等效设施模型。模型对各设施分别训练逐设施代理模型，并对航空航天与机场机库合并子集、两个子类和各设施分别进行专项统计，以保证评价口径统一并完整覆盖机场机库。</w:t>
      </w:r>
      <w:r>
        <w:rPr>
          <w:rFonts w:hint="eastAsia" w:ascii="Times New Roman" w:hAnsi="Times New Roman" w:cs="Times New Roman"/>
          <w:sz w:val="24"/>
          <w:szCs w:val="24"/>
          <w:lang w:val="en-US" w:eastAsia="zh-CN"/>
        </w:rPr>
      </w:r>
      <w:r>
        <w:rPr>
          <w:rFonts w:hint="default" w:ascii="Times New Roman" w:hAnsi="Times New Roman" w:cs="Times New Roman"/>
          <w:sz w:val="24"/>
          <w:szCs w:val="24"/>
        </w:rPr>
      </w:r>
      <w:r>
        <w:rPr>
          <w:rFonts w:hint="eastAsia" w:ascii="Times New Roman" w:hAnsi="Times New Roman" w:cs="Times New Roman"/>
          <w:sz w:val="24"/>
          <w:szCs w:val="24"/>
          <w:lang w:val="en-US" w:eastAsia="zh-CN"/>
        </w:rPr>
      </w:r>
      <w:r>
        <w:rPr>
          <w:rFonts w:hint="default" w:ascii="Times New Roman" w:hAnsi="Times New Roman" w:cs="Times New Roman"/>
          <w:sz w:val="24"/>
          <w:szCs w:val="24"/>
        </w:rPr>
      </w:r>
      <w:r>
        <w:rPr>
          <w:rFonts w:hint="eastAsia" w:ascii="Times New Roman" w:hAnsi="Times New Roman" w:cs="Times New Roman"/>
          <w:sz w:val="24"/>
          <w:szCs w:val="24"/>
          <w:lang w:val="en-US" w:eastAsia="zh-CN"/>
        </w:rPr>
      </w:r>
      <w:r>
        <w:rPr>
          <w:rFonts w:hint="default" w:ascii="Times New Roman" w:hAnsi="Times New Roman" w:cs="Times New Roman"/>
          <w:sz w:val="24"/>
          <w:szCs w:val="24"/>
        </w:rPr>
      </w:r>
    </w:p>
    <w:p w14:paraId="7E0AF3C6">
      <w:pPr>
        <w:pStyle w:val="2"/>
        <w:bidi w:val="0"/>
        <w:ind w:left="432" w:leftChars="0" w:hanging="432" w:firstLineChars="0"/>
        <w:rPr>
          <w:rStyle w:val="23"/>
          <w:rFonts w:hint="default" w:ascii="Times New Roman" w:hAnsi="Times New Roman" w:cs="Times New Roman"/>
          <w:b/>
          <w:szCs w:val="32"/>
          <w:lang w:val="en-US" w:eastAsia="zh-CN"/>
        </w:rPr>
      </w:pPr>
      <w:bookmarkStart w:id="2" w:name="_Toc3771"/>
      <w:r>
        <w:rPr>
          <w:rStyle w:val="23"/>
          <w:rFonts w:hint="default" w:ascii="Times New Roman" w:hAnsi="Times New Roman" w:cs="Times New Roman"/>
          <w:b/>
          <w:szCs w:val="32"/>
          <w:lang w:val="en-US" w:eastAsia="zh-CN"/>
        </w:rPr>
        <w:t>研究背景与意义</w:t>
      </w:r>
      <w:bookmarkEnd w:id="2"/>
    </w:p>
    <w:p w14:paraId="72ACFC29">
      <w:pPr>
        <w:pStyle w:val="3"/>
        <w:bidi w:val="0"/>
        <w:rPr>
          <w:rFonts w:hint="default" w:ascii="Times New Roman" w:hAnsi="Times New Roman" w:cs="Times New Roman"/>
          <w:lang w:val="en-US"/>
        </w:rPr>
      </w:pPr>
      <w:bookmarkStart w:id="3" w:name="_Toc14174"/>
      <w:r>
        <w:rPr>
          <w:rStyle w:val="23"/>
          <w:rFonts w:hint="default" w:ascii="Times New Roman" w:hAnsi="Times New Roman" w:cs="Times New Roman"/>
          <w:b/>
          <w:szCs w:val="28"/>
          <w:lang w:val="en-US" w:eastAsia="zh-CN"/>
        </w:rPr>
        <w:t>研究背景</w:t>
      </w:r>
      <w:bookmarkEnd w:id="3"/>
    </w:p>
    <w:p w14:paraId="575CD42A">
      <w:pPr>
        <w:pStyle w:val="4"/>
        <w:bidi w:val="0"/>
        <w:rPr>
          <w:rStyle w:val="23"/>
          <w:rFonts w:hint="default" w:ascii="Times New Roman" w:hAnsi="Times New Roman" w:cs="Times New Roman"/>
          <w:b/>
          <w:szCs w:val="24"/>
          <w:lang w:val="en-US" w:eastAsia="zh-CN"/>
        </w:rPr>
      </w:pPr>
      <w:bookmarkStart w:id="4" w:name="_Toc19610"/>
      <w:r>
        <w:rPr>
          <w:rStyle w:val="23"/>
          <w:rFonts w:hint="default" w:ascii="Times New Roman" w:hAnsi="Times New Roman" w:cs="Times New Roman"/>
          <w:b/>
          <w:szCs w:val="24"/>
          <w:lang w:val="en-US" w:eastAsia="zh-CN"/>
        </w:rPr>
        <w:t>航空航天设施（含机场机库）分类</w:t>
      </w:r>
      <w:bookmarkEnd w:id="4"/>
    </w:p>
    <w:p w14:paraId="5AD12A64">
      <w:pPr>
        <w:bidi w:val="0"/>
        <w:rPr>
          <w:rStyle w:val="23"/>
          <w:rFonts w:hint="default" w:ascii="Times New Roman" w:hAnsi="Times New Roman" w:cs="Times New Roman"/>
          <w:szCs w:val="24"/>
          <w:lang w:val="en-US" w:eastAsia="zh-CN"/>
        </w:rPr>
      </w:pPr>
      <w:r>
        <w:rPr>
          <w:rStyle w:val="23"/>
          <w:rFonts w:hint="default" w:ascii="Times New Roman" w:hAnsi="Times New Roman" w:cs="Times New Roman"/>
          <w:szCs w:val="24"/>
          <w:lang w:val="en-US" w:eastAsia="zh-CN"/>
        </w:rPr>
        <w:t>本报告的 21 个设施分为航空航天设施和机场机库设施两个子类。航空航天子类包含 12 个具有明确工程对象的特异设施模型和 3 个大、中、小等效设施模型；机场机库子类包含 3 个具有明确工程对象的特异设施模型和 3 个大、中、小等效设施模型。特异设施模型用于反映具体建筑几何、开口与目标配置，等效设施模型用于分析尺度、体量、开口比例和目标密度变化对阈值的影响。</w:t>
      </w:r>
    </w:p>
    <w:p w14:paraId="32D7E748">
      <w:pPr>
        <w:bidi w:val="0"/>
        <w:rPr>
          <w:rStyle w:val="23"/>
          <w:rFonts w:hint="default" w:ascii="Times New Roman" w:hAnsi="Times New Roman" w:cs="Times New Roman"/>
          <w:szCs w:val="24"/>
          <w:lang w:val="en-US" w:eastAsia="zh-CN"/>
        </w:rPr>
      </w:pPr>
      <w:r>
        <w:rPr>
          <w:rStyle w:val="23"/>
          <w:rFonts w:hint="default" w:ascii="Times New Roman" w:hAnsi="Times New Roman" w:cs="Times New Roman"/>
          <w:szCs w:val="24"/>
          <w:lang w:val="en-US" w:eastAsia="zh-CN"/>
        </w:rPr>
        <w:t>从工程功能看，发射控制中心和操作楼以飞行控制、通信和数据处理为主，控制室、机房和线缆通道中的电子设备及电缆系统是重要敏感目标；总装、部装和加工厂房承担大型部件装配、航天器处理或零件制造，通常具有连续生产空间、工艺设备区和物料搬运开口；发射塔台及移动发射台具有开放或半开放的受热边界，外部辐射可能更直接地作用于发射设备。机场机库则以大跨度空间、大型机库门和航空器集中停放为主要特征，维修机库还包含检修平台、工装和工艺作业区。上述功能差异通过建筑体量、迎火侧墙面、门窗及总开口比例、敏感目标密度和设施类别等参数进入当前模型。</w:t>
      </w:r>
    </w:p>
    <w:p w14:paraId="61B7A719">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rPr>
        <w:t>航空航天设施与机场机库分类体系</w:t>
      </w:r>
    </w:p>
    <w:tbl>
      <w:tblPr>
        <w:tblStyle w:val="2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704"/>
        <w:gridCol w:w="1704"/>
        <w:gridCol w:w="1704"/>
        <w:gridCol w:w="1705"/>
      </w:tblGrid>
      <w:tr w14:paraId="2C7C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12" w:space="0"/>
              <w:left w:val="nil"/>
              <w:bottom w:val="single" w:color="000000" w:sz="4" w:space="0"/>
              <w:right w:val="nil"/>
            </w:tcBorders>
            <w:shd w:val="clear" w:color="auto" w:fill="FFFFFF"/>
          </w:tcPr>
          <w:p w14:paraId="46C32781">
            <w:pPr>
              <w:pStyle w:val="54"/>
              <w:bidi w:val="0"/>
              <w:rPr>
                <w:rFonts w:hint="default"/>
              </w:rPr>
            </w:pPr>
            <w:r>
              <w:rPr>
                <w:rFonts w:hint="default"/>
              </w:rPr>
              <w:t>子类</w:t>
            </w:r>
          </w:p>
        </w:tc>
        <w:tc>
          <w:tcPr>
            <w:tcW w:w="1000" w:type="pct"/>
            <w:tcBorders>
              <w:top w:val="single" w:color="000000" w:sz="12" w:space="0"/>
              <w:left w:val="nil"/>
              <w:bottom w:val="single" w:color="000000" w:sz="4" w:space="0"/>
              <w:right w:val="nil"/>
            </w:tcBorders>
            <w:shd w:val="clear" w:color="auto" w:fill="FFFFFF"/>
          </w:tcPr>
          <w:p w14:paraId="5B860980">
            <w:pPr>
              <w:pStyle w:val="54"/>
              <w:bidi w:val="0"/>
              <w:rPr>
                <w:rFonts w:hint="default"/>
              </w:rPr>
            </w:pPr>
            <w:r>
              <w:rPr>
                <w:rFonts w:hint="default"/>
              </w:rPr>
              <w:t>设施名称</w:t>
            </w:r>
          </w:p>
        </w:tc>
        <w:tc>
          <w:tcPr>
            <w:tcW w:w="1000" w:type="pct"/>
            <w:tcBorders>
              <w:top w:val="single" w:color="000000" w:sz="12" w:space="0"/>
              <w:left w:val="nil"/>
              <w:bottom w:val="single" w:color="000000" w:sz="4" w:space="0"/>
              <w:right w:val="nil"/>
            </w:tcBorders>
            <w:shd w:val="clear" w:color="auto" w:fill="FFFFFF"/>
          </w:tcPr>
          <w:p w14:paraId="0403BEEA">
            <w:pPr>
              <w:pStyle w:val="54"/>
              <w:bidi w:val="0"/>
              <w:rPr>
                <w:rFonts w:hint="default"/>
              </w:rPr>
            </w:pPr>
            <w:r>
              <w:rPr>
                <w:rFonts w:hint="default"/>
              </w:rPr>
              <w:t>模型类型</w:t>
            </w:r>
          </w:p>
        </w:tc>
        <w:tc>
          <w:tcPr>
            <w:tcW w:w="1000" w:type="pct"/>
            <w:tcBorders>
              <w:top w:val="single" w:color="000000" w:sz="12" w:space="0"/>
              <w:left w:val="nil"/>
              <w:bottom w:val="single" w:color="000000" w:sz="4" w:space="0"/>
              <w:right w:val="nil"/>
            </w:tcBorders>
            <w:shd w:val="clear" w:color="auto" w:fill="FFFFFF"/>
          </w:tcPr>
          <w:p w14:paraId="6539DC2C">
            <w:pPr>
              <w:pStyle w:val="54"/>
              <w:bidi w:val="0"/>
              <w:rPr>
                <w:rFonts w:hint="default"/>
              </w:rPr>
            </w:pPr>
            <w:r>
              <w:rPr>
                <w:rFonts w:hint="default"/>
              </w:rPr>
              <w:t>工程分类</w:t>
            </w:r>
          </w:p>
        </w:tc>
        <w:tc>
          <w:tcPr>
            <w:tcW w:w="1000" w:type="pct"/>
            <w:tcBorders>
              <w:top w:val="single" w:color="000000" w:sz="12" w:space="0"/>
              <w:left w:val="nil"/>
              <w:bottom w:val="single" w:color="000000" w:sz="4" w:space="0"/>
              <w:right w:val="nil"/>
            </w:tcBorders>
            <w:shd w:val="clear" w:color="auto" w:fill="FFFFFF"/>
          </w:tcPr>
          <w:p w14:paraId="23452240">
            <w:pPr>
              <w:pStyle w:val="54"/>
              <w:bidi w:val="0"/>
              <w:rPr>
                <w:rFonts w:hint="default"/>
              </w:rPr>
            </w:pPr>
            <w:r>
              <w:rPr>
                <w:rFonts w:hint="default"/>
              </w:rPr>
              <w:t>工况数</w:t>
            </w:r>
          </w:p>
        </w:tc>
      </w:tr>
      <w:tr w14:paraId="2C3B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000000" w:sz="4" w:space="0"/>
              <w:left w:val="nil"/>
              <w:bottom w:val="nil"/>
              <w:right w:val="nil"/>
            </w:tcBorders>
            <w:shd w:val="clear" w:color="auto" w:fill="FFFFFF"/>
            <w:vAlign w:val="top"/>
          </w:tcPr>
          <w:p w14:paraId="070621B8">
            <w:pPr>
              <w:pStyle w:val="54"/>
              <w:bidi w:val="0"/>
              <w:rPr>
                <w:rFonts w:hint="default"/>
              </w:rPr>
            </w:pPr>
            <w:r>
              <w:rPr>
                <w:rFonts w:hint="eastAsia"/>
              </w:rPr>
              <w:t>航空航天设施</w:t>
            </w:r>
          </w:p>
        </w:tc>
        <w:tc>
          <w:tcPr>
            <w:tcW w:w="1704" w:type="dxa"/>
            <w:tcBorders>
              <w:top w:val="single" w:color="000000" w:sz="4" w:space="0"/>
              <w:left w:val="nil"/>
              <w:bottom w:val="nil"/>
              <w:right w:val="nil"/>
            </w:tcBorders>
            <w:shd w:val="clear" w:color="auto" w:fill="FFFFFF"/>
            <w:vAlign w:val="top"/>
          </w:tcPr>
          <w:p>
            <w:r>
              <w:t>卫星工厂（多功能分区）</w:t>
            </w:r>
          </w:p>
        </w:tc>
        <w:tc>
          <w:tcPr>
            <w:tcW w:w="1704" w:type="dxa"/>
            <w:tcBorders>
              <w:top w:val="single" w:color="000000" w:sz="4" w:space="0"/>
              <w:left w:val="nil"/>
              <w:bottom w:val="nil"/>
              <w:right w:val="nil"/>
            </w:tcBorders>
            <w:shd w:val="clear" w:color="auto" w:fill="FFFFFF"/>
            <w:vAlign w:val="top"/>
          </w:tcPr>
          <w:p w14:paraId="0E65D300">
            <w:pPr>
              <w:pStyle w:val="54"/>
              <w:bidi w:val="0"/>
              <w:rPr>
                <w:rFonts w:hint="default"/>
              </w:rPr>
            </w:pPr>
            <w:r>
              <w:rPr>
                <w:rFonts w:hint="eastAsia"/>
              </w:rPr>
              <w:t>特异设施模型</w:t>
            </w:r>
          </w:p>
        </w:tc>
        <w:tc>
          <w:tcPr>
            <w:tcW w:w="1704" w:type="dxa"/>
            <w:tcBorders>
              <w:top w:val="single" w:color="000000" w:sz="4" w:space="0"/>
              <w:left w:val="nil"/>
              <w:bottom w:val="nil"/>
              <w:right w:val="nil"/>
            </w:tcBorders>
            <w:shd w:val="clear" w:color="auto" w:fill="FFFFFF"/>
            <w:vAlign w:val="top"/>
          </w:tcPr>
          <w:p w14:paraId="1FF1582D">
            <w:pPr>
              <w:pStyle w:val="54"/>
              <w:bidi w:val="0"/>
              <w:rPr>
                <w:rFonts w:hint="default"/>
              </w:rPr>
            </w:pPr>
            <w:r>
              <w:rPr>
                <w:rFonts w:hint="eastAsia"/>
              </w:rPr>
              <w:t>卫星制造设施</w:t>
            </w:r>
          </w:p>
        </w:tc>
        <w:tc>
          <w:tcPr>
            <w:tcW w:w="1704" w:type="dxa"/>
            <w:tcBorders>
              <w:top w:val="single" w:color="000000" w:sz="4" w:space="0"/>
              <w:left w:val="nil"/>
              <w:bottom w:val="nil"/>
              <w:right w:val="nil"/>
            </w:tcBorders>
            <w:shd w:val="clear" w:color="auto" w:fill="FFFFFF"/>
            <w:vAlign w:val="top"/>
          </w:tcPr>
          <w:p>
            <w:r>
              <w:t>359</w:t>
            </w:r>
          </w:p>
        </w:tc>
      </w:tr>
      <w:tr w14:paraId="4A7C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37C2D8AE">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加工厂房（MPPF）</w:t>
            </w:r>
          </w:p>
        </w:tc>
        <w:tc>
          <w:tcPr>
            <w:tcW w:w="1704" w:type="dxa"/>
            <w:tcBorders>
              <w:top w:val="nil"/>
              <w:left w:val="nil"/>
              <w:bottom w:val="nil"/>
              <w:right w:val="nil"/>
            </w:tcBorders>
            <w:shd w:val="clear" w:color="auto" w:fill="FFFFFF"/>
            <w:vAlign w:val="top"/>
          </w:tcPr>
          <w:p w14:paraId="33B4C62B">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5B31D5AA">
            <w:pPr>
              <w:pStyle w:val="54"/>
              <w:bidi w:val="0"/>
              <w:rPr>
                <w:rFonts w:hint="default"/>
              </w:rPr>
            </w:pPr>
            <w:r>
              <w:rPr>
                <w:rFonts w:hint="eastAsia"/>
              </w:rPr>
              <w:t>航天器处理厂房</w:t>
            </w:r>
          </w:p>
        </w:tc>
        <w:tc>
          <w:tcPr>
            <w:tcW w:w="1704" w:type="dxa"/>
            <w:tcBorders>
              <w:top w:val="nil"/>
              <w:left w:val="nil"/>
              <w:bottom w:val="nil"/>
              <w:right w:val="nil"/>
            </w:tcBorders>
            <w:shd w:val="clear" w:color="auto" w:fill="FFFFFF"/>
            <w:vAlign w:val="top"/>
          </w:tcPr>
          <w:p>
            <w:r>
              <w:t>313</w:t>
            </w:r>
          </w:p>
        </w:tc>
      </w:tr>
      <w:tr w14:paraId="3A14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479C409C">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移动发射平台+发射塔</w:t>
            </w:r>
          </w:p>
        </w:tc>
        <w:tc>
          <w:tcPr>
            <w:tcW w:w="1704" w:type="dxa"/>
            <w:tcBorders>
              <w:top w:val="nil"/>
              <w:left w:val="nil"/>
              <w:bottom w:val="nil"/>
              <w:right w:val="nil"/>
            </w:tcBorders>
            <w:shd w:val="clear" w:color="auto" w:fill="FFFFFF"/>
            <w:vAlign w:val="top"/>
          </w:tcPr>
          <w:p w14:paraId="49D5C868">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67A44A59">
            <w:pPr>
              <w:pStyle w:val="54"/>
              <w:bidi w:val="0"/>
              <w:rPr>
                <w:rFonts w:hint="default"/>
              </w:rPr>
            </w:pPr>
            <w:r>
              <w:rPr>
                <w:rFonts w:hint="eastAsia"/>
              </w:rPr>
              <w:t>发射塔台设施</w:t>
            </w:r>
          </w:p>
        </w:tc>
        <w:tc>
          <w:tcPr>
            <w:tcW w:w="1704" w:type="dxa"/>
            <w:tcBorders>
              <w:top w:val="nil"/>
              <w:left w:val="nil"/>
              <w:bottom w:val="nil"/>
              <w:right w:val="nil"/>
            </w:tcBorders>
            <w:shd w:val="clear" w:color="auto" w:fill="FFFFFF"/>
            <w:vAlign w:val="top"/>
          </w:tcPr>
          <w:p>
            <w:r>
              <w:t>209</w:t>
            </w:r>
          </w:p>
        </w:tc>
      </w:tr>
      <w:tr w14:paraId="1BDB9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34AFA5C9">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飞机工厂（总装车间+部装车间）</w:t>
            </w:r>
          </w:p>
        </w:tc>
        <w:tc>
          <w:tcPr>
            <w:tcW w:w="1704" w:type="dxa"/>
            <w:tcBorders>
              <w:top w:val="nil"/>
              <w:left w:val="nil"/>
              <w:bottom w:val="nil"/>
              <w:right w:val="nil"/>
            </w:tcBorders>
            <w:shd w:val="clear" w:color="auto" w:fill="FFFFFF"/>
            <w:vAlign w:val="top"/>
          </w:tcPr>
          <w:p w14:paraId="2AB87A8E">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11B467C6">
            <w:pPr>
              <w:pStyle w:val="54"/>
              <w:bidi w:val="0"/>
              <w:rPr>
                <w:rFonts w:hint="default"/>
              </w:rPr>
            </w:pPr>
            <w:r>
              <w:rPr>
                <w:rFonts w:hint="eastAsia"/>
              </w:rPr>
              <w:t>飞机制造与部装设施</w:t>
            </w:r>
          </w:p>
        </w:tc>
        <w:tc>
          <w:tcPr>
            <w:tcW w:w="1704" w:type="dxa"/>
            <w:tcBorders>
              <w:top w:val="nil"/>
              <w:left w:val="nil"/>
              <w:bottom w:val="nil"/>
              <w:right w:val="nil"/>
            </w:tcBorders>
            <w:shd w:val="clear" w:color="auto" w:fill="FFFFFF"/>
            <w:vAlign w:val="top"/>
          </w:tcPr>
          <w:p>
            <w:r>
              <w:t>243</w:t>
            </w:r>
          </w:p>
        </w:tc>
      </w:tr>
      <w:tr w14:paraId="6A9C0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Borders>
              <w:top w:val="nil"/>
              <w:left w:val="nil"/>
              <w:bottom w:val="nil"/>
              <w:right w:val="nil"/>
            </w:tcBorders>
            <w:shd w:val="clear" w:color="auto" w:fill="FFFFFF"/>
            <w:vAlign w:val="top"/>
          </w:tcPr>
          <w:p w14:paraId="35A2BD3C">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飞机工厂（沃斯堡）</w:t>
            </w:r>
          </w:p>
        </w:tc>
        <w:tc>
          <w:tcPr>
            <w:tcW w:w="1704" w:type="dxa"/>
            <w:tcBorders>
              <w:top w:val="nil"/>
              <w:left w:val="nil"/>
              <w:bottom w:val="nil"/>
              <w:right w:val="nil"/>
            </w:tcBorders>
            <w:shd w:val="clear" w:color="auto" w:fill="FFFFFF"/>
            <w:vAlign w:val="top"/>
          </w:tcPr>
          <w:p w14:paraId="7918F26A">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07EA38C2">
            <w:pPr>
              <w:pStyle w:val="54"/>
              <w:bidi w:val="0"/>
              <w:rPr>
                <w:rFonts w:hint="default"/>
              </w:rPr>
            </w:pPr>
            <w:r>
              <w:rPr>
                <w:rFonts w:hint="eastAsia"/>
              </w:rPr>
              <w:t>飞机制造设施</w:t>
            </w:r>
          </w:p>
        </w:tc>
        <w:tc>
          <w:tcPr>
            <w:tcW w:w="1704" w:type="dxa"/>
            <w:tcBorders>
              <w:top w:val="nil"/>
              <w:left w:val="nil"/>
              <w:bottom w:val="nil"/>
              <w:right w:val="nil"/>
            </w:tcBorders>
            <w:shd w:val="clear" w:color="auto" w:fill="FFFFFF"/>
            <w:vAlign w:val="top"/>
          </w:tcPr>
          <w:p>
            <w:r>
              <w:t>176</w:t>
            </w:r>
          </w:p>
        </w:tc>
      </w:tr>
      <w:tr w14:paraId="7E20C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61C7D5AD">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发射场运载火箭集成车库</w:t>
            </w:r>
          </w:p>
        </w:tc>
        <w:tc>
          <w:tcPr>
            <w:tcW w:w="1704" w:type="dxa"/>
            <w:tcBorders>
              <w:top w:val="nil"/>
              <w:left w:val="nil"/>
              <w:bottom w:val="nil"/>
              <w:right w:val="nil"/>
            </w:tcBorders>
            <w:shd w:val="clear" w:color="auto" w:fill="FFFFFF"/>
            <w:vAlign w:val="top"/>
          </w:tcPr>
          <w:p w14:paraId="70C968A7">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22B991A6">
            <w:pPr>
              <w:pStyle w:val="54"/>
              <w:bidi w:val="0"/>
              <w:rPr>
                <w:rFonts w:hint="default"/>
              </w:rPr>
            </w:pPr>
            <w:r>
              <w:rPr>
                <w:rFonts w:hint="eastAsia"/>
              </w:rPr>
              <w:t>发射场机库</w:t>
            </w:r>
          </w:p>
        </w:tc>
        <w:tc>
          <w:tcPr>
            <w:tcW w:w="1704" w:type="dxa"/>
            <w:tcBorders>
              <w:top w:val="nil"/>
              <w:left w:val="nil"/>
              <w:bottom w:val="nil"/>
              <w:right w:val="nil"/>
            </w:tcBorders>
            <w:shd w:val="clear" w:color="auto" w:fill="FFFFFF"/>
            <w:vAlign w:val="top"/>
          </w:tcPr>
          <w:p>
            <w:r>
              <w:t>192</w:t>
            </w:r>
          </w:p>
        </w:tc>
      </w:tr>
      <w:tr w14:paraId="2B07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51C987A3">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发射控制中心</w:t>
            </w:r>
          </w:p>
        </w:tc>
        <w:tc>
          <w:tcPr>
            <w:tcW w:w="1704" w:type="dxa"/>
            <w:tcBorders>
              <w:top w:val="nil"/>
              <w:left w:val="nil"/>
              <w:bottom w:val="nil"/>
              <w:right w:val="nil"/>
            </w:tcBorders>
            <w:shd w:val="clear" w:color="auto" w:fill="FFFFFF"/>
            <w:vAlign w:val="top"/>
          </w:tcPr>
          <w:p w14:paraId="43699418">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4458B166">
            <w:pPr>
              <w:pStyle w:val="54"/>
              <w:bidi w:val="0"/>
              <w:rPr>
                <w:rFonts w:hint="default"/>
              </w:rPr>
            </w:pPr>
            <w:r>
              <w:rPr>
                <w:rFonts w:hint="eastAsia"/>
              </w:rPr>
              <w:t>发射控制设施</w:t>
            </w:r>
          </w:p>
        </w:tc>
        <w:tc>
          <w:tcPr>
            <w:tcW w:w="1704" w:type="dxa"/>
            <w:tcBorders>
              <w:top w:val="nil"/>
              <w:left w:val="nil"/>
              <w:bottom w:val="nil"/>
              <w:right w:val="nil"/>
            </w:tcBorders>
            <w:shd w:val="clear" w:color="auto" w:fill="FFFFFF"/>
            <w:vAlign w:val="top"/>
          </w:tcPr>
          <w:p>
            <w:r>
              <w:t>182</w:t>
            </w:r>
          </w:p>
        </w:tc>
      </w:tr>
      <w:tr w14:paraId="67F1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0A880744">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发射控制中心（SLC3）</w:t>
            </w:r>
          </w:p>
        </w:tc>
        <w:tc>
          <w:tcPr>
            <w:tcW w:w="1704" w:type="dxa"/>
            <w:tcBorders>
              <w:top w:val="nil"/>
              <w:left w:val="nil"/>
              <w:bottom w:val="nil"/>
              <w:right w:val="nil"/>
            </w:tcBorders>
            <w:shd w:val="clear" w:color="auto" w:fill="FFFFFF"/>
            <w:vAlign w:val="top"/>
          </w:tcPr>
          <w:p w14:paraId="1A4619AB">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0676C7DC">
            <w:pPr>
              <w:pStyle w:val="54"/>
              <w:bidi w:val="0"/>
              <w:rPr>
                <w:rFonts w:hint="default"/>
              </w:rPr>
            </w:pPr>
            <w:r>
              <w:rPr>
                <w:rFonts w:hint="eastAsia"/>
              </w:rPr>
              <w:t>发射操作设施</w:t>
            </w:r>
          </w:p>
        </w:tc>
        <w:tc>
          <w:tcPr>
            <w:tcW w:w="1704" w:type="dxa"/>
            <w:tcBorders>
              <w:top w:val="nil"/>
              <w:left w:val="nil"/>
              <w:bottom w:val="nil"/>
              <w:right w:val="nil"/>
            </w:tcBorders>
            <w:shd w:val="clear" w:color="auto" w:fill="FFFFFF"/>
            <w:vAlign w:val="top"/>
          </w:tcPr>
          <w:p>
            <w:r>
              <w:t>143</w:t>
            </w:r>
          </w:p>
        </w:tc>
      </w:tr>
      <w:tr w14:paraId="5F402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Borders>
              <w:top w:val="nil"/>
              <w:left w:val="nil"/>
              <w:bottom w:val="nil"/>
              <w:right w:val="nil"/>
            </w:tcBorders>
            <w:shd w:val="clear" w:color="auto" w:fill="FFFFFF"/>
            <w:vAlign w:val="top"/>
          </w:tcPr>
          <w:p w14:paraId="753B5B99">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14:paraId="26C92557">
            <w:pPr>
              <w:pStyle w:val="54"/>
              <w:bidi w:val="0"/>
              <w:rPr>
                <w:rFonts w:hint="default"/>
              </w:rPr>
            </w:pPr>
            <w:r>
              <w:rPr>
                <w:rFonts w:hint="eastAsia"/>
              </w:rPr>
              <w:t>加工厂房（MAF）</w:t>
            </w:r>
          </w:p>
        </w:tc>
        <w:tc>
          <w:tcPr>
            <w:tcW w:w="1704" w:type="dxa"/>
            <w:tcBorders>
              <w:top w:val="nil"/>
              <w:left w:val="nil"/>
              <w:bottom w:val="nil"/>
              <w:right w:val="nil"/>
            </w:tcBorders>
            <w:shd w:val="clear" w:color="auto" w:fill="FFFFFF"/>
            <w:vAlign w:val="top"/>
          </w:tcPr>
          <w:p w14:paraId="6B03CF87">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5A2B95BD">
            <w:pPr>
              <w:pStyle w:val="54"/>
              <w:bidi w:val="0"/>
              <w:rPr>
                <w:rFonts w:hint="default"/>
              </w:rPr>
            </w:pPr>
            <w:r>
              <w:rPr>
                <w:rFonts w:hint="eastAsia"/>
              </w:rPr>
              <w:t>加工厂房</w:t>
            </w:r>
          </w:p>
        </w:tc>
        <w:tc>
          <w:tcPr>
            <w:tcW w:w="1704" w:type="dxa"/>
            <w:tcBorders>
              <w:top w:val="nil"/>
              <w:left w:val="nil"/>
              <w:bottom w:val="nil"/>
              <w:right w:val="nil"/>
            </w:tcBorders>
            <w:shd w:val="clear" w:color="auto" w:fill="FFFFFF"/>
            <w:vAlign w:val="top"/>
          </w:tcPr>
          <w:p>
            <w:r>
              <w:t>175</w:t>
            </w:r>
          </w:p>
        </w:tc>
      </w:tr>
      <w:tr w14:paraId="3BC7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6208F8AA">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部装车间</w:t>
            </w:r>
          </w:p>
        </w:tc>
        <w:tc>
          <w:tcPr>
            <w:tcW w:w="1704" w:type="dxa"/>
            <w:tcBorders>
              <w:top w:val="nil"/>
              <w:left w:val="nil"/>
              <w:bottom w:val="nil"/>
              <w:right w:val="nil"/>
            </w:tcBorders>
            <w:shd w:val="clear" w:color="auto" w:fill="FFFFFF"/>
            <w:vAlign w:val="top"/>
          </w:tcPr>
          <w:p w14:paraId="2402EB6B">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0E810F40">
            <w:pPr>
              <w:pStyle w:val="54"/>
              <w:bidi w:val="0"/>
              <w:rPr>
                <w:rFonts w:hint="default"/>
              </w:rPr>
            </w:pPr>
            <w:r>
              <w:rPr>
                <w:rFonts w:hint="eastAsia"/>
              </w:rPr>
              <w:t>操作测试设施</w:t>
            </w:r>
          </w:p>
        </w:tc>
        <w:tc>
          <w:tcPr>
            <w:tcW w:w="1704" w:type="dxa"/>
            <w:tcBorders>
              <w:top w:val="nil"/>
              <w:left w:val="nil"/>
              <w:bottom w:val="nil"/>
              <w:right w:val="nil"/>
            </w:tcBorders>
            <w:shd w:val="clear" w:color="auto" w:fill="FFFFFF"/>
            <w:vAlign w:val="top"/>
          </w:tcPr>
          <w:p>
            <w:r>
              <w:t>155</w:t>
            </w:r>
          </w:p>
        </w:tc>
      </w:tr>
      <w:tr w14:paraId="7231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165A0075">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部装车间（SSPF）</w:t>
            </w:r>
          </w:p>
        </w:tc>
        <w:tc>
          <w:tcPr>
            <w:tcW w:w="1704" w:type="dxa"/>
            <w:tcBorders>
              <w:top w:val="nil"/>
              <w:left w:val="nil"/>
              <w:bottom w:val="nil"/>
              <w:right w:val="nil"/>
            </w:tcBorders>
            <w:shd w:val="clear" w:color="auto" w:fill="FFFFFF"/>
            <w:vAlign w:val="top"/>
          </w:tcPr>
          <w:p w14:paraId="3B385917">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74DA718A">
            <w:pPr>
              <w:pStyle w:val="54"/>
              <w:bidi w:val="0"/>
              <w:rPr>
                <w:rFonts w:hint="default"/>
              </w:rPr>
            </w:pPr>
            <w:r>
              <w:rPr>
                <w:rFonts w:hint="eastAsia"/>
              </w:rPr>
              <w:t>空间系统处理设施</w:t>
            </w:r>
          </w:p>
        </w:tc>
        <w:tc>
          <w:tcPr>
            <w:tcW w:w="1704" w:type="dxa"/>
            <w:tcBorders>
              <w:top w:val="nil"/>
              <w:left w:val="nil"/>
              <w:bottom w:val="nil"/>
              <w:right w:val="nil"/>
            </w:tcBorders>
            <w:shd w:val="clear" w:color="auto" w:fill="FFFFFF"/>
            <w:vAlign w:val="top"/>
          </w:tcPr>
          <w:p>
            <w:r>
              <w:t>55</w:t>
            </w:r>
          </w:p>
        </w:tc>
      </w:tr>
      <w:tr w14:paraId="2EB86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4F48D1D8">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总装车间</w:t>
            </w:r>
          </w:p>
        </w:tc>
        <w:tc>
          <w:tcPr>
            <w:tcW w:w="1704" w:type="dxa"/>
            <w:tcBorders>
              <w:top w:val="nil"/>
              <w:left w:val="nil"/>
              <w:bottom w:val="nil"/>
              <w:right w:val="nil"/>
            </w:tcBorders>
            <w:shd w:val="clear" w:color="auto" w:fill="FFFFFF"/>
            <w:vAlign w:val="top"/>
          </w:tcPr>
          <w:p w14:paraId="18E83DE1">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7E58453B">
            <w:pPr>
              <w:pStyle w:val="54"/>
              <w:bidi w:val="0"/>
              <w:rPr>
                <w:rFonts w:hint="default"/>
              </w:rPr>
            </w:pPr>
            <w:r>
              <w:rPr>
                <w:rFonts w:hint="eastAsia"/>
              </w:rPr>
              <w:t>总装设施</w:t>
            </w:r>
          </w:p>
        </w:tc>
        <w:tc>
          <w:tcPr>
            <w:tcW w:w="1704" w:type="dxa"/>
            <w:tcBorders>
              <w:top w:val="nil"/>
              <w:left w:val="nil"/>
              <w:bottom w:val="nil"/>
              <w:right w:val="nil"/>
            </w:tcBorders>
            <w:shd w:val="clear" w:color="auto" w:fill="FFFFFF"/>
            <w:vAlign w:val="top"/>
          </w:tcPr>
          <w:p>
            <w:r>
              <w:t>186</w:t>
            </w:r>
          </w:p>
        </w:tc>
      </w:tr>
      <w:tr w14:paraId="108FD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Borders>
              <w:top w:val="nil"/>
              <w:left w:val="nil"/>
              <w:bottom w:val="nil"/>
              <w:right w:val="nil"/>
            </w:tcBorders>
            <w:shd w:val="clear" w:color="auto" w:fill="FFFFFF"/>
            <w:vAlign w:val="top"/>
          </w:tcPr>
          <w:p w14:paraId="3B8A7B61">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大型航空航天等效设施</w:t>
            </w:r>
          </w:p>
        </w:tc>
        <w:tc>
          <w:tcPr>
            <w:tcW w:w="1704" w:type="dxa"/>
            <w:tcBorders>
              <w:top w:val="nil"/>
              <w:left w:val="nil"/>
              <w:bottom w:val="nil"/>
              <w:right w:val="nil"/>
            </w:tcBorders>
            <w:shd w:val="clear" w:color="auto" w:fill="FFFFFF"/>
            <w:vAlign w:val="top"/>
          </w:tcPr>
          <w:p w14:paraId="28CC1149">
            <w:pPr>
              <w:pStyle w:val="54"/>
              <w:bidi w:val="0"/>
              <w:rPr>
                <w:rFonts w:hint="default"/>
              </w:rPr>
            </w:pPr>
            <w:r>
              <w:rPr>
                <w:rFonts w:hint="eastAsia"/>
              </w:rPr>
              <w:t>等效设施模型</w:t>
            </w:r>
          </w:p>
        </w:tc>
        <w:tc>
          <w:tcPr>
            <w:tcW w:w="1704" w:type="dxa"/>
            <w:tcBorders>
              <w:top w:val="nil"/>
              <w:left w:val="nil"/>
              <w:bottom w:val="nil"/>
              <w:right w:val="nil"/>
            </w:tcBorders>
            <w:shd w:val="clear" w:color="auto" w:fill="FFFFFF"/>
            <w:vAlign w:val="top"/>
          </w:tcPr>
          <w:p w14:paraId="571C45F5">
            <w:pPr>
              <w:pStyle w:val="54"/>
              <w:bidi w:val="0"/>
              <w:rPr>
                <w:rFonts w:hint="default"/>
              </w:rPr>
            </w:pPr>
            <w:r>
              <w:rPr>
                <w:rFonts w:hint="eastAsia"/>
              </w:rPr>
              <w:t>通用航空航天设施（大）</w:t>
            </w:r>
          </w:p>
        </w:tc>
        <w:tc>
          <w:tcPr>
            <w:tcW w:w="1704" w:type="dxa"/>
            <w:tcBorders>
              <w:top w:val="nil"/>
              <w:left w:val="nil"/>
              <w:bottom w:val="nil"/>
              <w:right w:val="nil"/>
            </w:tcBorders>
            <w:shd w:val="clear" w:color="auto" w:fill="FFFFFF"/>
            <w:vAlign w:val="top"/>
          </w:tcPr>
          <w:p>
            <w:r>
              <w:t>114</w:t>
            </w:r>
          </w:p>
        </w:tc>
      </w:tr>
      <w:tr w14:paraId="2BAA0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64FD0697">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中型航空航天等效设施</w:t>
            </w:r>
          </w:p>
        </w:tc>
        <w:tc>
          <w:tcPr>
            <w:tcW w:w="1704" w:type="dxa"/>
            <w:tcBorders>
              <w:top w:val="nil"/>
              <w:left w:val="nil"/>
              <w:bottom w:val="nil"/>
              <w:right w:val="nil"/>
            </w:tcBorders>
            <w:shd w:val="clear" w:color="auto" w:fill="FFFFFF"/>
            <w:vAlign w:val="top"/>
          </w:tcPr>
          <w:p w14:paraId="16111A53">
            <w:pPr>
              <w:pStyle w:val="54"/>
              <w:bidi w:val="0"/>
              <w:rPr>
                <w:rFonts w:hint="default"/>
              </w:rPr>
            </w:pPr>
            <w:r>
              <w:rPr>
                <w:rFonts w:hint="eastAsia"/>
              </w:rPr>
              <w:t>等效设施模型</w:t>
            </w:r>
          </w:p>
        </w:tc>
        <w:tc>
          <w:tcPr>
            <w:tcW w:w="1704" w:type="dxa"/>
            <w:tcBorders>
              <w:top w:val="nil"/>
              <w:left w:val="nil"/>
              <w:bottom w:val="nil"/>
              <w:right w:val="nil"/>
            </w:tcBorders>
            <w:shd w:val="clear" w:color="auto" w:fill="FFFFFF"/>
            <w:vAlign w:val="top"/>
          </w:tcPr>
          <w:p w14:paraId="7B8B5AC7">
            <w:pPr>
              <w:pStyle w:val="54"/>
              <w:bidi w:val="0"/>
              <w:rPr>
                <w:rFonts w:hint="default"/>
              </w:rPr>
            </w:pPr>
            <w:r>
              <w:rPr>
                <w:rFonts w:hint="eastAsia"/>
              </w:rPr>
              <w:t>通用航空航天设施（中）</w:t>
            </w:r>
          </w:p>
        </w:tc>
        <w:tc>
          <w:tcPr>
            <w:tcW w:w="1704" w:type="dxa"/>
            <w:tcBorders>
              <w:top w:val="nil"/>
              <w:left w:val="nil"/>
              <w:bottom w:val="nil"/>
              <w:right w:val="nil"/>
            </w:tcBorders>
            <w:shd w:val="clear" w:color="auto" w:fill="FFFFFF"/>
            <w:vAlign w:val="top"/>
          </w:tcPr>
          <w:p>
            <w:r>
              <w:t>168</w:t>
            </w:r>
          </w:p>
        </w:tc>
      </w:tr>
      <w:tr w14:paraId="4339A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0ACBB26B">
            <w:pPr>
              <w:pStyle w:val="54"/>
              <w:bidi w:val="0"/>
              <w:rPr>
                <w:rFonts w:hint="default"/>
              </w:rPr>
            </w:pPr>
            <w:r>
              <w:rPr>
                <w:rFonts w:hint="eastAsia"/>
              </w:rPr>
              <w:t>航空航天设施</w:t>
            </w:r>
          </w:p>
        </w:tc>
        <w:tc>
          <w:tcPr>
            <w:tcW w:w="1704" w:type="dxa"/>
            <w:tcBorders>
              <w:top w:val="nil"/>
              <w:left w:val="nil"/>
              <w:bottom w:val="nil"/>
              <w:right w:val="nil"/>
            </w:tcBorders>
            <w:shd w:val="clear" w:color="auto" w:fill="FFFFFF"/>
            <w:vAlign w:val="top"/>
          </w:tcPr>
          <w:p>
            <w:r>
              <w:t>小型航空航天等效设施</w:t>
            </w:r>
          </w:p>
        </w:tc>
        <w:tc>
          <w:tcPr>
            <w:tcW w:w="1704" w:type="dxa"/>
            <w:tcBorders>
              <w:top w:val="nil"/>
              <w:left w:val="nil"/>
              <w:bottom w:val="nil"/>
              <w:right w:val="nil"/>
            </w:tcBorders>
            <w:shd w:val="clear" w:color="auto" w:fill="FFFFFF"/>
            <w:vAlign w:val="top"/>
          </w:tcPr>
          <w:p w14:paraId="769FD651">
            <w:pPr>
              <w:pStyle w:val="54"/>
              <w:bidi w:val="0"/>
              <w:rPr>
                <w:rFonts w:hint="default"/>
              </w:rPr>
            </w:pPr>
            <w:r>
              <w:rPr>
                <w:rFonts w:hint="eastAsia"/>
              </w:rPr>
              <w:t>等效设施模型</w:t>
            </w:r>
          </w:p>
        </w:tc>
        <w:tc>
          <w:tcPr>
            <w:tcW w:w="1704" w:type="dxa"/>
            <w:tcBorders>
              <w:top w:val="nil"/>
              <w:left w:val="nil"/>
              <w:bottom w:val="nil"/>
              <w:right w:val="nil"/>
            </w:tcBorders>
            <w:shd w:val="clear" w:color="auto" w:fill="FFFFFF"/>
            <w:vAlign w:val="top"/>
          </w:tcPr>
          <w:p w14:paraId="201599E5">
            <w:pPr>
              <w:pStyle w:val="54"/>
              <w:bidi w:val="0"/>
              <w:rPr>
                <w:rFonts w:hint="default"/>
              </w:rPr>
            </w:pPr>
            <w:r>
              <w:rPr>
                <w:rFonts w:hint="eastAsia"/>
              </w:rPr>
              <w:t>通用航空航天设施（小）</w:t>
            </w:r>
          </w:p>
        </w:tc>
        <w:tc>
          <w:tcPr>
            <w:tcW w:w="1704" w:type="dxa"/>
            <w:tcBorders>
              <w:top w:val="nil"/>
              <w:left w:val="nil"/>
              <w:bottom w:val="nil"/>
              <w:right w:val="nil"/>
            </w:tcBorders>
            <w:shd w:val="clear" w:color="auto" w:fill="FFFFFF"/>
            <w:vAlign w:val="top"/>
          </w:tcPr>
          <w:p>
            <w:r>
              <w:t>168</w:t>
            </w:r>
          </w:p>
        </w:tc>
      </w:tr>
      <w:tr w14:paraId="3FA8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4AE46EC9">
            <w:pPr>
              <w:pStyle w:val="54"/>
              <w:bidi w:val="0"/>
              <w:rPr>
                <w:rFonts w:hint="default"/>
              </w:rPr>
            </w:pPr>
            <w:r>
              <w:rPr>
                <w:rFonts w:hint="eastAsia"/>
              </w:rPr>
              <w:t>机场机库设施</w:t>
            </w:r>
          </w:p>
        </w:tc>
        <w:tc>
          <w:tcPr>
            <w:tcW w:w="1704" w:type="dxa"/>
            <w:tcBorders>
              <w:top w:val="nil"/>
              <w:left w:val="nil"/>
              <w:bottom w:val="nil"/>
              <w:right w:val="nil"/>
            </w:tcBorders>
            <w:shd w:val="clear" w:color="auto" w:fill="FFFFFF"/>
            <w:vAlign w:val="top"/>
          </w:tcPr>
          <w:p>
            <w:r>
              <w:t>机场机库（埃格林）</w:t>
            </w:r>
          </w:p>
        </w:tc>
        <w:tc>
          <w:tcPr>
            <w:tcW w:w="1704" w:type="dxa"/>
            <w:tcBorders>
              <w:top w:val="nil"/>
              <w:left w:val="nil"/>
              <w:bottom w:val="nil"/>
              <w:right w:val="nil"/>
            </w:tcBorders>
            <w:shd w:val="clear" w:color="auto" w:fill="FFFFFF"/>
            <w:vAlign w:val="top"/>
          </w:tcPr>
          <w:p w14:paraId="7764A53F">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7D7662FB">
            <w:pPr>
              <w:pStyle w:val="54"/>
              <w:bidi w:val="0"/>
              <w:rPr>
                <w:rFonts w:hint="default"/>
              </w:rPr>
            </w:pPr>
            <w:r>
              <w:rPr>
                <w:rFonts w:hint="eastAsia"/>
              </w:rPr>
              <w:t>军用航空器机库</w:t>
            </w:r>
          </w:p>
        </w:tc>
        <w:tc>
          <w:tcPr>
            <w:tcW w:w="1704" w:type="dxa"/>
            <w:tcBorders>
              <w:top w:val="nil"/>
              <w:left w:val="nil"/>
              <w:bottom w:val="nil"/>
              <w:right w:val="nil"/>
            </w:tcBorders>
            <w:shd w:val="clear" w:color="auto" w:fill="FFFFFF"/>
            <w:vAlign w:val="top"/>
          </w:tcPr>
          <w:p>
            <w:r>
              <w:t>276</w:t>
            </w:r>
          </w:p>
        </w:tc>
      </w:tr>
      <w:tr w14:paraId="12DC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Borders>
              <w:top w:val="nil"/>
              <w:left w:val="nil"/>
              <w:bottom w:val="nil"/>
              <w:right w:val="nil"/>
            </w:tcBorders>
            <w:shd w:val="clear" w:color="auto" w:fill="FFFFFF"/>
            <w:vAlign w:val="top"/>
          </w:tcPr>
          <w:p w14:paraId="4661F669">
            <w:pPr>
              <w:pStyle w:val="54"/>
              <w:bidi w:val="0"/>
              <w:rPr>
                <w:rFonts w:hint="default"/>
              </w:rPr>
            </w:pPr>
            <w:r>
              <w:rPr>
                <w:rFonts w:hint="eastAsia"/>
              </w:rPr>
              <w:t>机场机库设施</w:t>
            </w:r>
          </w:p>
        </w:tc>
        <w:tc>
          <w:tcPr>
            <w:tcW w:w="1704" w:type="dxa"/>
            <w:tcBorders>
              <w:top w:val="nil"/>
              <w:left w:val="nil"/>
              <w:bottom w:val="nil"/>
              <w:right w:val="nil"/>
            </w:tcBorders>
            <w:shd w:val="clear" w:color="auto" w:fill="FFFFFF"/>
            <w:vAlign w:val="top"/>
          </w:tcPr>
          <w:p>
            <w:r>
              <w:t>机场机库（TWA）</w:t>
            </w:r>
          </w:p>
        </w:tc>
        <w:tc>
          <w:tcPr>
            <w:tcW w:w="1704" w:type="dxa"/>
            <w:tcBorders>
              <w:top w:val="nil"/>
              <w:left w:val="nil"/>
              <w:bottom w:val="nil"/>
              <w:right w:val="nil"/>
            </w:tcBorders>
            <w:shd w:val="clear" w:color="auto" w:fill="FFFFFF"/>
            <w:vAlign w:val="top"/>
          </w:tcPr>
          <w:p w14:paraId="65BB1E38">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40D0E1A2">
            <w:pPr>
              <w:pStyle w:val="54"/>
              <w:bidi w:val="0"/>
              <w:rPr>
                <w:rFonts w:hint="default"/>
              </w:rPr>
            </w:pPr>
            <w:r>
              <w:rPr>
                <w:rFonts w:hint="eastAsia"/>
              </w:rPr>
              <w:t>民航维修机库</w:t>
            </w:r>
          </w:p>
        </w:tc>
        <w:tc>
          <w:tcPr>
            <w:tcW w:w="1704" w:type="dxa"/>
            <w:tcBorders>
              <w:top w:val="nil"/>
              <w:left w:val="nil"/>
              <w:bottom w:val="nil"/>
              <w:right w:val="nil"/>
            </w:tcBorders>
            <w:shd w:val="clear" w:color="auto" w:fill="FFFFFF"/>
            <w:vAlign w:val="top"/>
          </w:tcPr>
          <w:p>
            <w:r>
              <w:t>325</w:t>
            </w:r>
          </w:p>
        </w:tc>
      </w:tr>
      <w:tr w14:paraId="3FF3F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398EAFB9">
            <w:pPr>
              <w:pStyle w:val="54"/>
              <w:bidi w:val="0"/>
              <w:rPr>
                <w:rFonts w:hint="default"/>
              </w:rPr>
            </w:pPr>
            <w:r>
              <w:rPr>
                <w:rFonts w:hint="eastAsia"/>
              </w:rPr>
              <w:t>机场机库设施</w:t>
            </w:r>
          </w:p>
        </w:tc>
        <w:tc>
          <w:tcPr>
            <w:tcW w:w="1704" w:type="dxa"/>
            <w:tcBorders>
              <w:top w:val="nil"/>
              <w:left w:val="nil"/>
              <w:bottom w:val="nil"/>
              <w:right w:val="nil"/>
            </w:tcBorders>
            <w:shd w:val="clear" w:color="auto" w:fill="FFFFFF"/>
            <w:vAlign w:val="top"/>
          </w:tcPr>
          <w:p>
            <w:r>
              <w:t>机场机库（里根）</w:t>
            </w:r>
          </w:p>
        </w:tc>
        <w:tc>
          <w:tcPr>
            <w:tcW w:w="1704" w:type="dxa"/>
            <w:tcBorders>
              <w:top w:val="nil"/>
              <w:left w:val="nil"/>
              <w:bottom w:val="nil"/>
              <w:right w:val="nil"/>
            </w:tcBorders>
            <w:shd w:val="clear" w:color="auto" w:fill="FFFFFF"/>
            <w:vAlign w:val="top"/>
          </w:tcPr>
          <w:p w14:paraId="523C484C">
            <w:pPr>
              <w:pStyle w:val="54"/>
              <w:bidi w:val="0"/>
              <w:rPr>
                <w:rFonts w:hint="default"/>
              </w:rPr>
            </w:pPr>
            <w:r>
              <w:rPr>
                <w:rFonts w:hint="eastAsia"/>
              </w:rPr>
              <w:t>特异设施模型</w:t>
            </w:r>
          </w:p>
        </w:tc>
        <w:tc>
          <w:tcPr>
            <w:tcW w:w="1704" w:type="dxa"/>
            <w:tcBorders>
              <w:top w:val="nil"/>
              <w:left w:val="nil"/>
              <w:bottom w:val="nil"/>
              <w:right w:val="nil"/>
            </w:tcBorders>
            <w:shd w:val="clear" w:color="auto" w:fill="FFFFFF"/>
            <w:vAlign w:val="top"/>
          </w:tcPr>
          <w:p w14:paraId="78A6C72A">
            <w:pPr>
              <w:pStyle w:val="54"/>
              <w:bidi w:val="0"/>
              <w:rPr>
                <w:rFonts w:hint="default"/>
              </w:rPr>
            </w:pPr>
            <w:r>
              <w:rPr>
                <w:rFonts w:hint="eastAsia"/>
              </w:rPr>
              <w:t>民航机场机库</w:t>
            </w:r>
          </w:p>
        </w:tc>
        <w:tc>
          <w:tcPr>
            <w:tcW w:w="1704" w:type="dxa"/>
            <w:tcBorders>
              <w:top w:val="nil"/>
              <w:left w:val="nil"/>
              <w:bottom w:val="nil"/>
              <w:right w:val="nil"/>
            </w:tcBorders>
            <w:shd w:val="clear" w:color="auto" w:fill="FFFFFF"/>
            <w:vAlign w:val="top"/>
          </w:tcPr>
          <w:p>
            <w:r>
              <w:t>248</w:t>
            </w:r>
          </w:p>
        </w:tc>
      </w:tr>
      <w:tr w14:paraId="2D418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5E9185CF">
            <w:pPr>
              <w:pStyle w:val="54"/>
              <w:bidi w:val="0"/>
              <w:rPr>
                <w:rFonts w:hint="default"/>
              </w:rPr>
            </w:pPr>
            <w:r>
              <w:rPr>
                <w:rFonts w:hint="eastAsia"/>
              </w:rPr>
              <w:t>机场机库设施</w:t>
            </w:r>
          </w:p>
        </w:tc>
        <w:tc>
          <w:tcPr>
            <w:tcW w:w="1704" w:type="dxa"/>
            <w:tcBorders>
              <w:top w:val="nil"/>
              <w:left w:val="nil"/>
              <w:bottom w:val="nil"/>
              <w:right w:val="nil"/>
            </w:tcBorders>
            <w:shd w:val="clear" w:color="auto" w:fill="FFFFFF"/>
            <w:vAlign w:val="top"/>
          </w:tcPr>
          <w:p w14:paraId="001334A0">
            <w:pPr>
              <w:pStyle w:val="54"/>
              <w:bidi w:val="0"/>
              <w:rPr>
                <w:rFonts w:hint="default"/>
              </w:rPr>
            </w:pPr>
            <w:r>
              <w:rPr>
                <w:rFonts w:hint="eastAsia"/>
              </w:rPr>
              <w:t>大型机场机库等效设施</w:t>
            </w:r>
          </w:p>
        </w:tc>
        <w:tc>
          <w:tcPr>
            <w:tcW w:w="1704" w:type="dxa"/>
            <w:tcBorders>
              <w:top w:val="nil"/>
              <w:left w:val="nil"/>
              <w:bottom w:val="nil"/>
              <w:right w:val="nil"/>
            </w:tcBorders>
            <w:shd w:val="clear" w:color="auto" w:fill="FFFFFF"/>
            <w:vAlign w:val="top"/>
          </w:tcPr>
          <w:p w14:paraId="15B07683">
            <w:pPr>
              <w:pStyle w:val="54"/>
              <w:bidi w:val="0"/>
              <w:rPr>
                <w:rFonts w:hint="default"/>
              </w:rPr>
            </w:pPr>
            <w:r>
              <w:rPr>
                <w:rFonts w:hint="eastAsia"/>
              </w:rPr>
              <w:t>等效设施模型</w:t>
            </w:r>
          </w:p>
        </w:tc>
        <w:tc>
          <w:tcPr>
            <w:tcW w:w="1704" w:type="dxa"/>
            <w:tcBorders>
              <w:top w:val="nil"/>
              <w:left w:val="nil"/>
              <w:bottom w:val="nil"/>
              <w:right w:val="nil"/>
            </w:tcBorders>
            <w:shd w:val="clear" w:color="auto" w:fill="FFFFFF"/>
            <w:vAlign w:val="top"/>
          </w:tcPr>
          <w:p w14:paraId="52A3749A">
            <w:pPr>
              <w:pStyle w:val="54"/>
              <w:bidi w:val="0"/>
              <w:rPr>
                <w:rFonts w:hint="default"/>
              </w:rPr>
            </w:pPr>
            <w:r>
              <w:rPr>
                <w:rFonts w:hint="eastAsia"/>
              </w:rPr>
              <w:t>通用机场机库（大）</w:t>
            </w:r>
          </w:p>
        </w:tc>
        <w:tc>
          <w:tcPr>
            <w:tcW w:w="1704" w:type="dxa"/>
            <w:tcBorders>
              <w:top w:val="nil"/>
              <w:left w:val="nil"/>
              <w:bottom w:val="nil"/>
              <w:right w:val="nil"/>
            </w:tcBorders>
            <w:shd w:val="clear" w:color="auto" w:fill="FFFFFF"/>
            <w:vAlign w:val="top"/>
          </w:tcPr>
          <w:p>
            <w:r>
              <w:t>148</w:t>
            </w:r>
          </w:p>
        </w:tc>
      </w:tr>
      <w:tr w14:paraId="57C9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shd w:val="clear" w:color="auto" w:fill="FFFFFF"/>
            <w:vAlign w:val="top"/>
          </w:tcPr>
          <w:p w14:paraId="6BAA5AA2">
            <w:pPr>
              <w:pStyle w:val="54"/>
              <w:bidi w:val="0"/>
              <w:rPr>
                <w:rFonts w:hint="default"/>
              </w:rPr>
            </w:pPr>
            <w:r>
              <w:rPr>
                <w:rFonts w:hint="eastAsia"/>
              </w:rPr>
              <w:t>机场机库设施</w:t>
            </w:r>
          </w:p>
        </w:tc>
        <w:tc>
          <w:tcPr>
            <w:tcW w:w="1704" w:type="dxa"/>
            <w:tcBorders>
              <w:top w:val="nil"/>
              <w:left w:val="nil"/>
              <w:bottom w:val="nil"/>
              <w:right w:val="nil"/>
            </w:tcBorders>
            <w:shd w:val="clear" w:color="auto" w:fill="FFFFFF"/>
            <w:vAlign w:val="top"/>
          </w:tcPr>
          <w:p w14:paraId="0A921EEB">
            <w:pPr>
              <w:pStyle w:val="54"/>
              <w:bidi w:val="0"/>
              <w:rPr>
                <w:rFonts w:hint="default"/>
              </w:rPr>
            </w:pPr>
            <w:r>
              <w:rPr>
                <w:rFonts w:hint="eastAsia"/>
              </w:rPr>
              <w:t>中型机场机库等效设施</w:t>
            </w:r>
          </w:p>
        </w:tc>
        <w:tc>
          <w:tcPr>
            <w:tcW w:w="1704" w:type="dxa"/>
            <w:tcBorders>
              <w:top w:val="nil"/>
              <w:left w:val="nil"/>
              <w:bottom w:val="nil"/>
              <w:right w:val="nil"/>
            </w:tcBorders>
            <w:shd w:val="clear" w:color="auto" w:fill="FFFFFF"/>
            <w:vAlign w:val="top"/>
          </w:tcPr>
          <w:p w14:paraId="2F391EBE">
            <w:pPr>
              <w:pStyle w:val="54"/>
              <w:bidi w:val="0"/>
              <w:rPr>
                <w:rFonts w:hint="default"/>
              </w:rPr>
            </w:pPr>
            <w:r>
              <w:rPr>
                <w:rFonts w:hint="eastAsia"/>
              </w:rPr>
              <w:t>等效设施模型</w:t>
            </w:r>
          </w:p>
        </w:tc>
        <w:tc>
          <w:tcPr>
            <w:tcW w:w="1704" w:type="dxa"/>
            <w:tcBorders>
              <w:top w:val="nil"/>
              <w:left w:val="nil"/>
              <w:bottom w:val="nil"/>
              <w:right w:val="nil"/>
            </w:tcBorders>
            <w:shd w:val="clear" w:color="auto" w:fill="FFFFFF"/>
            <w:vAlign w:val="top"/>
          </w:tcPr>
          <w:p w14:paraId="17576249">
            <w:pPr>
              <w:pStyle w:val="54"/>
              <w:bidi w:val="0"/>
              <w:rPr>
                <w:rFonts w:hint="default"/>
              </w:rPr>
            </w:pPr>
            <w:r>
              <w:rPr>
                <w:rFonts w:hint="eastAsia"/>
              </w:rPr>
              <w:t>通用机场机库（中）</w:t>
            </w:r>
          </w:p>
        </w:tc>
        <w:tc>
          <w:tcPr>
            <w:tcW w:w="1704" w:type="dxa"/>
            <w:tcBorders>
              <w:top w:val="nil"/>
              <w:left w:val="nil"/>
              <w:bottom w:val="nil"/>
              <w:right w:val="nil"/>
            </w:tcBorders>
            <w:shd w:val="clear" w:color="auto" w:fill="FFFFFF"/>
            <w:vAlign w:val="top"/>
          </w:tcPr>
          <w:p>
            <w:r>
              <w:t>144</w:t>
            </w:r>
          </w:p>
        </w:tc>
      </w:tr>
      <w:tr w14:paraId="25DB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Borders>
              <w:top w:val="nil"/>
              <w:left w:val="nil"/>
              <w:bottom w:val="nil"/>
              <w:right w:val="nil"/>
            </w:tcBorders>
            <w:shd w:val="clear" w:color="auto" w:fill="FFFFFF"/>
            <w:vAlign w:val="top"/>
          </w:tcPr>
          <w:p w14:paraId="03834E63">
            <w:pPr>
              <w:pStyle w:val="54"/>
              <w:bidi w:val="0"/>
              <w:rPr>
                <w:rFonts w:hint="default"/>
                <w:lang w:val="en-US" w:eastAsia="zh-CN"/>
              </w:rPr>
            </w:pPr>
            <w:r>
              <w:rPr>
                <w:rFonts w:hint="eastAsia"/>
              </w:rPr>
              <w:t>机场机库设施</w:t>
            </w:r>
          </w:p>
        </w:tc>
        <w:tc>
          <w:tcPr>
            <w:tcW w:w="1704" w:type="dxa"/>
            <w:tcBorders>
              <w:top w:val="nil"/>
              <w:left w:val="nil"/>
              <w:bottom w:val="nil"/>
              <w:right w:val="nil"/>
            </w:tcBorders>
            <w:shd w:val="clear" w:color="auto" w:fill="FFFFFF"/>
            <w:vAlign w:val="top"/>
          </w:tcPr>
          <w:p w14:paraId="0CE21FF9">
            <w:pPr>
              <w:pStyle w:val="54"/>
              <w:bidi w:val="0"/>
              <w:rPr>
                <w:rFonts w:hint="default"/>
              </w:rPr>
            </w:pPr>
            <w:r>
              <w:rPr>
                <w:rFonts w:hint="eastAsia"/>
              </w:rPr>
              <w:t>小型机场机库等效设施</w:t>
            </w:r>
          </w:p>
        </w:tc>
        <w:tc>
          <w:tcPr>
            <w:tcW w:w="1704" w:type="dxa"/>
            <w:tcBorders>
              <w:top w:val="nil"/>
              <w:left w:val="nil"/>
              <w:bottom w:val="nil"/>
              <w:right w:val="nil"/>
            </w:tcBorders>
            <w:shd w:val="clear" w:color="auto" w:fill="FFFFFF"/>
            <w:vAlign w:val="top"/>
          </w:tcPr>
          <w:p w14:paraId="062E4BA7">
            <w:pPr>
              <w:pStyle w:val="54"/>
              <w:bidi w:val="0"/>
              <w:rPr>
                <w:rFonts w:hint="default"/>
              </w:rPr>
            </w:pPr>
            <w:r>
              <w:rPr>
                <w:rFonts w:hint="eastAsia"/>
              </w:rPr>
              <w:t>等效设施模型</w:t>
            </w:r>
          </w:p>
        </w:tc>
        <w:tc>
          <w:tcPr>
            <w:tcW w:w="1704" w:type="dxa"/>
            <w:tcBorders>
              <w:top w:val="nil"/>
              <w:left w:val="nil"/>
              <w:bottom w:val="nil"/>
              <w:right w:val="nil"/>
            </w:tcBorders>
            <w:shd w:val="clear" w:color="auto" w:fill="FFFFFF"/>
            <w:vAlign w:val="top"/>
          </w:tcPr>
          <w:p w14:paraId="72BFB109">
            <w:pPr>
              <w:pStyle w:val="54"/>
              <w:bidi w:val="0"/>
              <w:rPr>
                <w:rFonts w:hint="default"/>
              </w:rPr>
            </w:pPr>
            <w:r>
              <w:rPr>
                <w:rFonts w:hint="eastAsia"/>
              </w:rPr>
              <w:t>通用机场机库（小）</w:t>
            </w:r>
          </w:p>
        </w:tc>
        <w:tc>
          <w:tcPr>
            <w:tcW w:w="1704" w:type="dxa"/>
            <w:tcBorders>
              <w:top w:val="nil"/>
              <w:left w:val="nil"/>
              <w:bottom w:val="nil"/>
              <w:right w:val="nil"/>
            </w:tcBorders>
            <w:shd w:val="clear" w:color="auto" w:fill="FFFFFF"/>
            <w:vAlign w:val="top"/>
          </w:tcPr>
          <w:p>
            <w:r>
              <w:t>144</w:t>
            </w:r>
          </w:p>
        </w:tc>
      </w:tr>
      <w:tr w14:paraId="4DB5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000000" w:sz="12" w:space="0"/>
              <w:right w:val="nil"/>
            </w:tcBorders>
            <w:shd w:val="clear" w:color="auto" w:fill="FFFFFF"/>
            <w:vAlign w:val="top"/>
          </w:tcPr>
          <w:p w14:paraId="0079E170">
            <w:pPr>
              <w:pStyle w:val="54"/>
              <w:bidi w:val="0"/>
              <w:rPr>
                <w:rFonts w:hint="eastAsia"/>
                <w:lang w:eastAsia="zh-CN"/>
              </w:rPr>
            </w:pPr>
            <w:r>
              <w:rPr>
                <w:rFonts w:hint="eastAsia"/>
                <w:lang w:val="en-US" w:eastAsia="zh-CN"/>
              </w:rPr>
              <w:t>汇总</w:t>
            </w:r>
          </w:p>
        </w:tc>
        <w:tc>
          <w:tcPr>
            <w:tcW w:w="1704" w:type="dxa"/>
            <w:tcBorders>
              <w:top w:val="nil"/>
              <w:left w:val="nil"/>
              <w:bottom w:val="single" w:color="000000" w:sz="12" w:space="0"/>
              <w:right w:val="nil"/>
            </w:tcBorders>
            <w:shd w:val="clear" w:color="auto" w:fill="FFFFFF"/>
            <w:vAlign w:val="top"/>
          </w:tcPr>
          <w:p w14:paraId="21F9D539">
            <w:pPr>
              <w:pStyle w:val="54"/>
              <w:bidi w:val="0"/>
              <w:rPr>
                <w:rFonts w:hint="eastAsia"/>
              </w:rPr>
            </w:pPr>
            <w:r>
              <w:t xml:space="preserve">21 </w:t>
            </w:r>
            <w:r>
              <w:rPr>
                <w:rFonts w:hint="eastAsia"/>
              </w:rPr>
              <w:t>个设施</w:t>
            </w:r>
          </w:p>
        </w:tc>
        <w:tc>
          <w:tcPr>
            <w:tcW w:w="1704" w:type="dxa"/>
            <w:tcBorders>
              <w:top w:val="nil"/>
              <w:left w:val="nil"/>
              <w:bottom w:val="single" w:color="000000" w:sz="12" w:space="0"/>
              <w:right w:val="nil"/>
            </w:tcBorders>
            <w:shd w:val="clear" w:color="auto" w:fill="FFFFFF"/>
            <w:vAlign w:val="top"/>
          </w:tcPr>
          <w:p w14:paraId="4C00E9F7">
            <w:pPr>
              <w:pStyle w:val="54"/>
              <w:bidi w:val="0"/>
              <w:rPr>
                <w:rFonts w:hint="eastAsia"/>
              </w:rPr>
            </w:pPr>
            <w:r>
              <w:t xml:space="preserve">15 </w:t>
            </w:r>
            <w:r>
              <w:rPr>
                <w:rFonts w:hint="eastAsia"/>
              </w:rPr>
              <w:t>个特异设施模型、6</w:t>
            </w:r>
            <w:r>
              <w:t xml:space="preserve"> </w:t>
            </w:r>
            <w:r>
              <w:rPr>
                <w:rFonts w:hint="eastAsia"/>
              </w:rPr>
              <w:t>个等效设施模型</w:t>
            </w:r>
          </w:p>
        </w:tc>
        <w:tc>
          <w:tcPr>
            <w:tcW w:w="1704" w:type="dxa"/>
            <w:tcBorders>
              <w:top w:val="nil"/>
              <w:left w:val="nil"/>
              <w:bottom w:val="single" w:color="000000" w:sz="12" w:space="0"/>
              <w:right w:val="nil"/>
            </w:tcBorders>
            <w:shd w:val="clear" w:color="auto" w:fill="FFFFFF"/>
            <w:vAlign w:val="top"/>
          </w:tcPr>
          <w:p w14:paraId="0BF6F287">
            <w:pPr>
              <w:pStyle w:val="54"/>
              <w:bidi w:val="0"/>
              <w:rPr>
                <w:rFonts w:hint="eastAsia"/>
              </w:rPr>
            </w:pPr>
            <w:r>
              <w:t>—</w:t>
            </w:r>
          </w:p>
        </w:tc>
        <w:tc>
          <w:tcPr>
            <w:tcW w:w="1704" w:type="dxa"/>
            <w:tcBorders>
              <w:top w:val="nil"/>
              <w:left w:val="nil"/>
              <w:bottom w:val="single" w:color="000000" w:sz="12" w:space="0"/>
              <w:right w:val="nil"/>
            </w:tcBorders>
            <w:shd w:val="clear" w:color="auto" w:fill="FFFFFF"/>
            <w:vAlign w:val="top"/>
          </w:tcPr>
          <w:p>
            <w:r>
              <w:t>4123</w:t>
            </w:r>
          </w:p>
        </w:tc>
      </w:tr>
    </w:tbl>
    <w:p w14:paraId="61E10C4D">
      <w:pPr>
        <w:pStyle w:val="4"/>
        <w:numPr>
          <w:ilvl w:val="2"/>
          <w:numId w:val="0"/>
        </w:numPr>
        <w:bidi w:val="0"/>
        <w:ind w:leftChars="0"/>
        <w:rPr>
          <w:rStyle w:val="23"/>
          <w:rFonts w:hint="default" w:ascii="Times New Roman" w:hAnsi="Times New Roman" w:cs="Times New Roman"/>
          <w:szCs w:val="24"/>
          <w:lang w:val="en-US" w:eastAsia="zh-CN"/>
        </w:rPr>
      </w:pPr>
    </w:p>
    <w:p w14:paraId="4FE876A7">
      <w:pPr>
        <w:pStyle w:val="4"/>
        <w:bidi w:val="0"/>
        <w:ind w:left="720" w:leftChars="0" w:hanging="720" w:firstLineChars="0"/>
        <w:rPr>
          <w:rStyle w:val="23"/>
          <w:rFonts w:hint="default" w:ascii="Times New Roman" w:hAnsi="Times New Roman" w:cs="Times New Roman"/>
          <w:szCs w:val="24"/>
          <w:lang w:val="en-US" w:eastAsia="zh-CN"/>
        </w:rPr>
      </w:pPr>
      <w:bookmarkStart w:id="5" w:name="_Toc20521"/>
      <w:r>
        <w:rPr>
          <w:rStyle w:val="23"/>
          <w:rFonts w:hint="default" w:ascii="Times New Roman" w:hAnsi="Times New Roman" w:cs="Times New Roman"/>
          <w:szCs w:val="24"/>
          <w:lang w:val="en-US" w:eastAsia="zh-CN"/>
        </w:rPr>
        <w:t>热辐射HS与建筑响应特征</w:t>
      </w:r>
      <w:bookmarkEnd w:id="5"/>
    </w:p>
    <w:p w14:paraId="7BED2420">
      <w:pPr>
        <w:rPr>
          <w:rFonts w:hint="default" w:ascii="Times New Roman" w:hAnsi="Times New Roman" w:cs="Times New Roman"/>
          <w:lang w:val="en-US" w:eastAsia="zh-CN"/>
        </w:rPr>
      </w:pPr>
      <w:r>
        <w:rPr>
          <w:rFonts w:hint="default" w:ascii="Times New Roman" w:hAnsi="Times New Roman" w:cs="Times New Roman"/>
          <w:lang w:val="en-US" w:eastAsia="zh-CN"/>
        </w:rPr>
        <w:t>航空航天设施的设施级毁伤既受热源强度和作用时间控制，也受建筑尺度、结构与围护形式、迎火侧开口、发射与工艺设备布置以及高价值敏感目标位置影响。控制和处理建筑通常以实体围护、钢筋混凝土或钢结构框架、局部防护玻璃和受控开口为主要特征；总装与制造厂房更强调大跨度连续空间、设备搬运门和工艺区域；发射塔台及露天或半开放设施则可能存在更直接的受热路径。不同建筑形式对热通量的衰减、热量进入内部的路径和敏感目标的可见暴露程度不同。</w:t>
      </w:r>
    </w:p>
    <w:p w14:paraId="5D16EB0A">
      <w:pPr>
        <w:rPr>
          <w:rFonts w:hint="default" w:ascii="Times New Roman" w:hAnsi="Times New Roman" w:cs="Times New Roman"/>
          <w:lang w:val="en-US" w:eastAsia="zh-CN"/>
        </w:rPr>
      </w:pPr>
      <w:r>
        <w:rPr>
          <w:rFonts w:hint="default" w:ascii="Times New Roman" w:hAnsi="Times New Roman" w:cs="Times New Roman"/>
          <w:lang w:val="en-US" w:eastAsia="zh-CN"/>
        </w:rPr>
        <w:t>控制室、通信机房、线缆夹层和操作测试区域的电子设备、仪表柜、电缆绝缘层及部分内装材料，可能在局部受热方向形成高价值敏感目标；总装、部装和加工区域的复合材料、预浸料、粘结剂、密封剂、涂层剂、包装材料、切削油和润滑介质，则体现了工艺过程相关的可燃物差异。发射场景还可能涉及电缆绝缘、橡胶包覆和油类工质。上述材料类别不作为当前模型的新增独立类别，而是通过 FDS 建筑、可燃物/敏感目标密度和迎火侧比例等实际参数反映其对设施级 D</w:t>
      </w:r>
      <w:r>
        <w:rPr>
          <w:rFonts w:hint="default" w:ascii="Times New Roman" w:hAnsi="Times New Roman" w:cs="Times New Roman"/>
          <w:vertAlign w:val="subscript"/>
          <w:lang w:val="en-US" w:eastAsia="zh-CN"/>
        </w:rPr>
        <w:t>k</w:t>
      </w:r>
      <w:r>
        <w:rPr>
          <w:rFonts w:hint="default" w:ascii="Times New Roman" w:hAnsi="Times New Roman" w:cs="Times New Roman"/>
          <w:lang w:val="en-US" w:eastAsia="zh-CN"/>
        </w:rPr>
        <w:t xml:space="preserve"> 的影响。</w:t>
      </w:r>
    </w:p>
    <w:p w14:paraId="7CD2D4C7">
      <w:pPr>
        <w:rPr>
          <w:rFonts w:hint="default" w:ascii="Times New Roman" w:hAnsi="Times New Roman" w:cs="Times New Roman"/>
          <w:lang w:val="en-US" w:eastAsia="zh-CN"/>
        </w:rPr>
      </w:pPr>
      <w:r>
        <w:rPr>
          <w:rFonts w:hint="default" w:ascii="Times New Roman" w:hAnsi="Times New Roman" w:cs="Times New Roman"/>
          <w:lang w:val="en-US" w:eastAsia="zh-CN"/>
        </w:rPr>
        <w:t>机场机库具有大跨度空间、大型机库门和航空器集中停放等特点。不同方位角可能使大门、侧墙或背墙成为迎火侧，俯仰角则改变辐射对墙面、屋面和航空器目标的作用关系。机库中的航空器电缆、内饰和绝热材料，以及维修作业中的燃油残留、润滑介质、有机溶剂、环氧或聚氨酯涂层、密封胶和检修材料，构成具有对象特征的可燃物与敏感目标组合。高价值航空器和维修设备可能使少数不利方向形成较低设施级阈值，而围护完整或目标位于背火侧的方向仍可能保持较高阈值。因此，机场机库必须与其他航空航天设施一并纳入方向阈值和专项验证分析。</w:t>
      </w:r>
    </w:p>
    <w:p w14:paraId="271C3BF3">
      <w:pPr>
        <w:rPr>
          <w:rFonts w:hint="default" w:ascii="Times New Roman" w:hAnsi="Times New Roman" w:cs="Times New Roman"/>
          <w:lang w:val="en-US" w:eastAsia="zh-CN"/>
        </w:rPr>
      </w:pPr>
    </w:p>
    <w:p w14:paraId="3926F55F">
      <w:pPr>
        <w:pStyle w:val="3"/>
        <w:bidi w:val="0"/>
        <w:ind w:left="575" w:leftChars="0" w:hanging="575" w:firstLineChars="0"/>
        <w:rPr>
          <w:rFonts w:hint="default" w:ascii="Times New Roman" w:hAnsi="Times New Roman" w:cs="Times New Roman"/>
          <w:lang w:val="en-US" w:eastAsia="zh-CN"/>
        </w:rPr>
      </w:pPr>
      <w:bookmarkStart w:id="6" w:name="_Toc27045"/>
      <w:r>
        <w:rPr>
          <w:rFonts w:hint="default" w:ascii="Times New Roman" w:hAnsi="Times New Roman" w:cs="Times New Roman"/>
          <w:lang w:val="en-US" w:eastAsia="zh-CN"/>
        </w:rPr>
        <w:t>研究目标与范围</w:t>
      </w:r>
      <w:bookmarkEnd w:id="6"/>
    </w:p>
    <w:p w14:paraId="0B29D725">
      <w:pPr>
        <w:rPr>
          <w:rFonts w:hint="default" w:ascii="Times New Roman" w:hAnsi="Times New Roman" w:cs="Times New Roman"/>
          <w:lang w:val="en-US" w:eastAsia="zh-CN"/>
        </w:rPr>
      </w:pPr>
      <w:r>
        <w:rPr>
          <w:rFonts w:hint="default" w:ascii="Times New Roman" w:hAnsi="Times New Roman" w:cs="Times New Roman"/>
          <w:lang w:val="en-US" w:eastAsia="zh-CN"/>
        </w:rPr>
        <w:t>本研究面向航空航天设施与机场机库的工程快速评估需求，在 FDS 计算结果基础上建立热辐射工况与设施级 Dk 之间的映射。模型既输出连续 Dk，用于同等级内部的风险排序，又输出基本完好、轻微破坏、中等破坏和严重破坏四级结果，用于工程判定。通过批量扫描热通量、方位角、俯仰角和持续时间，可形成覆盖全部 21 个设施在不同方向与工况下的毁伤响应规律，为重点目标、重点方向和精细仿真工况选择提供依据。</w:t>
      </w:r>
    </w:p>
    <w:p w14:paraId="66F485C2">
      <w:pPr>
        <w:rPr>
          <w:rFonts w:hint="default" w:ascii="Times New Roman" w:hAnsi="Times New Roman" w:cs="Times New Roman"/>
          <w:lang w:val="en-US" w:eastAsia="zh-CN"/>
        </w:rPr>
      </w:pPr>
      <w:r>
        <w:rPr>
          <w:rFonts w:hint="default" w:ascii="Times New Roman" w:hAnsi="Times New Roman" w:cs="Times New Roman"/>
          <w:lang w:val="en-US" w:eastAsia="zh-CN"/>
        </w:rPr>
        <w:t>基于项目需求和工程实际，确定以下具体技术指标：</w:t>
      </w:r>
    </w:p>
    <w:p w14:paraId="2205C845">
      <w:pPr>
        <w:rPr>
          <w:rFonts w:hint="default" w:ascii="Times New Roman" w:hAnsi="Times New Roman" w:cs="Times New Roman"/>
        </w:rPr>
      </w:pPr>
      <w:r>
        <w:rPr>
          <w:rFonts w:hint="default" w:ascii="Times New Roman" w:hAnsi="Times New Roman" w:cs="Times New Roman"/>
        </w:rPr>
        <w:t>（1）单次计算仿真时间不超过1分钟；</w:t>
      </w:r>
    </w:p>
    <w:p w14:paraId="533616FA">
      <w:pPr>
        <w:rPr>
          <w:rFonts w:hint="default" w:ascii="Times New Roman" w:hAnsi="Times New Roman" w:cs="Times New Roman"/>
        </w:rPr>
      </w:pPr>
      <w:r>
        <w:rPr>
          <w:rFonts w:hint="default" w:ascii="Times New Roman" w:hAnsi="Times New Roman" w:cs="Times New Roman"/>
        </w:rPr>
        <w:t>（2）预测结果较精算结果误差不超过5%，满足工程应用的精度要求；</w:t>
      </w:r>
    </w:p>
    <w:p w14:paraId="7E82569F">
      <w:pPr>
        <w:rPr>
          <w:rFonts w:hint="default" w:ascii="Times New Roman" w:hAnsi="Times New Roman" w:cs="Times New Roman"/>
        </w:rPr>
      </w:pPr>
      <w:r>
        <w:rPr>
          <w:rFonts w:hint="default" w:ascii="Times New Roman" w:hAnsi="Times New Roman" w:cs="Times New Roman"/>
        </w:rPr>
        <w:t>（3）覆盖航空航天设施和机场机库的</w:t>
      </w:r>
      <w:r>
        <w:rPr>
          <w:rFonts w:hint="default" w:ascii="Times New Roman" w:hAnsi="Times New Roman" w:cs="Times New Roman"/>
          <w:lang w:eastAsia="zh-CN"/>
        </w:rPr>
        <w:t>HS</w:t>
      </w:r>
      <w:r>
        <w:rPr>
          <w:rFonts w:hint="default" w:ascii="Times New Roman" w:hAnsi="Times New Roman" w:cs="Times New Roman"/>
        </w:rPr>
        <w:t>评估场景；</w:t>
      </w:r>
    </w:p>
    <w:p w14:paraId="18D9561D">
      <w:pPr>
        <w:rPr>
          <w:rFonts w:hint="default" w:ascii="Times New Roman" w:hAnsi="Times New Roman" w:eastAsia="宋体" w:cs="Times New Roman"/>
          <w:lang w:eastAsia="zh-CN"/>
        </w:rPr>
      </w:pPr>
      <w:r>
        <w:rPr>
          <w:rFonts w:hint="default" w:ascii="Times New Roman" w:hAnsi="Times New Roman" w:cs="Times New Roman"/>
        </w:rPr>
        <w:t>（4）提供设施整体的</w:t>
      </w:r>
      <w:r>
        <w:rPr>
          <w:rFonts w:hint="default" w:ascii="Times New Roman" w:hAnsi="Times New Roman" w:cs="Times New Roman"/>
          <w:lang w:eastAsia="zh-CN"/>
        </w:rPr>
        <w:t>HS</w:t>
      </w:r>
      <w:r>
        <w:rPr>
          <w:rFonts w:hint="default" w:ascii="Times New Roman" w:hAnsi="Times New Roman" w:cs="Times New Roman"/>
        </w:rPr>
        <w:t>等级输出；</w:t>
      </w:r>
    </w:p>
    <w:p w14:paraId="1DD275FC">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rPr>
        <w:t>代理模型技术指标要求</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8"/>
        <w:gridCol w:w="2134"/>
        <w:gridCol w:w="2132"/>
      </w:tblGrid>
      <w:tr w14:paraId="48F2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8" w:type="dxa"/>
            <w:tcBorders>
              <w:top w:val="single" w:color="000000" w:sz="12" w:space="0"/>
              <w:left w:val="nil"/>
              <w:bottom w:val="single" w:color="000000" w:sz="4" w:space="0"/>
              <w:right w:val="nil"/>
              <w:tl2br w:val="nil"/>
            </w:tcBorders>
            <w:shd w:val="clear" w:color="auto" w:fill="FFFFFF"/>
          </w:tcPr>
          <w:p w14:paraId="1D454B51">
            <w:pPr>
              <w:pStyle w:val="54"/>
              <w:bidi w:val="0"/>
              <w:rPr>
                <w:rFonts w:hint="default"/>
              </w:rPr>
            </w:pPr>
            <w:r>
              <w:rPr>
                <w:rFonts w:hint="default"/>
              </w:rPr>
              <w:t>指标类别</w:t>
            </w:r>
          </w:p>
        </w:tc>
        <w:tc>
          <w:tcPr>
            <w:tcW w:w="2128" w:type="dxa"/>
            <w:tcBorders>
              <w:top w:val="single" w:color="000000" w:sz="12" w:space="0"/>
              <w:left w:val="nil"/>
              <w:bottom w:val="single" w:color="000000" w:sz="4" w:space="0"/>
              <w:right w:val="nil"/>
            </w:tcBorders>
            <w:shd w:val="clear" w:color="auto" w:fill="FFFFFF"/>
          </w:tcPr>
          <w:p w14:paraId="26FE02A9">
            <w:pPr>
              <w:pStyle w:val="54"/>
              <w:bidi w:val="0"/>
              <w:rPr>
                <w:rFonts w:hint="default"/>
              </w:rPr>
            </w:pPr>
            <w:r>
              <w:rPr>
                <w:rFonts w:hint="default"/>
              </w:rPr>
              <w:t>具体指标</w:t>
            </w:r>
          </w:p>
        </w:tc>
        <w:tc>
          <w:tcPr>
            <w:tcW w:w="2134" w:type="dxa"/>
            <w:tcBorders>
              <w:top w:val="single" w:color="000000" w:sz="12" w:space="0"/>
              <w:left w:val="nil"/>
              <w:bottom w:val="single" w:color="000000" w:sz="4" w:space="0"/>
              <w:right w:val="nil"/>
            </w:tcBorders>
            <w:shd w:val="clear" w:color="auto" w:fill="FFFFFF"/>
          </w:tcPr>
          <w:p w14:paraId="7BEB0FFF">
            <w:pPr>
              <w:pStyle w:val="54"/>
              <w:bidi w:val="0"/>
              <w:rPr>
                <w:rFonts w:hint="default"/>
              </w:rPr>
            </w:pPr>
            <w:r>
              <w:rPr>
                <w:rFonts w:hint="default"/>
              </w:rPr>
              <w:t>目标值</w:t>
            </w:r>
          </w:p>
        </w:tc>
        <w:tc>
          <w:tcPr>
            <w:tcW w:w="2132" w:type="dxa"/>
            <w:tcBorders>
              <w:top w:val="single" w:color="000000" w:sz="12" w:space="0"/>
              <w:left w:val="nil"/>
              <w:bottom w:val="single" w:color="000000" w:sz="4" w:space="0"/>
              <w:right w:val="nil"/>
            </w:tcBorders>
            <w:shd w:val="clear" w:color="auto" w:fill="FFFFFF"/>
          </w:tcPr>
          <w:p w14:paraId="289FB2FE">
            <w:pPr>
              <w:pStyle w:val="54"/>
              <w:bidi w:val="0"/>
              <w:rPr>
                <w:rFonts w:hint="default"/>
              </w:rPr>
            </w:pPr>
            <w:r>
              <w:rPr>
                <w:rFonts w:hint="default"/>
              </w:rPr>
              <w:t>备注</w:t>
            </w:r>
          </w:p>
        </w:tc>
      </w:tr>
      <w:tr w14:paraId="2ECE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8" w:type="dxa"/>
            <w:tcBorders>
              <w:top w:val="single" w:color="000000" w:sz="4" w:space="0"/>
              <w:left w:val="nil"/>
              <w:bottom w:val="nil"/>
              <w:right w:val="nil"/>
            </w:tcBorders>
            <w:shd w:val="clear" w:color="auto" w:fill="FFFFFF"/>
          </w:tcPr>
          <w:p w14:paraId="6B87D6B8">
            <w:pPr>
              <w:pStyle w:val="54"/>
              <w:bidi w:val="0"/>
              <w:rPr>
                <w:rFonts w:hint="default"/>
              </w:rPr>
            </w:pPr>
            <w:r>
              <w:rPr>
                <w:rFonts w:hint="default"/>
              </w:rPr>
              <w:t>计算效率</w:t>
            </w:r>
          </w:p>
        </w:tc>
        <w:tc>
          <w:tcPr>
            <w:tcW w:w="2128" w:type="dxa"/>
            <w:tcBorders>
              <w:top w:val="single" w:color="000000" w:sz="4" w:space="0"/>
              <w:left w:val="nil"/>
              <w:bottom w:val="nil"/>
              <w:right w:val="nil"/>
            </w:tcBorders>
            <w:shd w:val="clear" w:color="auto" w:fill="FFFFFF"/>
          </w:tcPr>
          <w:p w14:paraId="7BB8284A">
            <w:pPr>
              <w:pStyle w:val="54"/>
              <w:bidi w:val="0"/>
              <w:rPr>
                <w:rFonts w:hint="default"/>
              </w:rPr>
            </w:pPr>
            <w:r>
              <w:rPr>
                <w:rFonts w:hint="default"/>
              </w:rPr>
              <w:t>单次预测时间</w:t>
            </w:r>
          </w:p>
        </w:tc>
        <w:tc>
          <w:tcPr>
            <w:tcW w:w="2134" w:type="dxa"/>
            <w:tcBorders>
              <w:top w:val="single" w:color="000000" w:sz="4" w:space="0"/>
              <w:left w:val="nil"/>
              <w:bottom w:val="nil"/>
              <w:right w:val="nil"/>
            </w:tcBorders>
            <w:shd w:val="clear" w:color="auto" w:fill="FFFFFF"/>
          </w:tcPr>
          <w:p w14:paraId="5B791A2E">
            <w:pPr>
              <w:pStyle w:val="54"/>
              <w:bidi w:val="0"/>
              <w:rPr>
                <w:rFonts w:hint="default"/>
              </w:rPr>
            </w:pPr>
            <w:r>
              <w:rPr>
                <w:rFonts w:hint="default"/>
              </w:rPr>
              <w:t>&lt;1分钟</w:t>
            </w:r>
          </w:p>
        </w:tc>
        <w:tc>
          <w:tcPr>
            <w:tcW w:w="2132" w:type="dxa"/>
            <w:tcBorders>
              <w:top w:val="single" w:color="000000" w:sz="4" w:space="0"/>
              <w:left w:val="nil"/>
              <w:bottom w:val="nil"/>
              <w:right w:val="nil"/>
            </w:tcBorders>
            <w:shd w:val="clear" w:color="auto" w:fill="FFFFFF"/>
          </w:tcPr>
          <w:p>
            <w:r>
              <w:t>首次加载约数秒；本地热缓存平均约0.72 s，含依赖导入、模型加载、特征计算和推理</w:t>
            </w:r>
          </w:p>
        </w:tc>
      </w:tr>
      <w:tr w14:paraId="5FF9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8" w:type="dxa"/>
            <w:tcBorders>
              <w:top w:val="nil"/>
              <w:left w:val="nil"/>
              <w:bottom w:val="nil"/>
              <w:right w:val="nil"/>
            </w:tcBorders>
            <w:shd w:val="clear" w:color="auto" w:fill="FFFFFF"/>
          </w:tcPr>
          <w:p w14:paraId="2A82A000">
            <w:pPr>
              <w:pStyle w:val="54"/>
              <w:bidi w:val="0"/>
              <w:rPr>
                <w:rFonts w:hint="default"/>
              </w:rPr>
            </w:pPr>
            <w:r>
              <w:rPr>
                <w:rFonts w:hint="default"/>
              </w:rPr>
              <w:t>预测精度</w:t>
            </w:r>
          </w:p>
        </w:tc>
        <w:tc>
          <w:tcPr>
            <w:tcW w:w="2128" w:type="dxa"/>
            <w:tcBorders>
              <w:top w:val="nil"/>
              <w:left w:val="nil"/>
              <w:bottom w:val="nil"/>
              <w:right w:val="nil"/>
            </w:tcBorders>
            <w:shd w:val="clear" w:color="auto" w:fill="FFFFFF"/>
          </w:tcPr>
          <w:p w14:paraId="7B630FEA">
            <w:pPr>
              <w:pStyle w:val="54"/>
              <w:bidi w:val="0"/>
              <w:rPr>
                <w:rFonts w:hint="default"/>
              </w:rPr>
            </w:pPr>
            <w:r>
              <w:rPr>
                <w:rFonts w:hint="default"/>
              </w:rPr>
              <w:t>预测误差</w:t>
            </w:r>
          </w:p>
        </w:tc>
        <w:tc>
          <w:tcPr>
            <w:tcW w:w="2134" w:type="dxa"/>
            <w:tcBorders>
              <w:top w:val="nil"/>
              <w:left w:val="nil"/>
              <w:bottom w:val="nil"/>
              <w:right w:val="nil"/>
            </w:tcBorders>
            <w:shd w:val="clear" w:color="auto" w:fill="FFFFFF"/>
          </w:tcPr>
          <w:p w14:paraId="29317397">
            <w:pPr>
              <w:pStyle w:val="54"/>
              <w:bidi w:val="0"/>
              <w:rPr>
                <w:rFonts w:hint="default"/>
              </w:rPr>
            </w:pPr>
            <w:r>
              <w:rPr>
                <w:rFonts w:hint="default"/>
              </w:rPr>
              <w:t>&lt;5%</w:t>
            </w:r>
          </w:p>
        </w:tc>
        <w:tc>
          <w:tcPr>
            <w:tcW w:w="2132" w:type="dxa"/>
            <w:tcBorders>
              <w:top w:val="nil"/>
              <w:left w:val="nil"/>
              <w:bottom w:val="nil"/>
              <w:right w:val="nil"/>
            </w:tcBorders>
            <w:shd w:val="clear" w:color="auto" w:fill="FFFFFF"/>
          </w:tcPr>
          <w:p w14:paraId="4583721A">
            <w:pPr>
              <w:pStyle w:val="54"/>
              <w:bidi w:val="0"/>
              <w:rPr>
                <w:rFonts w:hint="default"/>
              </w:rPr>
            </w:pPr>
            <w:r>
              <w:rPr>
                <w:rFonts w:hint="default"/>
              </w:rPr>
              <w:t>较精算结果对比</w:t>
            </w:r>
          </w:p>
        </w:tc>
      </w:tr>
      <w:tr w14:paraId="3E97B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28" w:type="dxa"/>
            <w:tcBorders>
              <w:top w:val="nil"/>
              <w:left w:val="nil"/>
              <w:bottom w:val="single" w:color="000000" w:sz="12" w:space="0"/>
              <w:right w:val="nil"/>
            </w:tcBorders>
            <w:shd w:val="clear" w:color="auto" w:fill="FFFFFF"/>
            <w:vAlign w:val="top"/>
          </w:tcPr>
          <w:p w14:paraId="2AE0D3BB">
            <w:pPr>
              <w:pStyle w:val="54"/>
              <w:bidi w:val="0"/>
              <w:rPr>
                <w:rFonts w:hint="default"/>
              </w:rPr>
            </w:pPr>
            <w:r>
              <w:rPr>
                <w:rFonts w:hint="default"/>
              </w:rPr>
              <w:t>覆盖范围</w:t>
            </w:r>
          </w:p>
        </w:tc>
        <w:tc>
          <w:tcPr>
            <w:tcW w:w="2128" w:type="dxa"/>
            <w:tcBorders>
              <w:top w:val="nil"/>
              <w:left w:val="nil"/>
              <w:bottom w:val="single" w:color="000000" w:sz="12" w:space="0"/>
              <w:right w:val="nil"/>
            </w:tcBorders>
            <w:shd w:val="clear" w:color="auto" w:fill="FFFFFF"/>
            <w:vAlign w:val="top"/>
          </w:tcPr>
          <w:p w14:paraId="655C1EAD">
            <w:pPr>
              <w:pStyle w:val="54"/>
              <w:bidi w:val="0"/>
              <w:rPr>
                <w:rFonts w:hint="default"/>
              </w:rPr>
            </w:pPr>
            <w:r>
              <w:rPr>
                <w:rFonts w:hint="default"/>
              </w:rPr>
              <w:t>航空航天设施</w:t>
            </w:r>
            <w:r>
              <w:rPr>
                <w:rFonts w:hint="default"/>
                <w:lang w:eastAsia="zh-CN"/>
              </w:rPr>
              <w:t>（</w:t>
            </w:r>
            <w:r>
              <w:rPr>
                <w:rFonts w:hint="default"/>
                <w:lang w:val="en-US" w:eastAsia="zh-CN"/>
              </w:rPr>
              <w:t>含机场机库）</w:t>
            </w:r>
          </w:p>
        </w:tc>
        <w:tc>
          <w:tcPr>
            <w:tcW w:w="2134" w:type="dxa"/>
            <w:tcBorders>
              <w:top w:val="nil"/>
              <w:left w:val="nil"/>
              <w:bottom w:val="single" w:color="000000" w:sz="12" w:space="0"/>
              <w:right w:val="nil"/>
            </w:tcBorders>
            <w:shd w:val="clear" w:color="auto" w:fill="FFFFFF"/>
            <w:vAlign w:val="top"/>
          </w:tcPr>
          <w:p w14:paraId="378214BC">
            <w:pPr>
              <w:pStyle w:val="54"/>
              <w:bidi w:val="0"/>
              <w:rPr>
                <w:rFonts w:hint="default"/>
              </w:rPr>
            </w:pPr>
          </w:p>
        </w:tc>
        <w:tc>
          <w:tcPr>
            <w:tcW w:w="2132" w:type="dxa"/>
            <w:tcBorders>
              <w:top w:val="nil"/>
              <w:left w:val="nil"/>
              <w:bottom w:val="single" w:color="000000" w:sz="12" w:space="0"/>
              <w:right w:val="nil"/>
            </w:tcBorders>
            <w:shd w:val="clear" w:color="auto" w:fill="FFFFFF"/>
            <w:vAlign w:val="top"/>
          </w:tcPr>
          <w:p w14:paraId="52BD309C">
            <w:pPr>
              <w:pStyle w:val="54"/>
              <w:bidi w:val="0"/>
              <w:rPr>
                <w:rFonts w:hint="default"/>
              </w:rPr>
            </w:pPr>
            <w:r>
              <w:rPr>
                <w:rFonts w:hint="default"/>
              </w:rPr>
              <w:t>发射控制中心等</w:t>
            </w:r>
          </w:p>
        </w:tc>
      </w:tr>
    </w:tbl>
    <w:p w14:paraId="55F85E15">
      <w:pPr>
        <w:rPr>
          <w:rFonts w:hint="default" w:ascii="Times New Roman" w:hAnsi="Times New Roman" w:cs="Times New Roman"/>
          <w:lang w:val="en-US" w:eastAsia="zh-CN"/>
        </w:rPr>
      </w:pPr>
    </w:p>
    <w:p w14:paraId="5670DDF6">
      <w:pPr>
        <w:spacing w:line="360" w:lineRule="auto"/>
        <w:jc w:val="left"/>
        <w:outlineLvl w:val="0"/>
        <w:rPr>
          <w:rStyle w:val="23"/>
          <w:rFonts w:hint="default" w:ascii="Times New Roman" w:hAnsi="Times New Roman" w:cs="Times New Roman"/>
          <w:b/>
          <w:sz w:val="32"/>
          <w:szCs w:val="32"/>
          <w:lang w:val="en-US" w:eastAsia="zh-CN"/>
        </w:rPr>
        <w:sectPr>
          <w:footerReference r:id="rId13" w:type="default"/>
          <w:pgSz w:w="11906" w:h="16838"/>
          <w:pgMar w:top="1440" w:right="1800" w:bottom="1440" w:left="1800" w:header="851" w:footer="992" w:gutter="0"/>
          <w:pgNumType w:fmt="decimal"/>
          <w:cols w:space="720" w:num="1"/>
          <w:docGrid w:type="lines" w:linePitch="326" w:charSpace="0"/>
        </w:sectPr>
      </w:pPr>
    </w:p>
    <w:p w14:paraId="2D09EB4F">
      <w:pPr>
        <w:pStyle w:val="2"/>
        <w:bidi w:val="0"/>
        <w:ind w:left="432" w:leftChars="0" w:hanging="432" w:firstLineChars="0"/>
        <w:rPr>
          <w:rStyle w:val="23"/>
          <w:rFonts w:hint="default" w:ascii="Times New Roman" w:hAnsi="Times New Roman" w:cs="Times New Roman"/>
          <w:b/>
          <w:szCs w:val="32"/>
          <w:lang w:val="en-US" w:eastAsia="zh-CN"/>
        </w:rPr>
      </w:pPr>
      <w:bookmarkStart w:id="7" w:name="_Toc9960"/>
      <w:r>
        <w:rPr>
          <w:rStyle w:val="23"/>
          <w:rFonts w:hint="default" w:ascii="Times New Roman" w:hAnsi="Times New Roman" w:cs="Times New Roman"/>
          <w:b/>
          <w:szCs w:val="32"/>
          <w:lang w:val="en-US" w:eastAsia="zh-CN"/>
        </w:rPr>
        <w:t>数据体系建设</w:t>
      </w:r>
      <w:bookmarkEnd w:id="7"/>
    </w:p>
    <w:p w14:paraId="02438708">
      <w:pPr>
        <w:pStyle w:val="3"/>
        <w:bidi w:val="0"/>
        <w:rPr>
          <w:rFonts w:hint="default" w:ascii="Times New Roman" w:hAnsi="Times New Roman" w:cs="Times New Roman"/>
          <w:lang w:val="en-US" w:eastAsia="zh-CN"/>
        </w:rPr>
      </w:pPr>
      <w:bookmarkStart w:id="8" w:name="_Toc12133"/>
      <w:r>
        <w:rPr>
          <w:rFonts w:hint="default" w:ascii="Times New Roman" w:hAnsi="Times New Roman" w:cs="Times New Roman"/>
          <w:lang w:val="en-US" w:eastAsia="zh-CN"/>
        </w:rPr>
        <w:t>数据组成</w:t>
      </w:r>
      <w:bookmarkEnd w:id="8"/>
    </w:p>
    <w:p w14:paraId="74D4DA8F">
      <w:pPr>
        <w:rPr>
          <w:rFonts w:hint="default" w:ascii="Times New Roman" w:hAnsi="Times New Roman" w:cs="Times New Roman"/>
          <w:lang w:val="en-US" w:eastAsia="zh-CN"/>
        </w:rPr>
      </w:pPr>
      <w:r>
        <w:rPr>
          <w:rFonts w:hint="default" w:ascii="Times New Roman" w:hAnsi="Times New Roman" w:cs="Times New Roman"/>
          <w:lang w:val="en-US" w:eastAsia="zh-CN"/>
        </w:rPr>
        <w:t>每条工况由设施 FDS 模型和对应的损伤计算结果共同组成。FDS 模型提供建筑计算域、障碍物、门窗与通风口、设备测点、敏感目标位置以及热辐射输入；损伤计算结果提供设施修复成本、资产价值和连续毁伤指数 Dk。建筑信息既包括长度、宽度、高度、平面面积和体积等尺度参数，也包括外墙、门窗、通风口、设备布置和迎火侧墙面信息；这些参数用于表达建筑体量、围护衰减、热量进入路径和目标暴露关系。经过完整性、有效性和取值范围检查后，形成 6558 条合格工况，其中航空航天设施 2838 条、机场机库设施 1285 条，本报告合计 4123 条。</w:t>
      </w:r>
    </w:p>
    <w:p w14:paraId="13F994B4">
      <w:pPr>
        <w:rPr>
          <w:rFonts w:hint="default" w:ascii="Times New Roman" w:hAnsi="Times New Roman" w:cs="Times New Roman"/>
          <w:lang w:val="en-US" w:eastAsia="zh-CN"/>
        </w:rPr>
      </w:pPr>
      <w:r>
        <w:rPr>
          <w:rFonts w:hint="default" w:ascii="Times New Roman" w:hAnsi="Times New Roman" w:cs="Times New Roman"/>
          <w:lang w:val="en-US" w:eastAsia="zh-CN"/>
        </w:rPr>
        <w:t>大、中、小等效设施按建筑平面尺度划分，用以表征不同体量下目标密度、开口比例和局部损伤占总资产价值比例的差异。由于实际建筑尺度是连续分布，无法逐一模拟，各规模档以一段长度、宽度范围定义，模拟时取该范围内的代表值。航空航天等效设施涵盖发射控制、总装、部装、加工和发射等典型功能空间，机场机库等效设施则覆盖从单机库到多机位大跨机库的尺度区间。各规模的几何参数范围与代表值如下表所示。</w:t>
      </w:r>
    </w:p>
    <w:p w14:paraId="49A75E8F">
      <w:pPr>
        <w:pStyle w:val="16"/>
        <w:jc w:val="center"/>
      </w:pPr>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b/>
          <w:bCs/>
        </w:rPr>
        <w:t xml:space="preserve"> </w:t>
      </w:r>
      <w:r>
        <w:rPr>
          <w:rFonts w:hint="eastAsia"/>
          <w:b/>
          <w:bCs/>
        </w:rPr>
        <w:t>等效设施规模分级与典型几何参数</w:t>
      </w:r>
    </w:p>
    <w:tbl>
      <w:tblPr>
        <w:tblStyle w:val="12"/>
        <w:tblW w:w="0" w:type="auto"/>
        <w:tblInd w:w="0" w:type="dxa"/>
        <w:tblLayout w:type="autofit"/>
        <w:tblCellMar>
          <w:top w:w="0" w:type="dxa"/>
          <w:left w:w="108" w:type="dxa"/>
          <w:bottom w:w="0" w:type="dxa"/>
          <w:right w:w="108" w:type="dxa"/>
        </w:tblCellMar>
      </w:tblPr>
      <w:tblGrid>
        <w:gridCol w:w="939"/>
        <w:gridCol w:w="801"/>
        <w:gridCol w:w="525"/>
        <w:gridCol w:w="1283"/>
        <w:gridCol w:w="1283"/>
        <w:gridCol w:w="1159"/>
        <w:gridCol w:w="2007"/>
        <w:gridCol w:w="525"/>
      </w:tblGrid>
      <w:tr w14:paraId="00309219">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696CC8F9">
            <w:pPr>
              <w:pStyle w:val="54"/>
              <w:bidi w:val="0"/>
              <w:rPr>
                <w:b w:val="0"/>
              </w:rPr>
            </w:pPr>
            <w:r>
              <w:rPr>
                <w:rFonts w:hint="eastAsia"/>
                <w:b w:val="0"/>
              </w:rPr>
              <w:t>设施类别</w:t>
            </w:r>
          </w:p>
        </w:tc>
        <w:tc>
          <w:tcPr>
            <w:tcBorders>
              <w:top w:val="single" w:color="000000" w:sz="12" w:space="0"/>
              <w:left w:val="nil"/>
              <w:bottom w:val="single" w:color="000000" w:sz="4" w:space="0"/>
              <w:right w:val="nil"/>
            </w:tcBorders>
            <w:shd w:val="clear" w:color="auto" w:fill="FFFFFF"/>
          </w:tcPr>
          <w:p w14:paraId="3206106F">
            <w:pPr>
              <w:pStyle w:val="54"/>
              <w:bidi w:val="0"/>
              <w:rPr>
                <w:b w:val="0"/>
              </w:rPr>
            </w:pPr>
            <w:r>
              <w:rPr>
                <w:rFonts w:hint="eastAsia"/>
                <w:b w:val="0"/>
              </w:rPr>
              <w:t>建筑功能</w:t>
            </w:r>
          </w:p>
        </w:tc>
        <w:tc>
          <w:tcPr>
            <w:tcBorders>
              <w:top w:val="single" w:color="000000" w:sz="12" w:space="0"/>
              <w:left w:val="nil"/>
              <w:bottom w:val="single" w:color="000000" w:sz="4" w:space="0"/>
              <w:right w:val="nil"/>
            </w:tcBorders>
            <w:shd w:val="clear" w:color="auto" w:fill="FFFFFF"/>
          </w:tcPr>
          <w:p w14:paraId="0A14A95E">
            <w:pPr>
              <w:pStyle w:val="54"/>
              <w:bidi w:val="0"/>
              <w:rPr>
                <w:b w:val="0"/>
              </w:rPr>
            </w:pPr>
            <w:r>
              <w:rPr>
                <w:rFonts w:hint="eastAsia"/>
                <w:b w:val="0"/>
              </w:rPr>
              <w:t>规模</w:t>
            </w:r>
          </w:p>
        </w:tc>
        <w:tc>
          <w:tcPr>
            <w:tcW w:w="1282" w:type="dxa"/>
            <w:tcBorders>
              <w:top w:val="single" w:color="000000" w:sz="12" w:space="0"/>
              <w:left w:val="nil"/>
              <w:bottom w:val="single" w:color="000000" w:sz="4" w:space="0"/>
              <w:right w:val="nil"/>
            </w:tcBorders>
            <w:shd w:val="clear" w:color="auto" w:fill="FFFFFF"/>
          </w:tcPr>
          <w:p w14:paraId="7F7E8C48">
            <w:pPr>
              <w:pStyle w:val="54"/>
              <w:bidi w:val="0"/>
              <w:rPr>
                <w:b w:val="0"/>
              </w:rPr>
            </w:pPr>
            <w:r>
              <w:rPr>
                <w:rFonts w:hint="eastAsia"/>
                <w:b w:val="0"/>
              </w:rPr>
              <w:t>长度范围（m）</w:t>
            </w:r>
          </w:p>
        </w:tc>
        <w:tc>
          <w:tcPr>
            <w:tcW w:w="1282" w:type="dxa"/>
            <w:tcBorders>
              <w:top w:val="single" w:color="000000" w:sz="12" w:space="0"/>
              <w:left w:val="nil"/>
              <w:bottom w:val="single" w:color="000000" w:sz="4" w:space="0"/>
              <w:right w:val="nil"/>
            </w:tcBorders>
            <w:shd w:val="clear" w:color="auto" w:fill="FFFFFF"/>
          </w:tcPr>
          <w:p w14:paraId="7C9DC6F8">
            <w:pPr>
              <w:pStyle w:val="54"/>
              <w:bidi w:val="0"/>
              <w:rPr>
                <w:b w:val="0"/>
              </w:rPr>
            </w:pPr>
            <w:r>
              <w:rPr>
                <w:rFonts w:hint="eastAsia"/>
                <w:b w:val="0"/>
              </w:rPr>
              <w:t>宽度范围（m）</w:t>
            </w:r>
          </w:p>
        </w:tc>
        <w:tc>
          <w:tcPr>
            <w:tcBorders>
              <w:top w:val="single" w:color="000000" w:sz="12" w:space="0"/>
              <w:left w:val="nil"/>
              <w:bottom w:val="single" w:color="000000" w:sz="4" w:space="0"/>
              <w:right w:val="nil"/>
            </w:tcBorders>
            <w:shd w:val="clear" w:color="auto" w:fill="FFFFFF"/>
          </w:tcPr>
          <w:p w14:paraId="353F070C">
            <w:pPr>
              <w:pStyle w:val="54"/>
              <w:bidi w:val="0"/>
              <w:rPr>
                <w:b w:val="0"/>
              </w:rPr>
            </w:pPr>
            <w:r>
              <w:rPr>
                <w:rFonts w:hint="eastAsia"/>
                <w:b w:val="0"/>
              </w:rPr>
              <w:t>高度范围（m）</w:t>
            </w:r>
          </w:p>
        </w:tc>
        <w:tc>
          <w:tcPr>
            <w:tcBorders>
              <w:top w:val="single" w:color="000000" w:sz="12" w:space="0"/>
              <w:left w:val="nil"/>
              <w:bottom w:val="single" w:color="000000" w:sz="4" w:space="0"/>
              <w:right w:val="nil"/>
            </w:tcBorders>
            <w:shd w:val="clear" w:color="auto" w:fill="FFFFFF"/>
          </w:tcPr>
          <w:p w14:paraId="3C73991A">
            <w:pPr>
              <w:pStyle w:val="54"/>
              <w:bidi w:val="0"/>
              <w:rPr>
                <w:b w:val="0"/>
              </w:rPr>
            </w:pPr>
            <w:r>
              <w:rPr>
                <w:rFonts w:hint="eastAsia"/>
                <w:b w:val="0"/>
              </w:rPr>
              <w:t>模拟代表值（长×宽×高）</w:t>
            </w:r>
          </w:p>
        </w:tc>
        <w:tc>
          <w:tcPr>
            <w:tcBorders>
              <w:top w:val="single" w:color="000000" w:sz="12" w:space="0"/>
              <w:left w:val="nil"/>
              <w:bottom w:val="single" w:color="000000" w:sz="4" w:space="0"/>
              <w:right w:val="nil"/>
            </w:tcBorders>
            <w:shd w:val="clear" w:color="auto" w:fill="FFFFFF"/>
          </w:tcPr>
          <w:p w14:paraId="31420502">
            <w:pPr>
              <w:pStyle w:val="54"/>
              <w:bidi w:val="0"/>
              <w:rPr>
                <w:b w:val="0"/>
              </w:rPr>
            </w:pPr>
            <w:r>
              <w:rPr>
                <w:rFonts w:hint="eastAsia"/>
                <w:b w:val="0"/>
              </w:rPr>
              <w:t>层数</w:t>
            </w:r>
          </w:p>
        </w:tc>
      </w:tr>
      <w:tr w14:paraId="38138DB3">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5768F92">
            <w:pPr>
              <w:pStyle w:val="54"/>
              <w:bidi w:val="0"/>
              <w:rPr>
                <w:b w:val="0"/>
              </w:rPr>
            </w:pPr>
            <w:r>
              <w:rPr>
                <w:rFonts w:hint="eastAsia"/>
                <w:b w:val="0"/>
              </w:rPr>
              <w:t>航空航天等效设施</w:t>
            </w:r>
          </w:p>
        </w:tc>
        <w:tc>
          <w:tcPr>
            <w:tcBorders>
              <w:top w:val="single" w:color="000000" w:sz="4" w:space="0"/>
              <w:left w:val="nil"/>
              <w:bottom w:val="nil"/>
              <w:right w:val="nil"/>
            </w:tcBorders>
            <w:shd w:val="clear" w:color="auto" w:fill="FFFFFF"/>
          </w:tcPr>
          <w:p w14:paraId="374FF3C8">
            <w:pPr>
              <w:pStyle w:val="54"/>
              <w:bidi w:val="0"/>
              <w:rPr>
                <w:b w:val="0"/>
              </w:rPr>
            </w:pPr>
            <w:r>
              <w:rPr>
                <w:rFonts w:hint="eastAsia"/>
                <w:b w:val="0"/>
              </w:rPr>
              <w:t>发射控制中心</w:t>
            </w:r>
          </w:p>
        </w:tc>
        <w:tc>
          <w:tcPr>
            <w:tcBorders>
              <w:top w:val="single" w:color="000000" w:sz="4" w:space="0"/>
              <w:left w:val="nil"/>
              <w:bottom w:val="nil"/>
              <w:right w:val="nil"/>
            </w:tcBorders>
            <w:shd w:val="clear" w:color="auto" w:fill="FFFFFF"/>
          </w:tcPr>
          <w:p w14:paraId="7DAE1BDC">
            <w:pPr>
              <w:pStyle w:val="54"/>
              <w:bidi w:val="0"/>
              <w:rPr>
                <w:b w:val="0"/>
              </w:rPr>
            </w:pPr>
            <w:r>
              <w:rPr>
                <w:rFonts w:hint="eastAsia"/>
                <w:b w:val="0"/>
              </w:rPr>
              <w:t>小</w:t>
            </w:r>
          </w:p>
        </w:tc>
        <w:tc>
          <w:tcPr>
            <w:tcW w:w="1282" w:type="dxa"/>
            <w:tcBorders>
              <w:top w:val="single" w:color="000000" w:sz="4" w:space="0"/>
              <w:left w:val="nil"/>
              <w:bottom w:val="nil"/>
              <w:right w:val="nil"/>
            </w:tcBorders>
            <w:shd w:val="clear" w:color="auto" w:fill="FFFFFF"/>
          </w:tcPr>
          <w:p w14:paraId="70B90EA0">
            <w:pPr>
              <w:pStyle w:val="54"/>
              <w:bidi w:val="0"/>
              <w:rPr>
                <w:b w:val="0"/>
              </w:rPr>
            </w:pPr>
            <w:r>
              <w:rPr>
                <w:rFonts w:hint="eastAsia"/>
                <w:b w:val="0"/>
                <w:lang w:val="en-US" w:eastAsia="zh-CN"/>
              </w:rPr>
              <w:t>&lt;</w:t>
            </w:r>
            <w:r>
              <w:rPr>
                <w:b w:val="0"/>
              </w:rPr>
              <w:t>75</w:t>
            </w:r>
          </w:p>
        </w:tc>
        <w:tc>
          <w:tcPr>
            <w:tcW w:w="1282" w:type="dxa"/>
            <w:tcBorders>
              <w:top w:val="single" w:color="000000" w:sz="4" w:space="0"/>
              <w:left w:val="nil"/>
              <w:bottom w:val="nil"/>
              <w:right w:val="nil"/>
            </w:tcBorders>
            <w:shd w:val="clear" w:color="auto" w:fill="FFFFFF"/>
          </w:tcPr>
          <w:p w14:paraId="176DE26F">
            <w:pPr>
              <w:pStyle w:val="54"/>
              <w:bidi w:val="0"/>
              <w:rPr>
                <w:b w:val="0"/>
              </w:rPr>
            </w:pPr>
            <w:r>
              <w:rPr>
                <w:rFonts w:hint="eastAsia"/>
                <w:b w:val="0"/>
                <w:lang w:val="en-US" w:eastAsia="zh-CN"/>
              </w:rPr>
              <w:t>&lt;</w:t>
            </w:r>
            <w:r>
              <w:rPr>
                <w:b w:val="0"/>
              </w:rPr>
              <w:t>28</w:t>
            </w:r>
          </w:p>
        </w:tc>
        <w:tc>
          <w:tcPr>
            <w:tcBorders>
              <w:top w:val="single" w:color="000000" w:sz="4" w:space="0"/>
              <w:left w:val="nil"/>
              <w:bottom w:val="nil"/>
              <w:right w:val="nil"/>
            </w:tcBorders>
            <w:shd w:val="clear" w:color="auto" w:fill="FFFFFF"/>
          </w:tcPr>
          <w:p w14:paraId="44214A92">
            <w:pPr>
              <w:pStyle w:val="54"/>
              <w:bidi w:val="0"/>
              <w:rPr>
                <w:b w:val="0"/>
              </w:rPr>
            </w:pPr>
            <w:r>
              <w:rPr>
                <w:rFonts w:hint="eastAsia"/>
                <w:b w:val="0"/>
                <w:lang w:val="en-US" w:eastAsia="zh-CN"/>
              </w:rPr>
              <w:t>&lt;</w:t>
            </w:r>
            <w:r>
              <w:rPr>
                <w:b w:val="0"/>
              </w:rPr>
              <w:t>10</w:t>
            </w:r>
          </w:p>
        </w:tc>
        <w:tc>
          <w:tcPr>
            <w:tcBorders>
              <w:top w:val="single" w:color="000000" w:sz="4" w:space="0"/>
              <w:left w:val="nil"/>
              <w:bottom w:val="nil"/>
              <w:right w:val="nil"/>
            </w:tcBorders>
            <w:shd w:val="clear" w:color="auto" w:fill="FFFFFF"/>
          </w:tcPr>
          <w:p w14:paraId="7C4B26F0">
            <w:pPr>
              <w:pStyle w:val="54"/>
              <w:bidi w:val="0"/>
              <w:rPr>
                <w:b w:val="0"/>
              </w:rPr>
            </w:pPr>
            <w:r>
              <w:rPr>
                <w:b w:val="0"/>
              </w:rPr>
              <w:t>65×24×9</w:t>
            </w:r>
          </w:p>
        </w:tc>
        <w:tc>
          <w:tcPr>
            <w:tcBorders>
              <w:top w:val="single" w:color="000000" w:sz="4" w:space="0"/>
              <w:left w:val="nil"/>
              <w:bottom w:val="nil"/>
              <w:right w:val="nil"/>
            </w:tcBorders>
            <w:shd w:val="clear" w:color="auto" w:fill="FFFFFF"/>
          </w:tcPr>
          <w:p w14:paraId="1293B28C">
            <w:pPr>
              <w:pStyle w:val="54"/>
              <w:bidi w:val="0"/>
              <w:rPr>
                <w:b w:val="0"/>
              </w:rPr>
            </w:pPr>
            <w:r>
              <w:rPr>
                <w:b w:val="0"/>
              </w:rPr>
              <w:t>2</w:t>
            </w:r>
          </w:p>
        </w:tc>
      </w:tr>
      <w:tr w14:paraId="2F202700">
        <w:tblPrEx>
          <w:tblCellMar>
            <w:top w:w="0" w:type="dxa"/>
            <w:left w:w="108" w:type="dxa"/>
            <w:bottom w:w="0" w:type="dxa"/>
            <w:right w:w="108" w:type="dxa"/>
          </w:tblCellMar>
        </w:tblPrEx>
        <w:tc>
          <w:tcPr>
            <w:tcBorders>
              <w:top w:val="nil"/>
              <w:left w:val="nil"/>
              <w:bottom w:val="nil"/>
              <w:right w:val="nil"/>
            </w:tcBorders>
            <w:shd w:val="clear" w:color="auto" w:fill="FFFFFF"/>
          </w:tcPr>
          <w:p w14:paraId="382E5EC7">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2EB62612">
            <w:pPr>
              <w:pStyle w:val="54"/>
              <w:bidi w:val="0"/>
              <w:rPr>
                <w:b w:val="0"/>
              </w:rPr>
            </w:pPr>
            <w:r>
              <w:rPr>
                <w:rFonts w:hint="eastAsia"/>
                <w:b w:val="0"/>
              </w:rPr>
              <w:t>发射控制中心</w:t>
            </w:r>
          </w:p>
        </w:tc>
        <w:tc>
          <w:tcPr>
            <w:tcBorders>
              <w:top w:val="nil"/>
              <w:left w:val="nil"/>
              <w:bottom w:val="nil"/>
              <w:right w:val="nil"/>
            </w:tcBorders>
            <w:shd w:val="clear" w:color="auto" w:fill="FFFFFF"/>
          </w:tcPr>
          <w:p w14:paraId="4D124640">
            <w:pPr>
              <w:pStyle w:val="54"/>
              <w:bidi w:val="0"/>
              <w:rPr>
                <w:b w:val="0"/>
              </w:rPr>
            </w:pPr>
            <w:r>
              <w:rPr>
                <w:rFonts w:hint="eastAsia"/>
                <w:b w:val="0"/>
              </w:rPr>
              <w:t>中</w:t>
            </w:r>
          </w:p>
        </w:tc>
        <w:tc>
          <w:tcPr>
            <w:tcW w:w="1282" w:type="dxa"/>
            <w:tcBorders>
              <w:top w:val="nil"/>
              <w:left w:val="nil"/>
              <w:bottom w:val="nil"/>
              <w:right w:val="nil"/>
            </w:tcBorders>
            <w:shd w:val="clear" w:color="auto" w:fill="FFFFFF"/>
          </w:tcPr>
          <w:p w14:paraId="0EB09BC9">
            <w:pPr>
              <w:pStyle w:val="54"/>
              <w:bidi w:val="0"/>
              <w:rPr>
                <w:b w:val="0"/>
              </w:rPr>
            </w:pPr>
            <w:r>
              <w:rPr>
                <w:b w:val="0"/>
              </w:rPr>
              <w:t>75–98</w:t>
            </w:r>
          </w:p>
        </w:tc>
        <w:tc>
          <w:tcPr>
            <w:tcW w:w="1282" w:type="dxa"/>
            <w:tcBorders>
              <w:top w:val="nil"/>
              <w:left w:val="nil"/>
              <w:bottom w:val="nil"/>
              <w:right w:val="nil"/>
            </w:tcBorders>
            <w:shd w:val="clear" w:color="auto" w:fill="FFFFFF"/>
          </w:tcPr>
          <w:p w14:paraId="4D409942">
            <w:pPr>
              <w:pStyle w:val="54"/>
              <w:bidi w:val="0"/>
              <w:rPr>
                <w:b w:val="0"/>
              </w:rPr>
            </w:pPr>
            <w:r>
              <w:rPr>
                <w:b w:val="0"/>
              </w:rPr>
              <w:t>28–37</w:t>
            </w:r>
          </w:p>
        </w:tc>
        <w:tc>
          <w:tcPr>
            <w:tcBorders>
              <w:top w:val="nil"/>
              <w:left w:val="nil"/>
              <w:bottom w:val="nil"/>
              <w:right w:val="nil"/>
            </w:tcBorders>
            <w:shd w:val="clear" w:color="auto" w:fill="FFFFFF"/>
          </w:tcPr>
          <w:p w14:paraId="37314097">
            <w:pPr>
              <w:pStyle w:val="54"/>
              <w:bidi w:val="0"/>
              <w:rPr>
                <w:b w:val="0"/>
              </w:rPr>
            </w:pPr>
            <w:r>
              <w:rPr>
                <w:b w:val="0"/>
              </w:rPr>
              <w:t>10–11</w:t>
            </w:r>
          </w:p>
        </w:tc>
        <w:tc>
          <w:tcPr>
            <w:tcBorders>
              <w:top w:val="nil"/>
              <w:left w:val="nil"/>
              <w:bottom w:val="nil"/>
              <w:right w:val="nil"/>
            </w:tcBorders>
            <w:shd w:val="clear" w:color="auto" w:fill="FFFFFF"/>
          </w:tcPr>
          <w:p w14:paraId="317F1738">
            <w:pPr>
              <w:pStyle w:val="54"/>
              <w:bidi w:val="0"/>
              <w:rPr>
                <w:b w:val="0"/>
              </w:rPr>
            </w:pPr>
            <w:r>
              <w:rPr>
                <w:b w:val="0"/>
              </w:rPr>
              <w:t>85×32.5×10</w:t>
            </w:r>
          </w:p>
        </w:tc>
        <w:tc>
          <w:tcPr>
            <w:tcBorders>
              <w:top w:val="nil"/>
              <w:left w:val="nil"/>
              <w:bottom w:val="nil"/>
              <w:right w:val="nil"/>
            </w:tcBorders>
            <w:shd w:val="clear" w:color="auto" w:fill="FFFFFF"/>
          </w:tcPr>
          <w:p w14:paraId="076CD56B">
            <w:pPr>
              <w:pStyle w:val="54"/>
              <w:bidi w:val="0"/>
              <w:rPr>
                <w:b w:val="0"/>
              </w:rPr>
            </w:pPr>
            <w:r>
              <w:rPr>
                <w:b w:val="0"/>
              </w:rPr>
              <w:t>2</w:t>
            </w:r>
          </w:p>
        </w:tc>
      </w:tr>
      <w:tr w14:paraId="3A7C3561">
        <w:tc>
          <w:tcPr>
            <w:tcBorders>
              <w:top w:val="nil"/>
              <w:left w:val="nil"/>
              <w:bottom w:val="nil"/>
              <w:right w:val="nil"/>
            </w:tcBorders>
            <w:shd w:val="clear" w:color="auto" w:fill="FFFFFF"/>
          </w:tcPr>
          <w:p w14:paraId="03C7162E">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1D7C174E">
            <w:pPr>
              <w:pStyle w:val="54"/>
              <w:bidi w:val="0"/>
              <w:rPr>
                <w:b w:val="0"/>
              </w:rPr>
            </w:pPr>
            <w:r>
              <w:rPr>
                <w:rFonts w:hint="eastAsia"/>
                <w:b w:val="0"/>
              </w:rPr>
              <w:t>发射控制中心</w:t>
            </w:r>
          </w:p>
        </w:tc>
        <w:tc>
          <w:tcPr>
            <w:tcBorders>
              <w:top w:val="nil"/>
              <w:left w:val="nil"/>
              <w:bottom w:val="nil"/>
              <w:right w:val="nil"/>
            </w:tcBorders>
            <w:shd w:val="clear" w:color="auto" w:fill="FFFFFF"/>
          </w:tcPr>
          <w:p w14:paraId="51EFB49E">
            <w:pPr>
              <w:pStyle w:val="54"/>
              <w:bidi w:val="0"/>
              <w:rPr>
                <w:b w:val="0"/>
              </w:rPr>
            </w:pPr>
            <w:r>
              <w:rPr>
                <w:rFonts w:hint="eastAsia"/>
                <w:b w:val="0"/>
              </w:rPr>
              <w:t>大</w:t>
            </w:r>
          </w:p>
        </w:tc>
        <w:tc>
          <w:tcPr>
            <w:tcW w:w="1282" w:type="dxa"/>
            <w:tcBorders>
              <w:top w:val="nil"/>
              <w:left w:val="nil"/>
              <w:bottom w:val="nil"/>
              <w:right w:val="nil"/>
            </w:tcBorders>
            <w:shd w:val="clear" w:color="auto" w:fill="FFFFFF"/>
          </w:tcPr>
          <w:p w14:paraId="2E998423">
            <w:pPr>
              <w:pStyle w:val="54"/>
              <w:bidi w:val="0"/>
              <w:rPr>
                <w:b w:val="0"/>
              </w:rPr>
            </w:pPr>
            <w:r>
              <w:rPr>
                <w:rFonts w:hint="eastAsia"/>
                <w:b w:val="0"/>
                <w:lang w:val="en-US" w:eastAsia="zh-CN"/>
              </w:rPr>
              <w:t>&gt;</w:t>
            </w:r>
            <w:r>
              <w:rPr>
                <w:b w:val="0"/>
              </w:rPr>
              <w:t>98</w:t>
            </w:r>
          </w:p>
        </w:tc>
        <w:tc>
          <w:tcPr>
            <w:tcW w:w="1282" w:type="dxa"/>
            <w:tcBorders>
              <w:top w:val="nil"/>
              <w:left w:val="nil"/>
              <w:bottom w:val="nil"/>
              <w:right w:val="nil"/>
            </w:tcBorders>
            <w:shd w:val="clear" w:color="auto" w:fill="FFFFFF"/>
          </w:tcPr>
          <w:p w14:paraId="7AFACDCB">
            <w:pPr>
              <w:pStyle w:val="54"/>
              <w:bidi w:val="0"/>
              <w:rPr>
                <w:b w:val="0"/>
              </w:rPr>
            </w:pPr>
            <w:r>
              <w:rPr>
                <w:rFonts w:hint="eastAsia"/>
                <w:b w:val="0"/>
                <w:lang w:val="en-US" w:eastAsia="zh-CN"/>
              </w:rPr>
              <w:t>&gt;</w:t>
            </w:r>
            <w:r>
              <w:rPr>
                <w:b w:val="0"/>
              </w:rPr>
              <w:t>37</w:t>
            </w:r>
          </w:p>
        </w:tc>
        <w:tc>
          <w:tcPr>
            <w:tcBorders>
              <w:top w:val="nil"/>
              <w:left w:val="nil"/>
              <w:bottom w:val="nil"/>
              <w:right w:val="nil"/>
            </w:tcBorders>
            <w:shd w:val="clear" w:color="auto" w:fill="FFFFFF"/>
          </w:tcPr>
          <w:p w14:paraId="5BB44EED">
            <w:pPr>
              <w:pStyle w:val="54"/>
              <w:bidi w:val="0"/>
              <w:rPr>
                <w:b w:val="0"/>
              </w:rPr>
            </w:pPr>
            <w:r>
              <w:rPr>
                <w:rFonts w:hint="eastAsia"/>
                <w:b w:val="0"/>
                <w:lang w:val="en-US" w:eastAsia="zh-CN"/>
              </w:rPr>
              <w:t>&gt;</w:t>
            </w:r>
            <w:r>
              <w:rPr>
                <w:b w:val="0"/>
              </w:rPr>
              <w:t>11</w:t>
            </w:r>
          </w:p>
        </w:tc>
        <w:tc>
          <w:tcPr>
            <w:tcBorders>
              <w:top w:val="nil"/>
              <w:left w:val="nil"/>
              <w:bottom w:val="nil"/>
              <w:right w:val="nil"/>
            </w:tcBorders>
            <w:shd w:val="clear" w:color="auto" w:fill="FFFFFF"/>
          </w:tcPr>
          <w:p w14:paraId="254B8906">
            <w:pPr>
              <w:pStyle w:val="54"/>
              <w:bidi w:val="0"/>
              <w:rPr>
                <w:b w:val="0"/>
              </w:rPr>
            </w:pPr>
            <w:r>
              <w:rPr>
                <w:b w:val="0"/>
              </w:rPr>
              <w:t>110×42×12</w:t>
            </w:r>
          </w:p>
        </w:tc>
        <w:tc>
          <w:tcPr>
            <w:tcBorders>
              <w:top w:val="nil"/>
              <w:left w:val="nil"/>
              <w:bottom w:val="nil"/>
              <w:right w:val="nil"/>
            </w:tcBorders>
            <w:shd w:val="clear" w:color="auto" w:fill="FFFFFF"/>
          </w:tcPr>
          <w:p w14:paraId="742F3292">
            <w:pPr>
              <w:pStyle w:val="54"/>
              <w:bidi w:val="0"/>
              <w:rPr>
                <w:b w:val="0"/>
              </w:rPr>
            </w:pPr>
            <w:r>
              <w:rPr>
                <w:b w:val="0"/>
              </w:rPr>
              <w:t>3</w:t>
            </w:r>
          </w:p>
        </w:tc>
      </w:tr>
      <w:tr w14:paraId="623B5951">
        <w:tblPrEx>
          <w:tblCellMar>
            <w:top w:w="0" w:type="dxa"/>
            <w:left w:w="108" w:type="dxa"/>
            <w:bottom w:w="0" w:type="dxa"/>
            <w:right w:w="108" w:type="dxa"/>
          </w:tblCellMar>
        </w:tblPrEx>
        <w:tc>
          <w:tcPr>
            <w:tcBorders>
              <w:top w:val="nil"/>
              <w:left w:val="nil"/>
              <w:bottom w:val="nil"/>
              <w:right w:val="nil"/>
            </w:tcBorders>
            <w:shd w:val="clear" w:color="auto" w:fill="FFFFFF"/>
          </w:tcPr>
          <w:p w14:paraId="65FC339A">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2934B085">
            <w:pPr>
              <w:pStyle w:val="54"/>
              <w:bidi w:val="0"/>
              <w:rPr>
                <w:b w:val="0"/>
              </w:rPr>
            </w:pPr>
            <w:r>
              <w:rPr>
                <w:rFonts w:hint="eastAsia"/>
                <w:b w:val="0"/>
              </w:rPr>
              <w:t>总装车间</w:t>
            </w:r>
          </w:p>
        </w:tc>
        <w:tc>
          <w:tcPr>
            <w:tcBorders>
              <w:top w:val="nil"/>
              <w:left w:val="nil"/>
              <w:bottom w:val="nil"/>
              <w:right w:val="nil"/>
            </w:tcBorders>
            <w:shd w:val="clear" w:color="auto" w:fill="FFFFFF"/>
          </w:tcPr>
          <w:p w14:paraId="534ABFC2">
            <w:pPr>
              <w:pStyle w:val="54"/>
              <w:bidi w:val="0"/>
              <w:rPr>
                <w:b w:val="0"/>
              </w:rPr>
            </w:pPr>
            <w:r>
              <w:rPr>
                <w:rFonts w:hint="eastAsia"/>
                <w:b w:val="0"/>
              </w:rPr>
              <w:t>小</w:t>
            </w:r>
          </w:p>
        </w:tc>
        <w:tc>
          <w:tcPr>
            <w:tcW w:w="1282" w:type="dxa"/>
            <w:tcBorders>
              <w:top w:val="nil"/>
              <w:left w:val="nil"/>
              <w:bottom w:val="nil"/>
              <w:right w:val="nil"/>
            </w:tcBorders>
            <w:shd w:val="clear" w:color="auto" w:fill="FFFFFF"/>
          </w:tcPr>
          <w:p w14:paraId="37CC0F91">
            <w:pPr>
              <w:pStyle w:val="54"/>
              <w:bidi w:val="0"/>
              <w:rPr>
                <w:b w:val="0"/>
              </w:rPr>
            </w:pPr>
            <w:r>
              <w:rPr>
                <w:rFonts w:hint="eastAsia"/>
                <w:b w:val="0"/>
                <w:lang w:val="en-US" w:eastAsia="zh-CN"/>
              </w:rPr>
              <w:t>&lt;</w:t>
            </w:r>
            <w:r>
              <w:rPr>
                <w:b w:val="0"/>
              </w:rPr>
              <w:t>158</w:t>
            </w:r>
          </w:p>
        </w:tc>
        <w:tc>
          <w:tcPr>
            <w:tcW w:w="1282" w:type="dxa"/>
            <w:tcBorders>
              <w:top w:val="nil"/>
              <w:left w:val="nil"/>
              <w:bottom w:val="nil"/>
              <w:right w:val="nil"/>
            </w:tcBorders>
            <w:shd w:val="clear" w:color="auto" w:fill="FFFFFF"/>
          </w:tcPr>
          <w:p w14:paraId="114D961F">
            <w:pPr>
              <w:pStyle w:val="54"/>
              <w:bidi w:val="0"/>
              <w:rPr>
                <w:b w:val="0"/>
              </w:rPr>
            </w:pPr>
            <w:r>
              <w:rPr>
                <w:rFonts w:hint="eastAsia"/>
                <w:b w:val="0"/>
                <w:lang w:val="en-US" w:eastAsia="zh-CN"/>
              </w:rPr>
              <w:t>&lt;</w:t>
            </w:r>
            <w:r>
              <w:rPr>
                <w:b w:val="0"/>
              </w:rPr>
              <w:t>115</w:t>
            </w:r>
          </w:p>
        </w:tc>
        <w:tc>
          <w:tcPr>
            <w:tcBorders>
              <w:top w:val="nil"/>
              <w:left w:val="nil"/>
              <w:bottom w:val="nil"/>
              <w:right w:val="nil"/>
            </w:tcBorders>
            <w:shd w:val="clear" w:color="auto" w:fill="FFFFFF"/>
          </w:tcPr>
          <w:p w14:paraId="68C843FD">
            <w:pPr>
              <w:pStyle w:val="54"/>
              <w:bidi w:val="0"/>
              <w:rPr>
                <w:b w:val="0"/>
              </w:rPr>
            </w:pPr>
            <w:r>
              <w:rPr>
                <w:rFonts w:hint="eastAsia"/>
                <w:b w:val="0"/>
                <w:lang w:val="en-US" w:eastAsia="zh-CN"/>
              </w:rPr>
              <w:t>&lt;</w:t>
            </w:r>
            <w:r>
              <w:rPr>
                <w:b w:val="0"/>
              </w:rPr>
              <w:t>30</w:t>
            </w:r>
          </w:p>
        </w:tc>
        <w:tc>
          <w:tcPr>
            <w:tcBorders>
              <w:top w:val="nil"/>
              <w:left w:val="nil"/>
              <w:bottom w:val="nil"/>
              <w:right w:val="nil"/>
            </w:tcBorders>
            <w:shd w:val="clear" w:color="auto" w:fill="FFFFFF"/>
          </w:tcPr>
          <w:p w14:paraId="1451F42E">
            <w:pPr>
              <w:pStyle w:val="54"/>
              <w:bidi w:val="0"/>
              <w:rPr>
                <w:b w:val="0"/>
              </w:rPr>
            </w:pPr>
            <w:r>
              <w:rPr>
                <w:b w:val="0"/>
              </w:rPr>
              <w:t>140×100×28</w:t>
            </w:r>
          </w:p>
        </w:tc>
        <w:tc>
          <w:tcPr>
            <w:tcBorders>
              <w:top w:val="nil"/>
              <w:left w:val="nil"/>
              <w:bottom w:val="nil"/>
              <w:right w:val="nil"/>
            </w:tcBorders>
            <w:shd w:val="clear" w:color="auto" w:fill="FFFFFF"/>
          </w:tcPr>
          <w:p w14:paraId="2084B217">
            <w:pPr>
              <w:pStyle w:val="54"/>
              <w:bidi w:val="0"/>
              <w:rPr>
                <w:b w:val="0"/>
              </w:rPr>
            </w:pPr>
            <w:r>
              <w:rPr>
                <w:b w:val="0"/>
              </w:rPr>
              <w:t>1</w:t>
            </w:r>
          </w:p>
        </w:tc>
      </w:tr>
      <w:tr w14:paraId="68154467">
        <w:tblPrEx>
          <w:tblCellMar>
            <w:top w:w="0" w:type="dxa"/>
            <w:left w:w="108" w:type="dxa"/>
            <w:bottom w:w="0" w:type="dxa"/>
            <w:right w:w="108" w:type="dxa"/>
          </w:tblCellMar>
        </w:tblPrEx>
        <w:tc>
          <w:tcPr>
            <w:tcBorders>
              <w:top w:val="nil"/>
              <w:left w:val="nil"/>
              <w:bottom w:val="nil"/>
              <w:right w:val="nil"/>
            </w:tcBorders>
            <w:shd w:val="clear" w:color="auto" w:fill="FFFFFF"/>
          </w:tcPr>
          <w:p w14:paraId="7820D742">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47FE86AB">
            <w:pPr>
              <w:pStyle w:val="54"/>
              <w:bidi w:val="0"/>
              <w:rPr>
                <w:b w:val="0"/>
              </w:rPr>
            </w:pPr>
            <w:r>
              <w:rPr>
                <w:rFonts w:hint="eastAsia"/>
                <w:b w:val="0"/>
              </w:rPr>
              <w:t>总装车间</w:t>
            </w:r>
          </w:p>
        </w:tc>
        <w:tc>
          <w:tcPr>
            <w:tcBorders>
              <w:top w:val="nil"/>
              <w:left w:val="nil"/>
              <w:bottom w:val="nil"/>
              <w:right w:val="nil"/>
            </w:tcBorders>
            <w:shd w:val="clear" w:color="auto" w:fill="FFFFFF"/>
          </w:tcPr>
          <w:p w14:paraId="1586D070">
            <w:pPr>
              <w:pStyle w:val="54"/>
              <w:bidi w:val="0"/>
              <w:rPr>
                <w:b w:val="0"/>
              </w:rPr>
            </w:pPr>
            <w:r>
              <w:rPr>
                <w:rFonts w:hint="eastAsia"/>
                <w:b w:val="0"/>
              </w:rPr>
              <w:t>中</w:t>
            </w:r>
          </w:p>
        </w:tc>
        <w:tc>
          <w:tcPr>
            <w:tcW w:w="1282" w:type="dxa"/>
            <w:tcBorders>
              <w:top w:val="nil"/>
              <w:left w:val="nil"/>
              <w:bottom w:val="nil"/>
              <w:right w:val="nil"/>
            </w:tcBorders>
            <w:shd w:val="clear" w:color="auto" w:fill="FFFFFF"/>
          </w:tcPr>
          <w:p w14:paraId="6BF8B7BC">
            <w:pPr>
              <w:pStyle w:val="54"/>
              <w:bidi w:val="0"/>
              <w:rPr>
                <w:b w:val="0"/>
              </w:rPr>
            </w:pPr>
            <w:r>
              <w:rPr>
                <w:b w:val="0"/>
              </w:rPr>
              <w:t>158–195</w:t>
            </w:r>
          </w:p>
        </w:tc>
        <w:tc>
          <w:tcPr>
            <w:tcW w:w="1282" w:type="dxa"/>
            <w:tcBorders>
              <w:top w:val="nil"/>
              <w:left w:val="nil"/>
              <w:bottom w:val="nil"/>
              <w:right w:val="nil"/>
            </w:tcBorders>
            <w:shd w:val="clear" w:color="auto" w:fill="FFFFFF"/>
          </w:tcPr>
          <w:p w14:paraId="63012377">
            <w:pPr>
              <w:pStyle w:val="54"/>
              <w:bidi w:val="0"/>
              <w:rPr>
                <w:b w:val="0"/>
              </w:rPr>
            </w:pPr>
            <w:r>
              <w:rPr>
                <w:b w:val="0"/>
              </w:rPr>
              <w:t>115–145</w:t>
            </w:r>
          </w:p>
        </w:tc>
        <w:tc>
          <w:tcPr>
            <w:tcBorders>
              <w:top w:val="nil"/>
              <w:left w:val="nil"/>
              <w:bottom w:val="nil"/>
              <w:right w:val="nil"/>
            </w:tcBorders>
            <w:shd w:val="clear" w:color="auto" w:fill="FFFFFF"/>
          </w:tcPr>
          <w:p w14:paraId="1141A53C">
            <w:pPr>
              <w:pStyle w:val="54"/>
              <w:bidi w:val="0"/>
              <w:rPr>
                <w:b w:val="0"/>
              </w:rPr>
            </w:pPr>
            <w:r>
              <w:rPr>
                <w:b w:val="0"/>
              </w:rPr>
              <w:t>30–34</w:t>
            </w:r>
          </w:p>
        </w:tc>
        <w:tc>
          <w:tcPr>
            <w:tcBorders>
              <w:top w:val="nil"/>
              <w:left w:val="nil"/>
              <w:bottom w:val="nil"/>
              <w:right w:val="nil"/>
            </w:tcBorders>
            <w:shd w:val="clear" w:color="auto" w:fill="FFFFFF"/>
          </w:tcPr>
          <w:p w14:paraId="382E0D80">
            <w:pPr>
              <w:pStyle w:val="54"/>
              <w:bidi w:val="0"/>
              <w:rPr>
                <w:b w:val="0"/>
              </w:rPr>
            </w:pPr>
            <w:r>
              <w:rPr>
                <w:b w:val="0"/>
              </w:rPr>
              <w:t>175×130×32</w:t>
            </w:r>
          </w:p>
        </w:tc>
        <w:tc>
          <w:tcPr>
            <w:tcBorders>
              <w:top w:val="nil"/>
              <w:left w:val="nil"/>
              <w:bottom w:val="nil"/>
              <w:right w:val="nil"/>
            </w:tcBorders>
            <w:shd w:val="clear" w:color="auto" w:fill="FFFFFF"/>
          </w:tcPr>
          <w:p w14:paraId="356E811A">
            <w:pPr>
              <w:pStyle w:val="54"/>
              <w:bidi w:val="0"/>
              <w:rPr>
                <w:b w:val="0"/>
              </w:rPr>
            </w:pPr>
            <w:r>
              <w:rPr>
                <w:b w:val="0"/>
              </w:rPr>
              <w:t>1</w:t>
            </w:r>
          </w:p>
        </w:tc>
      </w:tr>
      <w:tr w14:paraId="5D581673">
        <w:tblPrEx>
          <w:tblCellMar>
            <w:top w:w="0" w:type="dxa"/>
            <w:left w:w="108" w:type="dxa"/>
            <w:bottom w:w="0" w:type="dxa"/>
            <w:right w:w="108" w:type="dxa"/>
          </w:tblCellMar>
        </w:tblPrEx>
        <w:tc>
          <w:tcPr>
            <w:tcBorders>
              <w:top w:val="nil"/>
              <w:left w:val="nil"/>
              <w:bottom w:val="nil"/>
              <w:right w:val="nil"/>
            </w:tcBorders>
            <w:shd w:val="clear" w:color="auto" w:fill="FFFFFF"/>
          </w:tcPr>
          <w:p w14:paraId="624D0E3C">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2353318F">
            <w:pPr>
              <w:pStyle w:val="54"/>
              <w:bidi w:val="0"/>
              <w:rPr>
                <w:b w:val="0"/>
              </w:rPr>
            </w:pPr>
            <w:r>
              <w:rPr>
                <w:rFonts w:hint="eastAsia"/>
                <w:b w:val="0"/>
              </w:rPr>
              <w:t>总装车间</w:t>
            </w:r>
          </w:p>
        </w:tc>
        <w:tc>
          <w:tcPr>
            <w:tcBorders>
              <w:top w:val="nil"/>
              <w:left w:val="nil"/>
              <w:bottom w:val="nil"/>
              <w:right w:val="nil"/>
            </w:tcBorders>
            <w:shd w:val="clear" w:color="auto" w:fill="FFFFFF"/>
          </w:tcPr>
          <w:p w14:paraId="7B2988F1">
            <w:pPr>
              <w:pStyle w:val="54"/>
              <w:bidi w:val="0"/>
              <w:rPr>
                <w:b w:val="0"/>
              </w:rPr>
            </w:pPr>
            <w:r>
              <w:rPr>
                <w:rFonts w:hint="eastAsia"/>
                <w:b w:val="0"/>
              </w:rPr>
              <w:t>大</w:t>
            </w:r>
          </w:p>
        </w:tc>
        <w:tc>
          <w:tcPr>
            <w:tcW w:w="1282" w:type="dxa"/>
            <w:tcBorders>
              <w:top w:val="nil"/>
              <w:left w:val="nil"/>
              <w:bottom w:val="nil"/>
              <w:right w:val="nil"/>
            </w:tcBorders>
            <w:shd w:val="clear" w:color="auto" w:fill="FFFFFF"/>
          </w:tcPr>
          <w:p w14:paraId="6C7C0CB0">
            <w:pPr>
              <w:pStyle w:val="54"/>
              <w:bidi w:val="0"/>
              <w:rPr>
                <w:b w:val="0"/>
              </w:rPr>
            </w:pPr>
            <w:r>
              <w:rPr>
                <w:rFonts w:hint="eastAsia"/>
                <w:b w:val="0"/>
                <w:lang w:val="en-US" w:eastAsia="zh-CN"/>
              </w:rPr>
              <w:t>&gt;</w:t>
            </w:r>
            <w:r>
              <w:rPr>
                <w:b w:val="0"/>
              </w:rPr>
              <w:t>195</w:t>
            </w:r>
          </w:p>
        </w:tc>
        <w:tc>
          <w:tcPr>
            <w:tcW w:w="1282" w:type="dxa"/>
            <w:tcBorders>
              <w:top w:val="nil"/>
              <w:left w:val="nil"/>
              <w:bottom w:val="nil"/>
              <w:right w:val="nil"/>
            </w:tcBorders>
            <w:shd w:val="clear" w:color="auto" w:fill="FFFFFF"/>
          </w:tcPr>
          <w:p w14:paraId="67C69E60">
            <w:pPr>
              <w:pStyle w:val="54"/>
              <w:bidi w:val="0"/>
              <w:rPr>
                <w:b w:val="0"/>
              </w:rPr>
            </w:pPr>
            <w:r>
              <w:rPr>
                <w:rFonts w:hint="eastAsia"/>
                <w:b w:val="0"/>
                <w:lang w:val="en-US" w:eastAsia="zh-CN"/>
              </w:rPr>
              <w:t>&gt;</w:t>
            </w:r>
            <w:r>
              <w:rPr>
                <w:b w:val="0"/>
              </w:rPr>
              <w:t>145</w:t>
            </w:r>
          </w:p>
        </w:tc>
        <w:tc>
          <w:tcPr>
            <w:tcBorders>
              <w:top w:val="nil"/>
              <w:left w:val="nil"/>
              <w:bottom w:val="nil"/>
              <w:right w:val="nil"/>
            </w:tcBorders>
            <w:shd w:val="clear" w:color="auto" w:fill="FFFFFF"/>
          </w:tcPr>
          <w:p w14:paraId="4971CFDF">
            <w:pPr>
              <w:pStyle w:val="54"/>
              <w:bidi w:val="0"/>
              <w:rPr>
                <w:rFonts w:hint="eastAsia" w:eastAsia="宋体"/>
                <w:b w:val="0"/>
                <w:lang w:eastAsia="zh-CN"/>
              </w:rPr>
            </w:pPr>
            <w:r>
              <w:rPr>
                <w:rFonts w:hint="eastAsia"/>
                <w:b w:val="0"/>
                <w:lang w:val="en-US" w:eastAsia="zh-CN"/>
              </w:rPr>
              <w:t>&gt;</w:t>
            </w:r>
            <w:r>
              <w:rPr>
                <w:b w:val="0"/>
              </w:rPr>
              <w:t>3</w:t>
            </w:r>
            <w:r>
              <w:rPr>
                <w:rFonts w:hint="eastAsia"/>
                <w:b w:val="0"/>
                <w:lang w:val="en-US" w:eastAsia="zh-CN"/>
              </w:rPr>
              <w:t>4</w:t>
            </w:r>
          </w:p>
        </w:tc>
        <w:tc>
          <w:tcPr>
            <w:tcBorders>
              <w:top w:val="nil"/>
              <w:left w:val="nil"/>
              <w:bottom w:val="nil"/>
              <w:right w:val="nil"/>
            </w:tcBorders>
            <w:shd w:val="clear" w:color="auto" w:fill="FFFFFF"/>
          </w:tcPr>
          <w:p w14:paraId="02032201">
            <w:pPr>
              <w:pStyle w:val="54"/>
              <w:bidi w:val="0"/>
              <w:rPr>
                <w:b w:val="0"/>
              </w:rPr>
            </w:pPr>
            <w:r>
              <w:rPr>
                <w:b w:val="0"/>
              </w:rPr>
              <w:t>215×160×35</w:t>
            </w:r>
          </w:p>
        </w:tc>
        <w:tc>
          <w:tcPr>
            <w:tcBorders>
              <w:top w:val="nil"/>
              <w:left w:val="nil"/>
              <w:bottom w:val="nil"/>
              <w:right w:val="nil"/>
            </w:tcBorders>
            <w:shd w:val="clear" w:color="auto" w:fill="FFFFFF"/>
          </w:tcPr>
          <w:p w14:paraId="65C3D8F5">
            <w:pPr>
              <w:pStyle w:val="54"/>
              <w:bidi w:val="0"/>
              <w:rPr>
                <w:b w:val="0"/>
              </w:rPr>
            </w:pPr>
            <w:r>
              <w:rPr>
                <w:b w:val="0"/>
              </w:rPr>
              <w:t>1</w:t>
            </w:r>
          </w:p>
        </w:tc>
      </w:tr>
      <w:tr w14:paraId="465BE03B">
        <w:tc>
          <w:tcPr>
            <w:tcBorders>
              <w:top w:val="nil"/>
              <w:left w:val="nil"/>
              <w:bottom w:val="nil"/>
              <w:right w:val="nil"/>
            </w:tcBorders>
            <w:shd w:val="clear" w:color="auto" w:fill="FFFFFF"/>
          </w:tcPr>
          <w:p w14:paraId="70F5AB38">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092187D6">
            <w:pPr>
              <w:pStyle w:val="54"/>
              <w:bidi w:val="0"/>
              <w:rPr>
                <w:b w:val="0"/>
              </w:rPr>
            </w:pPr>
            <w:r>
              <w:rPr>
                <w:rFonts w:hint="eastAsia"/>
                <w:b w:val="0"/>
              </w:rPr>
              <w:t>部装车间</w:t>
            </w:r>
          </w:p>
        </w:tc>
        <w:tc>
          <w:tcPr>
            <w:tcBorders>
              <w:top w:val="nil"/>
              <w:left w:val="nil"/>
              <w:bottom w:val="nil"/>
              <w:right w:val="nil"/>
            </w:tcBorders>
            <w:shd w:val="clear" w:color="auto" w:fill="FFFFFF"/>
          </w:tcPr>
          <w:p w14:paraId="02B281F7">
            <w:pPr>
              <w:pStyle w:val="54"/>
              <w:bidi w:val="0"/>
              <w:rPr>
                <w:b w:val="0"/>
              </w:rPr>
            </w:pPr>
            <w:r>
              <w:rPr>
                <w:rFonts w:hint="eastAsia"/>
                <w:b w:val="0"/>
              </w:rPr>
              <w:t>小</w:t>
            </w:r>
          </w:p>
        </w:tc>
        <w:tc>
          <w:tcPr>
            <w:tcW w:w="1282" w:type="dxa"/>
            <w:tcBorders>
              <w:top w:val="nil"/>
              <w:left w:val="nil"/>
              <w:bottom w:val="nil"/>
              <w:right w:val="nil"/>
            </w:tcBorders>
            <w:shd w:val="clear" w:color="auto" w:fill="FFFFFF"/>
          </w:tcPr>
          <w:p w14:paraId="6F8EA273">
            <w:pPr>
              <w:pStyle w:val="54"/>
              <w:bidi w:val="0"/>
              <w:rPr>
                <w:b w:val="0"/>
              </w:rPr>
            </w:pPr>
            <w:r>
              <w:rPr>
                <w:rFonts w:hint="eastAsia"/>
                <w:b w:val="0"/>
                <w:lang w:val="en-US" w:eastAsia="zh-CN"/>
              </w:rPr>
              <w:t>&lt;</w:t>
            </w:r>
            <w:r>
              <w:rPr>
                <w:b w:val="0"/>
              </w:rPr>
              <w:t>120</w:t>
            </w:r>
          </w:p>
        </w:tc>
        <w:tc>
          <w:tcPr>
            <w:tcW w:w="1282" w:type="dxa"/>
            <w:tcBorders>
              <w:top w:val="nil"/>
              <w:left w:val="nil"/>
              <w:bottom w:val="nil"/>
              <w:right w:val="nil"/>
            </w:tcBorders>
            <w:shd w:val="clear" w:color="auto" w:fill="FFFFFF"/>
          </w:tcPr>
          <w:p w14:paraId="7812E54A">
            <w:pPr>
              <w:pStyle w:val="54"/>
              <w:bidi w:val="0"/>
              <w:rPr>
                <w:b w:val="0"/>
              </w:rPr>
            </w:pPr>
            <w:r>
              <w:rPr>
                <w:rFonts w:hint="eastAsia"/>
                <w:b w:val="0"/>
                <w:lang w:val="en-US" w:eastAsia="zh-CN"/>
              </w:rPr>
              <w:t>&lt;</w:t>
            </w:r>
            <w:r>
              <w:rPr>
                <w:b w:val="0"/>
              </w:rPr>
              <w:t>55</w:t>
            </w:r>
          </w:p>
        </w:tc>
        <w:tc>
          <w:tcPr>
            <w:tcBorders>
              <w:top w:val="nil"/>
              <w:left w:val="nil"/>
              <w:bottom w:val="nil"/>
              <w:right w:val="nil"/>
            </w:tcBorders>
            <w:shd w:val="clear" w:color="auto" w:fill="FFFFFF"/>
          </w:tcPr>
          <w:p w14:paraId="5A82752A">
            <w:pPr>
              <w:pStyle w:val="54"/>
              <w:bidi w:val="0"/>
              <w:rPr>
                <w:b w:val="0"/>
              </w:rPr>
            </w:pPr>
            <w:r>
              <w:rPr>
                <w:rFonts w:hint="eastAsia"/>
                <w:b w:val="0"/>
                <w:lang w:val="en-US" w:eastAsia="zh-CN"/>
              </w:rPr>
              <w:t>&lt;</w:t>
            </w:r>
            <w:r>
              <w:rPr>
                <w:b w:val="0"/>
              </w:rPr>
              <w:t>13</w:t>
            </w:r>
          </w:p>
        </w:tc>
        <w:tc>
          <w:tcPr>
            <w:tcBorders>
              <w:top w:val="nil"/>
              <w:left w:val="nil"/>
              <w:bottom w:val="nil"/>
              <w:right w:val="nil"/>
            </w:tcBorders>
            <w:shd w:val="clear" w:color="auto" w:fill="FFFFFF"/>
          </w:tcPr>
          <w:p w14:paraId="3A87B88D">
            <w:pPr>
              <w:pStyle w:val="54"/>
              <w:bidi w:val="0"/>
              <w:rPr>
                <w:b w:val="0"/>
              </w:rPr>
            </w:pPr>
            <w:r>
              <w:rPr>
                <w:b w:val="0"/>
              </w:rPr>
              <w:t>105×45×10</w:t>
            </w:r>
          </w:p>
        </w:tc>
        <w:tc>
          <w:tcPr>
            <w:tcBorders>
              <w:top w:val="nil"/>
              <w:left w:val="nil"/>
              <w:bottom w:val="nil"/>
              <w:right w:val="nil"/>
            </w:tcBorders>
            <w:shd w:val="clear" w:color="auto" w:fill="FFFFFF"/>
          </w:tcPr>
          <w:p w14:paraId="666FEFC8">
            <w:pPr>
              <w:pStyle w:val="54"/>
              <w:bidi w:val="0"/>
              <w:rPr>
                <w:b w:val="0"/>
              </w:rPr>
            </w:pPr>
            <w:r>
              <w:rPr>
                <w:b w:val="0"/>
              </w:rPr>
              <w:t>1</w:t>
            </w:r>
          </w:p>
        </w:tc>
      </w:tr>
      <w:tr w14:paraId="3F550BD3">
        <w:tblPrEx>
          <w:tblCellMar>
            <w:top w:w="0" w:type="dxa"/>
            <w:left w:w="108" w:type="dxa"/>
            <w:bottom w:w="0" w:type="dxa"/>
            <w:right w:w="108" w:type="dxa"/>
          </w:tblCellMar>
        </w:tblPrEx>
        <w:tc>
          <w:tcPr>
            <w:tcBorders>
              <w:top w:val="nil"/>
              <w:left w:val="nil"/>
              <w:bottom w:val="nil"/>
              <w:right w:val="nil"/>
            </w:tcBorders>
            <w:shd w:val="clear" w:color="auto" w:fill="FFFFFF"/>
          </w:tcPr>
          <w:p w14:paraId="4DBA450A">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3D8FDA49">
            <w:pPr>
              <w:pStyle w:val="54"/>
              <w:bidi w:val="0"/>
              <w:rPr>
                <w:b w:val="0"/>
              </w:rPr>
            </w:pPr>
            <w:r>
              <w:rPr>
                <w:rFonts w:hint="eastAsia"/>
                <w:b w:val="0"/>
              </w:rPr>
              <w:t>部装车间</w:t>
            </w:r>
          </w:p>
        </w:tc>
        <w:tc>
          <w:tcPr>
            <w:tcBorders>
              <w:top w:val="nil"/>
              <w:left w:val="nil"/>
              <w:bottom w:val="nil"/>
              <w:right w:val="nil"/>
            </w:tcBorders>
            <w:shd w:val="clear" w:color="auto" w:fill="FFFFFF"/>
          </w:tcPr>
          <w:p w14:paraId="1CE0E117">
            <w:pPr>
              <w:pStyle w:val="54"/>
              <w:bidi w:val="0"/>
              <w:rPr>
                <w:b w:val="0"/>
              </w:rPr>
            </w:pPr>
            <w:r>
              <w:rPr>
                <w:rFonts w:hint="eastAsia"/>
                <w:b w:val="0"/>
              </w:rPr>
              <w:t>中</w:t>
            </w:r>
          </w:p>
        </w:tc>
        <w:tc>
          <w:tcPr>
            <w:tcW w:w="1282" w:type="dxa"/>
            <w:tcBorders>
              <w:top w:val="nil"/>
              <w:left w:val="nil"/>
              <w:bottom w:val="nil"/>
              <w:right w:val="nil"/>
            </w:tcBorders>
            <w:shd w:val="clear" w:color="auto" w:fill="FFFFFF"/>
          </w:tcPr>
          <w:p w14:paraId="574C77AA">
            <w:pPr>
              <w:pStyle w:val="54"/>
              <w:bidi w:val="0"/>
              <w:rPr>
                <w:b w:val="0"/>
              </w:rPr>
            </w:pPr>
            <w:r>
              <w:rPr>
                <w:b w:val="0"/>
              </w:rPr>
              <w:t>120–155</w:t>
            </w:r>
          </w:p>
        </w:tc>
        <w:tc>
          <w:tcPr>
            <w:tcW w:w="1282" w:type="dxa"/>
            <w:tcBorders>
              <w:top w:val="nil"/>
              <w:left w:val="nil"/>
              <w:bottom w:val="nil"/>
              <w:right w:val="nil"/>
            </w:tcBorders>
            <w:shd w:val="clear" w:color="auto" w:fill="FFFFFF"/>
          </w:tcPr>
          <w:p w14:paraId="1C6E4BEC">
            <w:pPr>
              <w:pStyle w:val="54"/>
              <w:bidi w:val="0"/>
              <w:rPr>
                <w:b w:val="0"/>
              </w:rPr>
            </w:pPr>
            <w:r>
              <w:rPr>
                <w:b w:val="0"/>
              </w:rPr>
              <w:t>55–78</w:t>
            </w:r>
          </w:p>
        </w:tc>
        <w:tc>
          <w:tcPr>
            <w:tcBorders>
              <w:top w:val="nil"/>
              <w:left w:val="nil"/>
              <w:bottom w:val="nil"/>
              <w:right w:val="nil"/>
            </w:tcBorders>
            <w:shd w:val="clear" w:color="auto" w:fill="FFFFFF"/>
          </w:tcPr>
          <w:p w14:paraId="426BA340">
            <w:pPr>
              <w:pStyle w:val="54"/>
              <w:bidi w:val="0"/>
              <w:rPr>
                <w:b w:val="0"/>
              </w:rPr>
            </w:pPr>
            <w:r>
              <w:rPr>
                <w:b w:val="0"/>
              </w:rPr>
              <w:t>13–20</w:t>
            </w:r>
          </w:p>
        </w:tc>
        <w:tc>
          <w:tcPr>
            <w:tcBorders>
              <w:top w:val="nil"/>
              <w:left w:val="nil"/>
              <w:bottom w:val="nil"/>
              <w:right w:val="nil"/>
            </w:tcBorders>
            <w:shd w:val="clear" w:color="auto" w:fill="FFFFFF"/>
          </w:tcPr>
          <w:p w14:paraId="707F8622">
            <w:pPr>
              <w:pStyle w:val="54"/>
              <w:bidi w:val="0"/>
              <w:rPr>
                <w:b w:val="0"/>
              </w:rPr>
            </w:pPr>
            <w:r>
              <w:rPr>
                <w:b w:val="0"/>
              </w:rPr>
              <w:t>137.5×65×16</w:t>
            </w:r>
          </w:p>
        </w:tc>
        <w:tc>
          <w:tcPr>
            <w:tcBorders>
              <w:top w:val="nil"/>
              <w:left w:val="nil"/>
              <w:bottom w:val="nil"/>
              <w:right w:val="nil"/>
            </w:tcBorders>
            <w:shd w:val="clear" w:color="auto" w:fill="FFFFFF"/>
          </w:tcPr>
          <w:p w14:paraId="7773EA6E">
            <w:pPr>
              <w:pStyle w:val="54"/>
              <w:bidi w:val="0"/>
              <w:rPr>
                <w:b w:val="0"/>
              </w:rPr>
            </w:pPr>
            <w:r>
              <w:rPr>
                <w:b w:val="0"/>
              </w:rPr>
              <w:t>1</w:t>
            </w:r>
          </w:p>
        </w:tc>
      </w:tr>
      <w:tr w14:paraId="3477C318">
        <w:tblPrEx>
          <w:tblCellMar>
            <w:top w:w="0" w:type="dxa"/>
            <w:left w:w="108" w:type="dxa"/>
            <w:bottom w:w="0" w:type="dxa"/>
            <w:right w:w="108" w:type="dxa"/>
          </w:tblCellMar>
        </w:tblPrEx>
        <w:tc>
          <w:tcPr>
            <w:tcBorders>
              <w:top w:val="nil"/>
              <w:left w:val="nil"/>
              <w:bottom w:val="nil"/>
              <w:right w:val="nil"/>
            </w:tcBorders>
            <w:shd w:val="clear" w:color="auto" w:fill="FFFFFF"/>
          </w:tcPr>
          <w:p w14:paraId="3EF7BC3B">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2915F6C9">
            <w:pPr>
              <w:pStyle w:val="54"/>
              <w:bidi w:val="0"/>
              <w:rPr>
                <w:b w:val="0"/>
              </w:rPr>
            </w:pPr>
            <w:r>
              <w:rPr>
                <w:rFonts w:hint="eastAsia"/>
                <w:b w:val="0"/>
              </w:rPr>
              <w:t>部装车间</w:t>
            </w:r>
          </w:p>
        </w:tc>
        <w:tc>
          <w:tcPr>
            <w:tcBorders>
              <w:top w:val="nil"/>
              <w:left w:val="nil"/>
              <w:bottom w:val="nil"/>
              <w:right w:val="nil"/>
            </w:tcBorders>
            <w:shd w:val="clear" w:color="auto" w:fill="FFFFFF"/>
          </w:tcPr>
          <w:p w14:paraId="67239EE0">
            <w:pPr>
              <w:pStyle w:val="54"/>
              <w:bidi w:val="0"/>
              <w:rPr>
                <w:b w:val="0"/>
              </w:rPr>
            </w:pPr>
            <w:r>
              <w:rPr>
                <w:rFonts w:hint="eastAsia"/>
                <w:b w:val="0"/>
              </w:rPr>
              <w:t>大</w:t>
            </w:r>
          </w:p>
        </w:tc>
        <w:tc>
          <w:tcPr>
            <w:tcW w:w="1282" w:type="dxa"/>
            <w:tcBorders>
              <w:top w:val="nil"/>
              <w:left w:val="nil"/>
              <w:bottom w:val="nil"/>
              <w:right w:val="nil"/>
            </w:tcBorders>
            <w:shd w:val="clear" w:color="auto" w:fill="FFFFFF"/>
          </w:tcPr>
          <w:p w14:paraId="608F0EB3">
            <w:pPr>
              <w:pStyle w:val="54"/>
              <w:bidi w:val="0"/>
              <w:rPr>
                <w:b w:val="0"/>
              </w:rPr>
            </w:pPr>
            <w:r>
              <w:rPr>
                <w:rFonts w:hint="eastAsia"/>
                <w:b w:val="0"/>
                <w:lang w:val="en-US" w:eastAsia="zh-CN"/>
              </w:rPr>
              <w:t>&gt;</w:t>
            </w:r>
            <w:r>
              <w:rPr>
                <w:b w:val="0"/>
              </w:rPr>
              <w:t>155</w:t>
            </w:r>
          </w:p>
        </w:tc>
        <w:tc>
          <w:tcPr>
            <w:tcW w:w="1282" w:type="dxa"/>
            <w:tcBorders>
              <w:top w:val="nil"/>
              <w:left w:val="nil"/>
              <w:bottom w:val="nil"/>
              <w:right w:val="nil"/>
            </w:tcBorders>
            <w:shd w:val="clear" w:color="auto" w:fill="FFFFFF"/>
          </w:tcPr>
          <w:p w14:paraId="560A681C">
            <w:pPr>
              <w:pStyle w:val="54"/>
              <w:bidi w:val="0"/>
              <w:rPr>
                <w:b w:val="0"/>
              </w:rPr>
            </w:pPr>
            <w:r>
              <w:rPr>
                <w:rFonts w:hint="eastAsia"/>
                <w:b w:val="0"/>
                <w:lang w:val="en-US" w:eastAsia="zh-CN"/>
              </w:rPr>
              <w:t>&gt;</w:t>
            </w:r>
            <w:r>
              <w:rPr>
                <w:b w:val="0"/>
              </w:rPr>
              <w:t>78</w:t>
            </w:r>
          </w:p>
        </w:tc>
        <w:tc>
          <w:tcPr>
            <w:tcBorders>
              <w:top w:val="nil"/>
              <w:left w:val="nil"/>
              <w:bottom w:val="nil"/>
              <w:right w:val="nil"/>
            </w:tcBorders>
            <w:shd w:val="clear" w:color="auto" w:fill="FFFFFF"/>
          </w:tcPr>
          <w:p w14:paraId="507EB7F1">
            <w:pPr>
              <w:pStyle w:val="54"/>
              <w:bidi w:val="0"/>
              <w:rPr>
                <w:b w:val="0"/>
              </w:rPr>
            </w:pPr>
            <w:r>
              <w:rPr>
                <w:rFonts w:hint="eastAsia"/>
                <w:b w:val="0"/>
                <w:lang w:val="en-US" w:eastAsia="zh-CN"/>
              </w:rPr>
              <w:t>&gt;</w:t>
            </w:r>
            <w:r>
              <w:rPr>
                <w:b w:val="0"/>
              </w:rPr>
              <w:t>20</w:t>
            </w:r>
          </w:p>
        </w:tc>
        <w:tc>
          <w:tcPr>
            <w:tcBorders>
              <w:top w:val="nil"/>
              <w:left w:val="nil"/>
              <w:bottom w:val="nil"/>
              <w:right w:val="nil"/>
            </w:tcBorders>
            <w:shd w:val="clear" w:color="auto" w:fill="FFFFFF"/>
          </w:tcPr>
          <w:p w14:paraId="47C5AF60">
            <w:pPr>
              <w:pStyle w:val="54"/>
              <w:bidi w:val="0"/>
              <w:rPr>
                <w:b w:val="0"/>
              </w:rPr>
            </w:pPr>
            <w:r>
              <w:rPr>
                <w:b w:val="0"/>
              </w:rPr>
              <w:t>170×90×24</w:t>
            </w:r>
          </w:p>
        </w:tc>
        <w:tc>
          <w:tcPr>
            <w:tcBorders>
              <w:top w:val="nil"/>
              <w:left w:val="nil"/>
              <w:bottom w:val="nil"/>
              <w:right w:val="nil"/>
            </w:tcBorders>
            <w:shd w:val="clear" w:color="auto" w:fill="FFFFFF"/>
          </w:tcPr>
          <w:p w14:paraId="66100540">
            <w:pPr>
              <w:pStyle w:val="54"/>
              <w:bidi w:val="0"/>
              <w:rPr>
                <w:b w:val="0"/>
              </w:rPr>
            </w:pPr>
            <w:r>
              <w:rPr>
                <w:b w:val="0"/>
              </w:rPr>
              <w:t>2</w:t>
            </w:r>
          </w:p>
        </w:tc>
      </w:tr>
      <w:tr w14:paraId="22CEED8B">
        <w:tblPrEx>
          <w:tblCellMar>
            <w:top w:w="0" w:type="dxa"/>
            <w:left w:w="108" w:type="dxa"/>
            <w:bottom w:w="0" w:type="dxa"/>
            <w:right w:w="108" w:type="dxa"/>
          </w:tblCellMar>
        </w:tblPrEx>
        <w:tc>
          <w:tcPr>
            <w:tcBorders>
              <w:top w:val="nil"/>
              <w:left w:val="nil"/>
              <w:bottom w:val="nil"/>
              <w:right w:val="nil"/>
            </w:tcBorders>
            <w:shd w:val="clear" w:color="auto" w:fill="FFFFFF"/>
          </w:tcPr>
          <w:p w14:paraId="6762A64E">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48DFAE55">
            <w:pPr>
              <w:pStyle w:val="54"/>
              <w:bidi w:val="0"/>
              <w:rPr>
                <w:b w:val="0"/>
              </w:rPr>
            </w:pPr>
            <w:r>
              <w:rPr>
                <w:rFonts w:hint="eastAsia"/>
                <w:b w:val="0"/>
              </w:rPr>
              <w:t>加工厂房</w:t>
            </w:r>
          </w:p>
        </w:tc>
        <w:tc>
          <w:tcPr>
            <w:tcBorders>
              <w:top w:val="nil"/>
              <w:left w:val="nil"/>
              <w:bottom w:val="nil"/>
              <w:right w:val="nil"/>
            </w:tcBorders>
            <w:shd w:val="clear" w:color="auto" w:fill="FFFFFF"/>
          </w:tcPr>
          <w:p w14:paraId="53FD13A2">
            <w:pPr>
              <w:pStyle w:val="54"/>
              <w:bidi w:val="0"/>
              <w:rPr>
                <w:b w:val="0"/>
              </w:rPr>
            </w:pPr>
            <w:r>
              <w:rPr>
                <w:rFonts w:hint="eastAsia"/>
                <w:b w:val="0"/>
              </w:rPr>
              <w:t>小</w:t>
            </w:r>
          </w:p>
        </w:tc>
        <w:tc>
          <w:tcPr>
            <w:tcW w:w="1282" w:type="dxa"/>
            <w:tcBorders>
              <w:top w:val="nil"/>
              <w:left w:val="nil"/>
              <w:bottom w:val="nil"/>
              <w:right w:val="nil"/>
            </w:tcBorders>
            <w:shd w:val="clear" w:color="auto" w:fill="FFFFFF"/>
          </w:tcPr>
          <w:p w14:paraId="6DC06D97">
            <w:pPr>
              <w:pStyle w:val="54"/>
              <w:bidi w:val="0"/>
              <w:rPr>
                <w:b w:val="0"/>
              </w:rPr>
            </w:pPr>
            <w:r>
              <w:rPr>
                <w:rFonts w:hint="eastAsia"/>
                <w:b w:val="0"/>
                <w:lang w:val="en-US" w:eastAsia="zh-CN"/>
              </w:rPr>
              <w:t>&lt;</w:t>
            </w:r>
            <w:r>
              <w:rPr>
                <w:b w:val="0"/>
              </w:rPr>
              <w:t>85</w:t>
            </w:r>
          </w:p>
        </w:tc>
        <w:tc>
          <w:tcPr>
            <w:tcW w:w="1282" w:type="dxa"/>
            <w:tcBorders>
              <w:top w:val="nil"/>
              <w:left w:val="nil"/>
              <w:bottom w:val="nil"/>
              <w:right w:val="nil"/>
            </w:tcBorders>
            <w:shd w:val="clear" w:color="auto" w:fill="FFFFFF"/>
          </w:tcPr>
          <w:p w14:paraId="140CCF76">
            <w:pPr>
              <w:pStyle w:val="54"/>
              <w:bidi w:val="0"/>
              <w:rPr>
                <w:b w:val="0"/>
              </w:rPr>
            </w:pPr>
            <w:r>
              <w:rPr>
                <w:rFonts w:hint="eastAsia"/>
                <w:b w:val="0"/>
                <w:lang w:val="en-US" w:eastAsia="zh-CN"/>
              </w:rPr>
              <w:t>&lt;</w:t>
            </w:r>
            <w:r>
              <w:rPr>
                <w:b w:val="0"/>
              </w:rPr>
              <w:t>48</w:t>
            </w:r>
          </w:p>
        </w:tc>
        <w:tc>
          <w:tcPr>
            <w:tcBorders>
              <w:top w:val="nil"/>
              <w:left w:val="nil"/>
              <w:bottom w:val="nil"/>
              <w:right w:val="nil"/>
            </w:tcBorders>
            <w:shd w:val="clear" w:color="auto" w:fill="FFFFFF"/>
          </w:tcPr>
          <w:p w14:paraId="070DEBF9">
            <w:pPr>
              <w:pStyle w:val="54"/>
              <w:bidi w:val="0"/>
              <w:rPr>
                <w:b w:val="0"/>
              </w:rPr>
            </w:pPr>
            <w:r>
              <w:rPr>
                <w:rFonts w:hint="eastAsia"/>
                <w:b w:val="0"/>
                <w:lang w:val="en-US" w:eastAsia="zh-CN"/>
              </w:rPr>
              <w:t>&lt;</w:t>
            </w:r>
            <w:r>
              <w:rPr>
                <w:b w:val="0"/>
              </w:rPr>
              <w:t>11</w:t>
            </w:r>
          </w:p>
        </w:tc>
        <w:tc>
          <w:tcPr>
            <w:tcBorders>
              <w:top w:val="nil"/>
              <w:left w:val="nil"/>
              <w:bottom w:val="nil"/>
              <w:right w:val="nil"/>
            </w:tcBorders>
            <w:shd w:val="clear" w:color="auto" w:fill="FFFFFF"/>
          </w:tcPr>
          <w:p w14:paraId="5BC53064">
            <w:pPr>
              <w:pStyle w:val="54"/>
              <w:bidi w:val="0"/>
              <w:rPr>
                <w:b w:val="0"/>
              </w:rPr>
            </w:pPr>
            <w:r>
              <w:rPr>
                <w:b w:val="0"/>
              </w:rPr>
              <w:t>75×40×8</w:t>
            </w:r>
          </w:p>
        </w:tc>
        <w:tc>
          <w:tcPr>
            <w:tcBorders>
              <w:top w:val="nil"/>
              <w:left w:val="nil"/>
              <w:bottom w:val="nil"/>
              <w:right w:val="nil"/>
            </w:tcBorders>
            <w:shd w:val="clear" w:color="auto" w:fill="FFFFFF"/>
          </w:tcPr>
          <w:p w14:paraId="2E29CAE3">
            <w:pPr>
              <w:pStyle w:val="54"/>
              <w:bidi w:val="0"/>
              <w:rPr>
                <w:b w:val="0"/>
              </w:rPr>
            </w:pPr>
            <w:r>
              <w:rPr>
                <w:b w:val="0"/>
              </w:rPr>
              <w:t>1</w:t>
            </w:r>
          </w:p>
        </w:tc>
      </w:tr>
      <w:tr w14:paraId="0FF1B3CA">
        <w:tc>
          <w:tcPr>
            <w:tcBorders>
              <w:top w:val="nil"/>
              <w:left w:val="nil"/>
              <w:bottom w:val="nil"/>
              <w:right w:val="nil"/>
            </w:tcBorders>
            <w:shd w:val="clear" w:color="auto" w:fill="FFFFFF"/>
          </w:tcPr>
          <w:p w14:paraId="270EB114">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29125E3D">
            <w:pPr>
              <w:pStyle w:val="54"/>
              <w:bidi w:val="0"/>
              <w:rPr>
                <w:b w:val="0"/>
              </w:rPr>
            </w:pPr>
            <w:r>
              <w:rPr>
                <w:rFonts w:hint="eastAsia"/>
                <w:b w:val="0"/>
              </w:rPr>
              <w:t>加工厂房</w:t>
            </w:r>
          </w:p>
        </w:tc>
        <w:tc>
          <w:tcPr>
            <w:tcBorders>
              <w:top w:val="nil"/>
              <w:left w:val="nil"/>
              <w:bottom w:val="nil"/>
              <w:right w:val="nil"/>
            </w:tcBorders>
            <w:shd w:val="clear" w:color="auto" w:fill="FFFFFF"/>
          </w:tcPr>
          <w:p w14:paraId="3D0247C8">
            <w:pPr>
              <w:pStyle w:val="54"/>
              <w:bidi w:val="0"/>
              <w:rPr>
                <w:b w:val="0"/>
              </w:rPr>
            </w:pPr>
            <w:r>
              <w:rPr>
                <w:rFonts w:hint="eastAsia"/>
                <w:b w:val="0"/>
              </w:rPr>
              <w:t>中</w:t>
            </w:r>
          </w:p>
        </w:tc>
        <w:tc>
          <w:tcPr>
            <w:tcW w:w="1282" w:type="dxa"/>
            <w:tcBorders>
              <w:top w:val="nil"/>
              <w:left w:val="nil"/>
              <w:bottom w:val="nil"/>
              <w:right w:val="nil"/>
            </w:tcBorders>
            <w:shd w:val="clear" w:color="auto" w:fill="FFFFFF"/>
          </w:tcPr>
          <w:p w14:paraId="2F17403F">
            <w:pPr>
              <w:pStyle w:val="54"/>
              <w:bidi w:val="0"/>
              <w:rPr>
                <w:b w:val="0"/>
              </w:rPr>
            </w:pPr>
            <w:r>
              <w:rPr>
                <w:b w:val="0"/>
              </w:rPr>
              <w:t>85–108</w:t>
            </w:r>
          </w:p>
        </w:tc>
        <w:tc>
          <w:tcPr>
            <w:tcW w:w="1282" w:type="dxa"/>
            <w:tcBorders>
              <w:top w:val="nil"/>
              <w:left w:val="nil"/>
              <w:bottom w:val="nil"/>
              <w:right w:val="nil"/>
            </w:tcBorders>
            <w:shd w:val="clear" w:color="auto" w:fill="FFFFFF"/>
          </w:tcPr>
          <w:p w14:paraId="61BD487A">
            <w:pPr>
              <w:pStyle w:val="54"/>
              <w:bidi w:val="0"/>
              <w:rPr>
                <w:b w:val="0"/>
              </w:rPr>
            </w:pPr>
            <w:r>
              <w:rPr>
                <w:b w:val="0"/>
              </w:rPr>
              <w:t>48–65</w:t>
            </w:r>
          </w:p>
        </w:tc>
        <w:tc>
          <w:tcPr>
            <w:tcBorders>
              <w:top w:val="nil"/>
              <w:left w:val="nil"/>
              <w:bottom w:val="nil"/>
              <w:right w:val="nil"/>
            </w:tcBorders>
            <w:shd w:val="clear" w:color="auto" w:fill="FFFFFF"/>
          </w:tcPr>
          <w:p w14:paraId="1816581E">
            <w:pPr>
              <w:pStyle w:val="54"/>
              <w:bidi w:val="0"/>
              <w:rPr>
                <w:b w:val="0"/>
              </w:rPr>
            </w:pPr>
            <w:r>
              <w:rPr>
                <w:b w:val="0"/>
              </w:rPr>
              <w:t>11–15</w:t>
            </w:r>
          </w:p>
        </w:tc>
        <w:tc>
          <w:tcPr>
            <w:tcBorders>
              <w:top w:val="nil"/>
              <w:left w:val="nil"/>
              <w:bottom w:val="nil"/>
              <w:right w:val="nil"/>
            </w:tcBorders>
            <w:shd w:val="clear" w:color="auto" w:fill="FFFFFF"/>
          </w:tcPr>
          <w:p w14:paraId="7D85EABC">
            <w:pPr>
              <w:pStyle w:val="54"/>
              <w:bidi w:val="0"/>
              <w:rPr>
                <w:b w:val="0"/>
              </w:rPr>
            </w:pPr>
            <w:r>
              <w:rPr>
                <w:b w:val="0"/>
              </w:rPr>
              <w:t>95×55×13</w:t>
            </w:r>
          </w:p>
        </w:tc>
        <w:tc>
          <w:tcPr>
            <w:tcBorders>
              <w:top w:val="nil"/>
              <w:left w:val="nil"/>
              <w:bottom w:val="nil"/>
              <w:right w:val="nil"/>
            </w:tcBorders>
            <w:shd w:val="clear" w:color="auto" w:fill="FFFFFF"/>
          </w:tcPr>
          <w:p w14:paraId="65166CD4">
            <w:pPr>
              <w:pStyle w:val="54"/>
              <w:bidi w:val="0"/>
              <w:rPr>
                <w:b w:val="0"/>
              </w:rPr>
            </w:pPr>
            <w:r>
              <w:rPr>
                <w:b w:val="0"/>
              </w:rPr>
              <w:t>1</w:t>
            </w:r>
          </w:p>
        </w:tc>
      </w:tr>
      <w:tr w14:paraId="7225268A">
        <w:tblPrEx>
          <w:tblCellMar>
            <w:top w:w="0" w:type="dxa"/>
            <w:left w:w="108" w:type="dxa"/>
            <w:bottom w:w="0" w:type="dxa"/>
            <w:right w:w="108" w:type="dxa"/>
          </w:tblCellMar>
        </w:tblPrEx>
        <w:tc>
          <w:tcPr>
            <w:tcBorders>
              <w:top w:val="nil"/>
              <w:left w:val="nil"/>
              <w:bottom w:val="nil"/>
              <w:right w:val="nil"/>
            </w:tcBorders>
            <w:shd w:val="clear" w:color="auto" w:fill="FFFFFF"/>
          </w:tcPr>
          <w:p w14:paraId="76A32075">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414025A4">
            <w:pPr>
              <w:pStyle w:val="54"/>
              <w:bidi w:val="0"/>
              <w:rPr>
                <w:b w:val="0"/>
              </w:rPr>
            </w:pPr>
            <w:r>
              <w:rPr>
                <w:rFonts w:hint="eastAsia"/>
                <w:b w:val="0"/>
              </w:rPr>
              <w:t>加工厂房</w:t>
            </w:r>
          </w:p>
        </w:tc>
        <w:tc>
          <w:tcPr>
            <w:tcBorders>
              <w:top w:val="nil"/>
              <w:left w:val="nil"/>
              <w:bottom w:val="nil"/>
              <w:right w:val="nil"/>
            </w:tcBorders>
            <w:shd w:val="clear" w:color="auto" w:fill="FFFFFF"/>
          </w:tcPr>
          <w:p w14:paraId="7AB70A0D">
            <w:pPr>
              <w:pStyle w:val="54"/>
              <w:bidi w:val="0"/>
              <w:rPr>
                <w:b w:val="0"/>
              </w:rPr>
            </w:pPr>
            <w:r>
              <w:rPr>
                <w:rFonts w:hint="eastAsia"/>
                <w:b w:val="0"/>
              </w:rPr>
              <w:t>大</w:t>
            </w:r>
          </w:p>
        </w:tc>
        <w:tc>
          <w:tcPr>
            <w:tcW w:w="1282" w:type="dxa"/>
            <w:tcBorders>
              <w:top w:val="nil"/>
              <w:left w:val="nil"/>
              <w:bottom w:val="nil"/>
              <w:right w:val="nil"/>
            </w:tcBorders>
            <w:shd w:val="clear" w:color="auto" w:fill="FFFFFF"/>
          </w:tcPr>
          <w:p w14:paraId="39BF47E1">
            <w:pPr>
              <w:pStyle w:val="54"/>
              <w:bidi w:val="0"/>
              <w:rPr>
                <w:b w:val="0"/>
              </w:rPr>
            </w:pPr>
            <w:r>
              <w:rPr>
                <w:rFonts w:hint="eastAsia"/>
                <w:b w:val="0"/>
                <w:lang w:val="en-US" w:eastAsia="zh-CN"/>
              </w:rPr>
              <w:t>&gt;</w:t>
            </w:r>
            <w:r>
              <w:rPr>
                <w:b w:val="0"/>
              </w:rPr>
              <w:t>108</w:t>
            </w:r>
          </w:p>
        </w:tc>
        <w:tc>
          <w:tcPr>
            <w:tcW w:w="1282" w:type="dxa"/>
            <w:tcBorders>
              <w:top w:val="nil"/>
              <w:left w:val="nil"/>
              <w:bottom w:val="nil"/>
              <w:right w:val="nil"/>
            </w:tcBorders>
            <w:shd w:val="clear" w:color="auto" w:fill="FFFFFF"/>
          </w:tcPr>
          <w:p w14:paraId="2CB2B17A">
            <w:pPr>
              <w:pStyle w:val="54"/>
              <w:bidi w:val="0"/>
              <w:rPr>
                <w:b w:val="0"/>
              </w:rPr>
            </w:pPr>
            <w:r>
              <w:rPr>
                <w:rFonts w:hint="eastAsia"/>
                <w:b w:val="0"/>
                <w:lang w:val="en-US" w:eastAsia="zh-CN"/>
              </w:rPr>
              <w:t>&gt;</w:t>
            </w:r>
            <w:r>
              <w:rPr>
                <w:b w:val="0"/>
              </w:rPr>
              <w:t>65</w:t>
            </w:r>
          </w:p>
        </w:tc>
        <w:tc>
          <w:tcPr>
            <w:tcBorders>
              <w:top w:val="nil"/>
              <w:left w:val="nil"/>
              <w:bottom w:val="nil"/>
              <w:right w:val="nil"/>
            </w:tcBorders>
            <w:shd w:val="clear" w:color="auto" w:fill="FFFFFF"/>
          </w:tcPr>
          <w:p w14:paraId="16626047">
            <w:pPr>
              <w:pStyle w:val="54"/>
              <w:bidi w:val="0"/>
              <w:rPr>
                <w:b w:val="0"/>
              </w:rPr>
            </w:pPr>
            <w:r>
              <w:rPr>
                <w:rFonts w:hint="eastAsia"/>
                <w:b w:val="0"/>
                <w:lang w:val="en-US" w:eastAsia="zh-CN"/>
              </w:rPr>
              <w:t>&gt;</w:t>
            </w:r>
            <w:r>
              <w:rPr>
                <w:b w:val="0"/>
              </w:rPr>
              <w:t>15</w:t>
            </w:r>
          </w:p>
        </w:tc>
        <w:tc>
          <w:tcPr>
            <w:tcBorders>
              <w:top w:val="nil"/>
              <w:left w:val="nil"/>
              <w:bottom w:val="nil"/>
              <w:right w:val="nil"/>
            </w:tcBorders>
            <w:shd w:val="clear" w:color="auto" w:fill="FFFFFF"/>
          </w:tcPr>
          <w:p w14:paraId="41B0EDF7">
            <w:pPr>
              <w:pStyle w:val="54"/>
              <w:bidi w:val="0"/>
              <w:rPr>
                <w:b w:val="0"/>
              </w:rPr>
            </w:pPr>
            <w:r>
              <w:rPr>
                <w:b w:val="0"/>
              </w:rPr>
              <w:t>120×75×18</w:t>
            </w:r>
          </w:p>
        </w:tc>
        <w:tc>
          <w:tcPr>
            <w:tcBorders>
              <w:top w:val="nil"/>
              <w:left w:val="nil"/>
              <w:bottom w:val="nil"/>
              <w:right w:val="nil"/>
            </w:tcBorders>
            <w:shd w:val="clear" w:color="auto" w:fill="FFFFFF"/>
          </w:tcPr>
          <w:p w14:paraId="79CD9A20">
            <w:pPr>
              <w:pStyle w:val="54"/>
              <w:bidi w:val="0"/>
              <w:rPr>
                <w:b w:val="0"/>
              </w:rPr>
            </w:pPr>
            <w:r>
              <w:rPr>
                <w:b w:val="0"/>
              </w:rPr>
              <w:t>1</w:t>
            </w:r>
          </w:p>
        </w:tc>
      </w:tr>
      <w:tr w14:paraId="7DFCF78F">
        <w:tblPrEx>
          <w:tblCellMar>
            <w:top w:w="0" w:type="dxa"/>
            <w:left w:w="108" w:type="dxa"/>
            <w:bottom w:w="0" w:type="dxa"/>
            <w:right w:w="108" w:type="dxa"/>
          </w:tblCellMar>
        </w:tblPrEx>
        <w:tc>
          <w:tcPr>
            <w:tcBorders>
              <w:top w:val="nil"/>
              <w:left w:val="nil"/>
              <w:bottom w:val="nil"/>
              <w:right w:val="nil"/>
            </w:tcBorders>
            <w:shd w:val="clear" w:color="auto" w:fill="FFFFFF"/>
          </w:tcPr>
          <w:p w14:paraId="77AE6CC5">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71C48DF5">
            <w:pPr>
              <w:pStyle w:val="54"/>
              <w:bidi w:val="0"/>
              <w:rPr>
                <w:b w:val="0"/>
              </w:rPr>
            </w:pPr>
            <w:r>
              <w:rPr>
                <w:rFonts w:hint="eastAsia"/>
                <w:b w:val="0"/>
              </w:rPr>
              <w:t>发射场</w:t>
            </w:r>
          </w:p>
        </w:tc>
        <w:tc>
          <w:tcPr>
            <w:tcBorders>
              <w:top w:val="nil"/>
              <w:left w:val="nil"/>
              <w:bottom w:val="nil"/>
              <w:right w:val="nil"/>
            </w:tcBorders>
            <w:shd w:val="clear" w:color="auto" w:fill="FFFFFF"/>
          </w:tcPr>
          <w:p w14:paraId="66E4467F">
            <w:pPr>
              <w:pStyle w:val="54"/>
              <w:bidi w:val="0"/>
              <w:rPr>
                <w:b w:val="0"/>
              </w:rPr>
            </w:pPr>
            <w:r>
              <w:rPr>
                <w:rFonts w:hint="eastAsia"/>
                <w:b w:val="0"/>
              </w:rPr>
              <w:t>小</w:t>
            </w:r>
          </w:p>
        </w:tc>
        <w:tc>
          <w:tcPr>
            <w:tcW w:w="1282" w:type="dxa"/>
            <w:tcBorders>
              <w:top w:val="nil"/>
              <w:left w:val="nil"/>
              <w:bottom w:val="nil"/>
              <w:right w:val="nil"/>
            </w:tcBorders>
            <w:shd w:val="clear" w:color="auto" w:fill="FFFFFF"/>
          </w:tcPr>
          <w:p w14:paraId="5F585BAF">
            <w:pPr>
              <w:pStyle w:val="54"/>
              <w:bidi w:val="0"/>
              <w:rPr>
                <w:b w:val="0"/>
              </w:rPr>
            </w:pPr>
            <w:r>
              <w:rPr>
                <w:rFonts w:hint="eastAsia"/>
                <w:b w:val="0"/>
                <w:lang w:val="en-US" w:eastAsia="zh-CN"/>
              </w:rPr>
              <w:t>&lt;</w:t>
            </w:r>
            <w:r>
              <w:rPr>
                <w:b w:val="0"/>
              </w:rPr>
              <w:t>82</w:t>
            </w:r>
          </w:p>
        </w:tc>
        <w:tc>
          <w:tcPr>
            <w:tcW w:w="1282" w:type="dxa"/>
            <w:tcBorders>
              <w:top w:val="nil"/>
              <w:left w:val="nil"/>
              <w:bottom w:val="nil"/>
              <w:right w:val="nil"/>
            </w:tcBorders>
            <w:shd w:val="clear" w:color="auto" w:fill="FFFFFF"/>
          </w:tcPr>
          <w:p w14:paraId="52F2C287">
            <w:pPr>
              <w:pStyle w:val="54"/>
              <w:bidi w:val="0"/>
              <w:rPr>
                <w:b w:val="0"/>
              </w:rPr>
            </w:pPr>
            <w:r>
              <w:rPr>
                <w:rFonts w:hint="eastAsia"/>
                <w:b w:val="0"/>
                <w:lang w:val="en-US" w:eastAsia="zh-CN"/>
              </w:rPr>
              <w:t>&lt;</w:t>
            </w:r>
            <w:r>
              <w:rPr>
                <w:b w:val="0"/>
              </w:rPr>
              <w:t>70</w:t>
            </w:r>
          </w:p>
        </w:tc>
        <w:tc>
          <w:tcPr>
            <w:tcBorders>
              <w:top w:val="nil"/>
              <w:left w:val="nil"/>
              <w:bottom w:val="nil"/>
              <w:right w:val="nil"/>
            </w:tcBorders>
            <w:shd w:val="clear" w:color="auto" w:fill="FFFFFF"/>
          </w:tcPr>
          <w:p w14:paraId="6299C20A">
            <w:pPr>
              <w:pStyle w:val="54"/>
              <w:bidi w:val="0"/>
              <w:rPr>
                <w:b w:val="0"/>
              </w:rPr>
            </w:pPr>
            <w:r>
              <w:rPr>
                <w:rFonts w:hint="eastAsia"/>
                <w:b w:val="0"/>
                <w:lang w:val="en-US" w:eastAsia="zh-CN"/>
              </w:rPr>
              <w:t>&lt;</w:t>
            </w:r>
            <w:r>
              <w:rPr>
                <w:b w:val="0"/>
              </w:rPr>
              <w:t>20</w:t>
            </w:r>
          </w:p>
        </w:tc>
        <w:tc>
          <w:tcPr>
            <w:tcBorders>
              <w:top w:val="nil"/>
              <w:left w:val="nil"/>
              <w:bottom w:val="nil"/>
              <w:right w:val="nil"/>
            </w:tcBorders>
            <w:shd w:val="clear" w:color="auto" w:fill="FFFFFF"/>
          </w:tcPr>
          <w:p w14:paraId="62973128">
            <w:pPr>
              <w:pStyle w:val="54"/>
              <w:bidi w:val="0"/>
              <w:rPr>
                <w:b w:val="0"/>
              </w:rPr>
            </w:pPr>
            <w:r>
              <w:rPr>
                <w:b w:val="0"/>
              </w:rPr>
              <w:t>70×60×14</w:t>
            </w:r>
          </w:p>
        </w:tc>
        <w:tc>
          <w:tcPr>
            <w:tcBorders>
              <w:top w:val="nil"/>
              <w:left w:val="nil"/>
              <w:bottom w:val="nil"/>
              <w:right w:val="nil"/>
            </w:tcBorders>
            <w:shd w:val="clear" w:color="auto" w:fill="FFFFFF"/>
          </w:tcPr>
          <w:p w14:paraId="76201761">
            <w:pPr>
              <w:pStyle w:val="54"/>
              <w:bidi w:val="0"/>
              <w:rPr>
                <w:b w:val="0"/>
              </w:rPr>
            </w:pPr>
            <w:r>
              <w:rPr>
                <w:b w:val="0"/>
              </w:rPr>
              <w:t>1</w:t>
            </w:r>
          </w:p>
        </w:tc>
      </w:tr>
      <w:tr w14:paraId="11B2876F">
        <w:tblPrEx>
          <w:tblCellMar>
            <w:top w:w="0" w:type="dxa"/>
            <w:left w:w="108" w:type="dxa"/>
            <w:bottom w:w="0" w:type="dxa"/>
            <w:right w:w="108" w:type="dxa"/>
          </w:tblCellMar>
        </w:tblPrEx>
        <w:tc>
          <w:tcPr>
            <w:tcBorders>
              <w:top w:val="nil"/>
              <w:left w:val="nil"/>
              <w:bottom w:val="nil"/>
              <w:right w:val="nil"/>
            </w:tcBorders>
            <w:shd w:val="clear" w:color="auto" w:fill="FFFFFF"/>
          </w:tcPr>
          <w:p w14:paraId="4DE6342E">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4EF45221">
            <w:pPr>
              <w:pStyle w:val="54"/>
              <w:bidi w:val="0"/>
              <w:rPr>
                <w:b w:val="0"/>
              </w:rPr>
            </w:pPr>
            <w:r>
              <w:rPr>
                <w:rFonts w:hint="eastAsia"/>
                <w:b w:val="0"/>
              </w:rPr>
              <w:t>发射场</w:t>
            </w:r>
          </w:p>
        </w:tc>
        <w:tc>
          <w:tcPr>
            <w:tcBorders>
              <w:top w:val="nil"/>
              <w:left w:val="nil"/>
              <w:bottom w:val="nil"/>
              <w:right w:val="nil"/>
            </w:tcBorders>
            <w:shd w:val="clear" w:color="auto" w:fill="FFFFFF"/>
          </w:tcPr>
          <w:p w14:paraId="07078BDD">
            <w:pPr>
              <w:pStyle w:val="54"/>
              <w:bidi w:val="0"/>
              <w:rPr>
                <w:b w:val="0"/>
              </w:rPr>
            </w:pPr>
            <w:r>
              <w:rPr>
                <w:rFonts w:hint="eastAsia"/>
                <w:b w:val="0"/>
              </w:rPr>
              <w:t>中</w:t>
            </w:r>
          </w:p>
        </w:tc>
        <w:tc>
          <w:tcPr>
            <w:tcW w:w="1282" w:type="dxa"/>
            <w:tcBorders>
              <w:top w:val="nil"/>
              <w:left w:val="nil"/>
              <w:bottom w:val="nil"/>
              <w:right w:val="nil"/>
            </w:tcBorders>
            <w:shd w:val="clear" w:color="auto" w:fill="FFFFFF"/>
          </w:tcPr>
          <w:p w14:paraId="6722704A">
            <w:pPr>
              <w:pStyle w:val="54"/>
              <w:bidi w:val="0"/>
              <w:rPr>
                <w:b w:val="0"/>
              </w:rPr>
            </w:pPr>
            <w:r>
              <w:rPr>
                <w:b w:val="0"/>
              </w:rPr>
              <w:t>82–107</w:t>
            </w:r>
          </w:p>
        </w:tc>
        <w:tc>
          <w:tcPr>
            <w:tcW w:w="1282" w:type="dxa"/>
            <w:tcBorders>
              <w:top w:val="nil"/>
              <w:left w:val="nil"/>
              <w:bottom w:val="nil"/>
              <w:right w:val="nil"/>
            </w:tcBorders>
            <w:shd w:val="clear" w:color="auto" w:fill="FFFFFF"/>
          </w:tcPr>
          <w:p w14:paraId="5D7BD5EA">
            <w:pPr>
              <w:pStyle w:val="54"/>
              <w:bidi w:val="0"/>
              <w:rPr>
                <w:b w:val="0"/>
              </w:rPr>
            </w:pPr>
            <w:r>
              <w:rPr>
                <w:b w:val="0"/>
              </w:rPr>
              <w:t>70–89</w:t>
            </w:r>
          </w:p>
        </w:tc>
        <w:tc>
          <w:tcPr>
            <w:tcBorders>
              <w:top w:val="nil"/>
              <w:left w:val="nil"/>
              <w:bottom w:val="nil"/>
              <w:right w:val="nil"/>
            </w:tcBorders>
            <w:shd w:val="clear" w:color="auto" w:fill="FFFFFF"/>
          </w:tcPr>
          <w:p w14:paraId="1DAB09BD">
            <w:pPr>
              <w:pStyle w:val="54"/>
              <w:bidi w:val="0"/>
              <w:rPr>
                <w:b w:val="0"/>
              </w:rPr>
            </w:pPr>
            <w:r>
              <w:rPr>
                <w:b w:val="0"/>
              </w:rPr>
              <w:t>20–30</w:t>
            </w:r>
          </w:p>
        </w:tc>
        <w:tc>
          <w:tcPr>
            <w:tcBorders>
              <w:top w:val="nil"/>
              <w:left w:val="nil"/>
              <w:bottom w:val="nil"/>
              <w:right w:val="nil"/>
            </w:tcBorders>
            <w:shd w:val="clear" w:color="auto" w:fill="FFFFFF"/>
          </w:tcPr>
          <w:p w14:paraId="5F164C3C">
            <w:pPr>
              <w:pStyle w:val="54"/>
              <w:bidi w:val="0"/>
              <w:rPr>
                <w:b w:val="0"/>
              </w:rPr>
            </w:pPr>
            <w:r>
              <w:rPr>
                <w:b w:val="0"/>
              </w:rPr>
              <w:t>94.5×79.5×25</w:t>
            </w:r>
          </w:p>
        </w:tc>
        <w:tc>
          <w:tcPr>
            <w:tcBorders>
              <w:top w:val="nil"/>
              <w:left w:val="nil"/>
              <w:bottom w:val="nil"/>
              <w:right w:val="nil"/>
            </w:tcBorders>
            <w:shd w:val="clear" w:color="auto" w:fill="FFFFFF"/>
          </w:tcPr>
          <w:p w14:paraId="05B53326">
            <w:pPr>
              <w:pStyle w:val="54"/>
              <w:bidi w:val="0"/>
              <w:rPr>
                <w:b w:val="0"/>
              </w:rPr>
            </w:pPr>
            <w:r>
              <w:rPr>
                <w:b w:val="0"/>
              </w:rPr>
              <w:t>1</w:t>
            </w:r>
          </w:p>
        </w:tc>
      </w:tr>
      <w:tr w14:paraId="1A9E8907">
        <w:tc>
          <w:tcPr>
            <w:tcBorders>
              <w:top w:val="nil"/>
              <w:left w:val="nil"/>
              <w:bottom w:val="nil"/>
              <w:right w:val="nil"/>
            </w:tcBorders>
            <w:shd w:val="clear" w:color="auto" w:fill="FFFFFF"/>
          </w:tcPr>
          <w:p w14:paraId="68B16176">
            <w:pPr>
              <w:pStyle w:val="54"/>
              <w:bidi w:val="0"/>
              <w:rPr>
                <w:b w:val="0"/>
              </w:rPr>
            </w:pPr>
            <w:r>
              <w:rPr>
                <w:rFonts w:hint="eastAsia"/>
                <w:b w:val="0"/>
              </w:rPr>
              <w:t>航空航天等效设施</w:t>
            </w:r>
          </w:p>
        </w:tc>
        <w:tc>
          <w:tcPr>
            <w:tcBorders>
              <w:top w:val="nil"/>
              <w:left w:val="nil"/>
              <w:bottom w:val="nil"/>
              <w:right w:val="nil"/>
            </w:tcBorders>
            <w:shd w:val="clear" w:color="auto" w:fill="FFFFFF"/>
          </w:tcPr>
          <w:p w14:paraId="5A5FC622">
            <w:pPr>
              <w:pStyle w:val="54"/>
              <w:bidi w:val="0"/>
              <w:rPr>
                <w:b w:val="0"/>
              </w:rPr>
            </w:pPr>
            <w:r>
              <w:rPr>
                <w:rFonts w:hint="eastAsia"/>
                <w:b w:val="0"/>
              </w:rPr>
              <w:t>发射场</w:t>
            </w:r>
          </w:p>
        </w:tc>
        <w:tc>
          <w:tcPr>
            <w:tcBorders>
              <w:top w:val="nil"/>
              <w:left w:val="nil"/>
              <w:bottom w:val="nil"/>
              <w:right w:val="nil"/>
            </w:tcBorders>
            <w:shd w:val="clear" w:color="auto" w:fill="FFFFFF"/>
          </w:tcPr>
          <w:p w14:paraId="63D6E862">
            <w:pPr>
              <w:pStyle w:val="54"/>
              <w:bidi w:val="0"/>
              <w:rPr>
                <w:b w:val="0"/>
              </w:rPr>
            </w:pPr>
            <w:r>
              <w:rPr>
                <w:rFonts w:hint="eastAsia"/>
                <w:b w:val="0"/>
              </w:rPr>
              <w:t>大</w:t>
            </w:r>
          </w:p>
        </w:tc>
        <w:tc>
          <w:tcPr>
            <w:tcW w:w="1282" w:type="dxa"/>
            <w:tcBorders>
              <w:top w:val="nil"/>
              <w:left w:val="nil"/>
              <w:bottom w:val="nil"/>
              <w:right w:val="nil"/>
            </w:tcBorders>
            <w:shd w:val="clear" w:color="auto" w:fill="FFFFFF"/>
          </w:tcPr>
          <w:p w14:paraId="558E0A42">
            <w:pPr>
              <w:pStyle w:val="54"/>
              <w:bidi w:val="0"/>
              <w:rPr>
                <w:b w:val="0"/>
              </w:rPr>
            </w:pPr>
            <w:r>
              <w:rPr>
                <w:rFonts w:hint="eastAsia"/>
                <w:b w:val="0"/>
                <w:lang w:val="en-US" w:eastAsia="zh-CN"/>
              </w:rPr>
              <w:t>&lt;</w:t>
            </w:r>
            <w:r>
              <w:rPr>
                <w:b w:val="0"/>
              </w:rPr>
              <w:t>107</w:t>
            </w:r>
          </w:p>
        </w:tc>
        <w:tc>
          <w:tcPr>
            <w:tcW w:w="1282" w:type="dxa"/>
            <w:tcBorders>
              <w:top w:val="nil"/>
              <w:left w:val="nil"/>
              <w:bottom w:val="nil"/>
              <w:right w:val="nil"/>
            </w:tcBorders>
            <w:shd w:val="clear" w:color="auto" w:fill="FFFFFF"/>
          </w:tcPr>
          <w:p w14:paraId="1F941DB7">
            <w:pPr>
              <w:pStyle w:val="54"/>
              <w:bidi w:val="0"/>
              <w:rPr>
                <w:b w:val="0"/>
              </w:rPr>
            </w:pPr>
            <w:r>
              <w:rPr>
                <w:rFonts w:hint="eastAsia"/>
                <w:b w:val="0"/>
                <w:lang w:val="en-US" w:eastAsia="zh-CN"/>
              </w:rPr>
              <w:t>&lt;</w:t>
            </w:r>
            <w:r>
              <w:rPr>
                <w:b w:val="0"/>
              </w:rPr>
              <w:t>89</w:t>
            </w:r>
          </w:p>
        </w:tc>
        <w:tc>
          <w:tcPr>
            <w:tcBorders>
              <w:top w:val="nil"/>
              <w:left w:val="nil"/>
              <w:bottom w:val="nil"/>
              <w:right w:val="nil"/>
            </w:tcBorders>
            <w:shd w:val="clear" w:color="auto" w:fill="FFFFFF"/>
          </w:tcPr>
          <w:p w14:paraId="4A12C26A">
            <w:pPr>
              <w:pStyle w:val="54"/>
              <w:bidi w:val="0"/>
              <w:rPr>
                <w:b w:val="0"/>
              </w:rPr>
            </w:pPr>
            <w:r>
              <w:rPr>
                <w:rFonts w:hint="eastAsia"/>
                <w:b w:val="0"/>
                <w:lang w:val="en-US" w:eastAsia="zh-CN"/>
              </w:rPr>
              <w:t>&lt;</w:t>
            </w:r>
            <w:r>
              <w:rPr>
                <w:b w:val="0"/>
              </w:rPr>
              <w:t>30</w:t>
            </w:r>
          </w:p>
        </w:tc>
        <w:tc>
          <w:tcPr>
            <w:tcBorders>
              <w:top w:val="nil"/>
              <w:left w:val="nil"/>
              <w:bottom w:val="nil"/>
              <w:right w:val="nil"/>
            </w:tcBorders>
            <w:shd w:val="clear" w:color="auto" w:fill="FFFFFF"/>
          </w:tcPr>
          <w:p w14:paraId="30CD6291">
            <w:pPr>
              <w:pStyle w:val="54"/>
              <w:bidi w:val="0"/>
              <w:rPr>
                <w:b w:val="0"/>
              </w:rPr>
            </w:pPr>
            <w:r>
              <w:rPr>
                <w:b w:val="0"/>
              </w:rPr>
              <w:t>119×99×35</w:t>
            </w:r>
          </w:p>
        </w:tc>
        <w:tc>
          <w:tcPr>
            <w:tcBorders>
              <w:top w:val="nil"/>
              <w:left w:val="nil"/>
              <w:bottom w:val="nil"/>
              <w:right w:val="nil"/>
            </w:tcBorders>
            <w:shd w:val="clear" w:color="auto" w:fill="FFFFFF"/>
          </w:tcPr>
          <w:p w14:paraId="15788AE9">
            <w:pPr>
              <w:pStyle w:val="54"/>
              <w:bidi w:val="0"/>
              <w:rPr>
                <w:b w:val="0"/>
              </w:rPr>
            </w:pPr>
            <w:r>
              <w:rPr>
                <w:b w:val="0"/>
              </w:rPr>
              <w:t>1</w:t>
            </w:r>
          </w:p>
        </w:tc>
      </w:tr>
      <w:tr w14:paraId="3517C00D">
        <w:tblPrEx>
          <w:tblCellMar>
            <w:top w:w="0" w:type="dxa"/>
            <w:left w:w="108" w:type="dxa"/>
            <w:bottom w:w="0" w:type="dxa"/>
            <w:right w:w="108" w:type="dxa"/>
          </w:tblCellMar>
        </w:tblPrEx>
        <w:tc>
          <w:tcPr>
            <w:tcBorders>
              <w:top w:val="nil"/>
              <w:left w:val="nil"/>
              <w:bottom w:val="nil"/>
              <w:right w:val="nil"/>
            </w:tcBorders>
            <w:shd w:val="clear" w:color="auto" w:fill="FFFFFF"/>
          </w:tcPr>
          <w:p w14:paraId="721EF9B9">
            <w:pPr>
              <w:pStyle w:val="54"/>
              <w:bidi w:val="0"/>
              <w:rPr>
                <w:b w:val="0"/>
              </w:rPr>
            </w:pPr>
            <w:r>
              <w:rPr>
                <w:rFonts w:hint="eastAsia"/>
                <w:b w:val="0"/>
              </w:rPr>
              <w:t>机场机库等效设施</w:t>
            </w:r>
          </w:p>
        </w:tc>
        <w:tc>
          <w:tcPr>
            <w:tcBorders>
              <w:top w:val="nil"/>
              <w:left w:val="nil"/>
              <w:bottom w:val="nil"/>
              <w:right w:val="nil"/>
            </w:tcBorders>
            <w:shd w:val="clear" w:color="auto" w:fill="FFFFFF"/>
          </w:tcPr>
          <w:p w14:paraId="2B2F2715">
            <w:pPr>
              <w:pStyle w:val="54"/>
              <w:bidi w:val="0"/>
              <w:rPr>
                <w:b w:val="0"/>
              </w:rPr>
            </w:pPr>
            <w:r>
              <w:rPr>
                <w:rFonts w:hint="eastAsia"/>
                <w:b w:val="0"/>
              </w:rPr>
              <w:t>机库</w:t>
            </w:r>
          </w:p>
        </w:tc>
        <w:tc>
          <w:tcPr>
            <w:tcBorders>
              <w:top w:val="nil"/>
              <w:left w:val="nil"/>
              <w:bottom w:val="nil"/>
              <w:right w:val="nil"/>
            </w:tcBorders>
            <w:shd w:val="clear" w:color="auto" w:fill="FFFFFF"/>
          </w:tcPr>
          <w:p w14:paraId="56A75BFE">
            <w:pPr>
              <w:pStyle w:val="54"/>
              <w:bidi w:val="0"/>
              <w:rPr>
                <w:b w:val="0"/>
              </w:rPr>
            </w:pPr>
            <w:r>
              <w:rPr>
                <w:rFonts w:hint="eastAsia"/>
                <w:b w:val="0"/>
              </w:rPr>
              <w:t>小</w:t>
            </w:r>
          </w:p>
        </w:tc>
        <w:tc>
          <w:tcPr>
            <w:tcW w:w="1282" w:type="dxa"/>
            <w:tcBorders>
              <w:top w:val="nil"/>
              <w:left w:val="nil"/>
              <w:bottom w:val="nil"/>
              <w:right w:val="nil"/>
            </w:tcBorders>
            <w:shd w:val="clear" w:color="auto" w:fill="FFFFFF"/>
          </w:tcPr>
          <w:p w14:paraId="61B674B1">
            <w:pPr>
              <w:pStyle w:val="54"/>
              <w:bidi w:val="0"/>
              <w:rPr>
                <w:b w:val="0"/>
              </w:rPr>
            </w:pPr>
            <w:r>
              <w:rPr>
                <w:rFonts w:hint="eastAsia"/>
                <w:b w:val="0"/>
                <w:lang w:val="en-US" w:eastAsia="zh-CN"/>
              </w:rPr>
              <w:t>&lt;</w:t>
            </w:r>
            <w:r>
              <w:rPr>
                <w:b w:val="0"/>
              </w:rPr>
              <w:t>100</w:t>
            </w:r>
          </w:p>
        </w:tc>
        <w:tc>
          <w:tcPr>
            <w:tcW w:w="1282" w:type="dxa"/>
            <w:tcBorders>
              <w:top w:val="nil"/>
              <w:left w:val="nil"/>
              <w:bottom w:val="nil"/>
              <w:right w:val="nil"/>
            </w:tcBorders>
            <w:shd w:val="clear" w:color="auto" w:fill="FFFFFF"/>
          </w:tcPr>
          <w:p w14:paraId="25678127">
            <w:pPr>
              <w:pStyle w:val="54"/>
              <w:bidi w:val="0"/>
              <w:rPr>
                <w:b w:val="0"/>
              </w:rPr>
            </w:pPr>
            <w:r>
              <w:rPr>
                <w:rFonts w:hint="eastAsia"/>
                <w:b w:val="0"/>
                <w:lang w:val="en-US" w:eastAsia="zh-CN"/>
              </w:rPr>
              <w:t>&lt;</w:t>
            </w:r>
            <w:r>
              <w:rPr>
                <w:b w:val="0"/>
              </w:rPr>
              <w:t>60</w:t>
            </w:r>
          </w:p>
        </w:tc>
        <w:tc>
          <w:tcPr>
            <w:tcBorders>
              <w:top w:val="nil"/>
              <w:left w:val="nil"/>
              <w:bottom w:val="nil"/>
              <w:right w:val="nil"/>
            </w:tcBorders>
            <w:shd w:val="clear" w:color="auto" w:fill="FFFFFF"/>
          </w:tcPr>
          <w:p w14:paraId="666E6F66">
            <w:pPr>
              <w:pStyle w:val="54"/>
              <w:bidi w:val="0"/>
              <w:rPr>
                <w:b w:val="0"/>
              </w:rPr>
            </w:pPr>
            <w:r>
              <w:rPr>
                <w:rFonts w:hint="eastAsia"/>
                <w:b w:val="0"/>
                <w:lang w:val="en-US" w:eastAsia="zh-CN"/>
              </w:rPr>
              <w:t>&lt;</w:t>
            </w:r>
            <w:r>
              <w:rPr>
                <w:b w:val="0"/>
              </w:rPr>
              <w:t>20</w:t>
            </w:r>
          </w:p>
        </w:tc>
        <w:tc>
          <w:tcPr>
            <w:tcBorders>
              <w:top w:val="nil"/>
              <w:left w:val="nil"/>
              <w:bottom w:val="nil"/>
              <w:right w:val="nil"/>
            </w:tcBorders>
            <w:shd w:val="clear" w:color="auto" w:fill="FFFFFF"/>
          </w:tcPr>
          <w:p w14:paraId="72E7E9AD">
            <w:pPr>
              <w:pStyle w:val="54"/>
              <w:bidi w:val="0"/>
              <w:rPr>
                <w:b w:val="0"/>
              </w:rPr>
            </w:pPr>
            <w:r>
              <w:rPr>
                <w:b w:val="0"/>
              </w:rPr>
              <w:t>75×45×16</w:t>
            </w:r>
          </w:p>
        </w:tc>
        <w:tc>
          <w:tcPr>
            <w:tcBorders>
              <w:top w:val="nil"/>
              <w:left w:val="nil"/>
              <w:bottom w:val="nil"/>
              <w:right w:val="nil"/>
            </w:tcBorders>
            <w:shd w:val="clear" w:color="auto" w:fill="FFFFFF"/>
          </w:tcPr>
          <w:p w14:paraId="018B8806">
            <w:pPr>
              <w:pStyle w:val="54"/>
              <w:bidi w:val="0"/>
              <w:rPr>
                <w:b w:val="0"/>
              </w:rPr>
            </w:pPr>
            <w:r>
              <w:rPr>
                <w:b w:val="0"/>
              </w:rPr>
              <w:t>1</w:t>
            </w:r>
          </w:p>
        </w:tc>
      </w:tr>
      <w:tr w14:paraId="3EDE83BC">
        <w:tblPrEx>
          <w:tblCellMar>
            <w:top w:w="0" w:type="dxa"/>
            <w:left w:w="108" w:type="dxa"/>
            <w:bottom w:w="0" w:type="dxa"/>
            <w:right w:w="108" w:type="dxa"/>
          </w:tblCellMar>
        </w:tblPrEx>
        <w:tc>
          <w:tcPr>
            <w:tcBorders>
              <w:top w:val="nil"/>
              <w:left w:val="nil"/>
              <w:bottom w:val="nil"/>
              <w:right w:val="nil"/>
            </w:tcBorders>
            <w:shd w:val="clear" w:color="auto" w:fill="FFFFFF"/>
          </w:tcPr>
          <w:p w14:paraId="18DF8401">
            <w:pPr>
              <w:pStyle w:val="54"/>
              <w:bidi w:val="0"/>
              <w:rPr>
                <w:b w:val="0"/>
              </w:rPr>
            </w:pPr>
            <w:r>
              <w:rPr>
                <w:rFonts w:hint="eastAsia"/>
                <w:b w:val="0"/>
              </w:rPr>
              <w:t>机场机库等效设施</w:t>
            </w:r>
          </w:p>
        </w:tc>
        <w:tc>
          <w:tcPr>
            <w:tcBorders>
              <w:top w:val="nil"/>
              <w:left w:val="nil"/>
              <w:bottom w:val="nil"/>
              <w:right w:val="nil"/>
            </w:tcBorders>
            <w:shd w:val="clear" w:color="auto" w:fill="FFFFFF"/>
          </w:tcPr>
          <w:p w14:paraId="206B9B23">
            <w:pPr>
              <w:pStyle w:val="54"/>
              <w:bidi w:val="0"/>
              <w:rPr>
                <w:b w:val="0"/>
              </w:rPr>
            </w:pPr>
            <w:r>
              <w:rPr>
                <w:rFonts w:hint="eastAsia"/>
                <w:b w:val="0"/>
              </w:rPr>
              <w:t>机库</w:t>
            </w:r>
          </w:p>
        </w:tc>
        <w:tc>
          <w:tcPr>
            <w:tcBorders>
              <w:top w:val="nil"/>
              <w:left w:val="nil"/>
              <w:bottom w:val="nil"/>
              <w:right w:val="nil"/>
            </w:tcBorders>
            <w:shd w:val="clear" w:color="auto" w:fill="FFFFFF"/>
          </w:tcPr>
          <w:p w14:paraId="501DE6A3">
            <w:pPr>
              <w:pStyle w:val="54"/>
              <w:bidi w:val="0"/>
              <w:rPr>
                <w:b w:val="0"/>
              </w:rPr>
            </w:pPr>
            <w:r>
              <w:rPr>
                <w:rFonts w:hint="eastAsia"/>
                <w:b w:val="0"/>
              </w:rPr>
              <w:t>中</w:t>
            </w:r>
          </w:p>
        </w:tc>
        <w:tc>
          <w:tcPr>
            <w:tcW w:w="1282" w:type="dxa"/>
            <w:tcBorders>
              <w:top w:val="nil"/>
              <w:left w:val="nil"/>
              <w:bottom w:val="nil"/>
              <w:right w:val="nil"/>
            </w:tcBorders>
            <w:shd w:val="clear" w:color="auto" w:fill="FFFFFF"/>
          </w:tcPr>
          <w:p w14:paraId="66B1917E">
            <w:pPr>
              <w:pStyle w:val="54"/>
              <w:bidi w:val="0"/>
              <w:rPr>
                <w:b w:val="0"/>
              </w:rPr>
            </w:pPr>
            <w:r>
              <w:rPr>
                <w:b w:val="0"/>
              </w:rPr>
              <w:t>100–200</w:t>
            </w:r>
          </w:p>
        </w:tc>
        <w:tc>
          <w:tcPr>
            <w:tcW w:w="1282" w:type="dxa"/>
            <w:tcBorders>
              <w:top w:val="nil"/>
              <w:left w:val="nil"/>
              <w:bottom w:val="nil"/>
              <w:right w:val="nil"/>
            </w:tcBorders>
            <w:shd w:val="clear" w:color="auto" w:fill="FFFFFF"/>
          </w:tcPr>
          <w:p w14:paraId="0F26349F">
            <w:pPr>
              <w:pStyle w:val="54"/>
              <w:bidi w:val="0"/>
              <w:rPr>
                <w:b w:val="0"/>
              </w:rPr>
            </w:pPr>
            <w:r>
              <w:rPr>
                <w:b w:val="0"/>
              </w:rPr>
              <w:t>60–120</w:t>
            </w:r>
          </w:p>
        </w:tc>
        <w:tc>
          <w:tcPr>
            <w:tcBorders>
              <w:top w:val="nil"/>
              <w:left w:val="nil"/>
              <w:bottom w:val="nil"/>
              <w:right w:val="nil"/>
            </w:tcBorders>
            <w:shd w:val="clear" w:color="auto" w:fill="FFFFFF"/>
          </w:tcPr>
          <w:p w14:paraId="4D755AED">
            <w:pPr>
              <w:pStyle w:val="54"/>
              <w:bidi w:val="0"/>
              <w:rPr>
                <w:b w:val="0"/>
              </w:rPr>
            </w:pPr>
            <w:r>
              <w:rPr>
                <w:b w:val="0"/>
              </w:rPr>
              <w:t>20–35</w:t>
            </w:r>
          </w:p>
        </w:tc>
        <w:tc>
          <w:tcPr>
            <w:tcBorders>
              <w:top w:val="nil"/>
              <w:left w:val="nil"/>
              <w:bottom w:val="nil"/>
              <w:right w:val="nil"/>
            </w:tcBorders>
            <w:shd w:val="clear" w:color="auto" w:fill="FFFFFF"/>
          </w:tcPr>
          <w:p w14:paraId="5D98249F">
            <w:pPr>
              <w:pStyle w:val="54"/>
              <w:bidi w:val="0"/>
              <w:rPr>
                <w:b w:val="0"/>
              </w:rPr>
            </w:pPr>
            <w:r>
              <w:rPr>
                <w:b w:val="0"/>
              </w:rPr>
              <w:t>150×90×26</w:t>
            </w:r>
          </w:p>
        </w:tc>
        <w:tc>
          <w:tcPr>
            <w:tcBorders>
              <w:top w:val="nil"/>
              <w:left w:val="nil"/>
              <w:bottom w:val="nil"/>
              <w:right w:val="nil"/>
            </w:tcBorders>
            <w:shd w:val="clear" w:color="auto" w:fill="FFFFFF"/>
          </w:tcPr>
          <w:p w14:paraId="7CD73D83">
            <w:pPr>
              <w:pStyle w:val="54"/>
              <w:bidi w:val="0"/>
              <w:rPr>
                <w:b w:val="0"/>
              </w:rPr>
            </w:pPr>
            <w:r>
              <w:rPr>
                <w:b w:val="0"/>
              </w:rPr>
              <w:t>1</w:t>
            </w:r>
          </w:p>
        </w:tc>
      </w:tr>
      <w:tr w14:paraId="0EEC8B3E">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2B38F1FE">
            <w:pPr>
              <w:pStyle w:val="54"/>
              <w:bidi w:val="0"/>
              <w:rPr>
                <w:b w:val="0"/>
              </w:rPr>
            </w:pPr>
            <w:r>
              <w:rPr>
                <w:rFonts w:hint="eastAsia"/>
                <w:b w:val="0"/>
              </w:rPr>
              <w:t>机场机库等效设施</w:t>
            </w:r>
          </w:p>
        </w:tc>
        <w:tc>
          <w:tcPr>
            <w:tcBorders>
              <w:top w:val="nil"/>
              <w:left w:val="nil"/>
              <w:bottom w:val="single" w:color="000000" w:sz="12" w:space="0"/>
              <w:right w:val="nil"/>
            </w:tcBorders>
            <w:shd w:val="clear" w:color="auto" w:fill="FFFFFF"/>
          </w:tcPr>
          <w:p w14:paraId="07164099">
            <w:pPr>
              <w:pStyle w:val="54"/>
              <w:bidi w:val="0"/>
              <w:rPr>
                <w:b w:val="0"/>
              </w:rPr>
            </w:pPr>
            <w:r>
              <w:rPr>
                <w:rFonts w:hint="eastAsia"/>
                <w:b w:val="0"/>
              </w:rPr>
              <w:t>机库</w:t>
            </w:r>
          </w:p>
        </w:tc>
        <w:tc>
          <w:tcPr>
            <w:tcBorders>
              <w:top w:val="nil"/>
              <w:left w:val="nil"/>
              <w:bottom w:val="single" w:color="000000" w:sz="12" w:space="0"/>
              <w:right w:val="nil"/>
            </w:tcBorders>
            <w:shd w:val="clear" w:color="auto" w:fill="FFFFFF"/>
          </w:tcPr>
          <w:p w14:paraId="0826FBA1">
            <w:pPr>
              <w:pStyle w:val="54"/>
              <w:bidi w:val="0"/>
              <w:rPr>
                <w:b w:val="0"/>
              </w:rPr>
            </w:pPr>
            <w:r>
              <w:rPr>
                <w:rFonts w:hint="eastAsia"/>
                <w:b w:val="0"/>
              </w:rPr>
              <w:t>大</w:t>
            </w:r>
          </w:p>
        </w:tc>
        <w:tc>
          <w:tcPr>
            <w:tcW w:w="1282" w:type="dxa"/>
            <w:tcBorders>
              <w:top w:val="nil"/>
              <w:left w:val="nil"/>
              <w:bottom w:val="single" w:color="000000" w:sz="12" w:space="0"/>
              <w:right w:val="nil"/>
            </w:tcBorders>
            <w:shd w:val="clear" w:color="auto" w:fill="FFFFFF"/>
          </w:tcPr>
          <w:p w14:paraId="78A23182">
            <w:pPr>
              <w:pStyle w:val="54"/>
              <w:bidi w:val="0"/>
              <w:rPr>
                <w:b w:val="0"/>
              </w:rPr>
            </w:pPr>
            <w:r>
              <w:rPr>
                <w:rFonts w:hint="eastAsia"/>
                <w:b w:val="0"/>
                <w:lang w:val="en-US" w:eastAsia="zh-CN"/>
              </w:rPr>
              <w:t>&gt;</w:t>
            </w:r>
            <w:r>
              <w:rPr>
                <w:b w:val="0"/>
              </w:rPr>
              <w:t>200</w:t>
            </w:r>
          </w:p>
        </w:tc>
        <w:tc>
          <w:tcPr>
            <w:tcW w:w="1282" w:type="dxa"/>
            <w:tcBorders>
              <w:top w:val="nil"/>
              <w:left w:val="nil"/>
              <w:bottom w:val="single" w:color="000000" w:sz="12" w:space="0"/>
              <w:right w:val="nil"/>
            </w:tcBorders>
            <w:shd w:val="clear" w:color="auto" w:fill="FFFFFF"/>
          </w:tcPr>
          <w:p w14:paraId="5ABC8F59">
            <w:pPr>
              <w:pStyle w:val="54"/>
              <w:bidi w:val="0"/>
              <w:rPr>
                <w:b w:val="0"/>
              </w:rPr>
            </w:pPr>
            <w:r>
              <w:rPr>
                <w:rFonts w:hint="eastAsia"/>
                <w:b w:val="0"/>
                <w:lang w:val="en-US" w:eastAsia="zh-CN"/>
              </w:rPr>
              <w:t>&gt;</w:t>
            </w:r>
            <w:r>
              <w:rPr>
                <w:b w:val="0"/>
              </w:rPr>
              <w:t>120</w:t>
            </w:r>
          </w:p>
        </w:tc>
        <w:tc>
          <w:tcPr>
            <w:tcBorders>
              <w:top w:val="nil"/>
              <w:left w:val="nil"/>
              <w:bottom w:val="single" w:color="000000" w:sz="12" w:space="0"/>
              <w:right w:val="nil"/>
            </w:tcBorders>
            <w:shd w:val="clear" w:color="auto" w:fill="FFFFFF"/>
          </w:tcPr>
          <w:p w14:paraId="268E90A2">
            <w:pPr>
              <w:pStyle w:val="54"/>
              <w:bidi w:val="0"/>
              <w:rPr>
                <w:b w:val="0"/>
              </w:rPr>
            </w:pPr>
            <w:r>
              <w:rPr>
                <w:rFonts w:hint="eastAsia"/>
                <w:b w:val="0"/>
                <w:lang w:val="en-US" w:eastAsia="zh-CN"/>
              </w:rPr>
              <w:t>&gt;</w:t>
            </w:r>
            <w:r>
              <w:rPr>
                <w:b w:val="0"/>
              </w:rPr>
              <w:t>35</w:t>
            </w:r>
          </w:p>
        </w:tc>
        <w:tc>
          <w:tcPr>
            <w:tcBorders>
              <w:top w:val="nil"/>
              <w:left w:val="nil"/>
              <w:bottom w:val="single" w:color="000000" w:sz="12" w:space="0"/>
              <w:right w:val="nil"/>
            </w:tcBorders>
            <w:shd w:val="clear" w:color="auto" w:fill="FFFFFF"/>
          </w:tcPr>
          <w:p w14:paraId="14C64086">
            <w:pPr>
              <w:pStyle w:val="54"/>
              <w:bidi w:val="0"/>
              <w:rPr>
                <w:b w:val="0"/>
              </w:rPr>
            </w:pPr>
            <w:r>
              <w:rPr>
                <w:b w:val="0"/>
              </w:rPr>
              <w:t>275×160×42</w:t>
            </w:r>
          </w:p>
        </w:tc>
        <w:tc>
          <w:tcPr>
            <w:tcBorders>
              <w:top w:val="nil"/>
              <w:left w:val="nil"/>
              <w:bottom w:val="single" w:color="000000" w:sz="12" w:space="0"/>
              <w:right w:val="nil"/>
            </w:tcBorders>
            <w:shd w:val="clear" w:color="auto" w:fill="FFFFFF"/>
          </w:tcPr>
          <w:p w14:paraId="07D4C412">
            <w:pPr>
              <w:pStyle w:val="54"/>
              <w:bidi w:val="0"/>
              <w:rPr>
                <w:b w:val="0"/>
              </w:rPr>
            </w:pPr>
            <w:r>
              <w:rPr>
                <w:b w:val="0"/>
              </w:rPr>
              <w:t>1</w:t>
            </w:r>
          </w:p>
        </w:tc>
      </w:tr>
    </w:tbl>
    <w:p w14:paraId="4B35D8D6">
      <w:pPr>
        <w:rPr>
          <w:rFonts w:hint="default" w:ascii="Times New Roman" w:hAnsi="Times New Roman" w:cs="Times New Roman"/>
          <w:lang w:val="en-US" w:eastAsia="zh-CN"/>
        </w:rPr>
      </w:pPr>
      <w:r>
        <w:rPr>
          <w:rFonts w:hint="default" w:ascii="Times New Roman" w:hAnsi="Times New Roman" w:cs="Times New Roman"/>
          <w:lang w:val="en-US" w:eastAsia="zh-CN"/>
        </w:rPr>
        <w:t>机场机库的规模分级依据典型民用与军用机库的建筑尺度统计确定。统计样本中机库长度中位数约为 135 m、四分位范围为 100–320 m，宽度中位数约为 90.5 m、主要集中在 80–100 m，高度中位数约为 26.5 m、四分位范围为 20–41.8 m。在此基础上，小型机库对应单机或轻型飞机机库，中型机库对应宽体客机或大型军机机库，大型机库对应多机位、总装或超大型大跨机库。机库门作为最关键的围护构件，其高度通常占建筑高度的 90%–95%，门宽一般占可开口立面宽度的 65%–75%，这一尺度耦合关系在等效模型中通过开口与门窗比例参数统一表达。模拟代表值即各规模档在 FDS 建模中实际采用的长宽高，相邻档位之间以代表值中点划分边界。</w:t>
      </w:r>
    </w:p>
    <w:p w14:paraId="0F37218D">
      <w:pPr>
        <w:pStyle w:val="3"/>
        <w:bidi w:val="0"/>
        <w:ind w:left="575" w:leftChars="0" w:hanging="575" w:firstLineChars="0"/>
        <w:rPr>
          <w:rStyle w:val="23"/>
          <w:rFonts w:hint="default" w:ascii="Times New Roman" w:hAnsi="Times New Roman" w:cs="Times New Roman"/>
          <w:b/>
          <w:szCs w:val="28"/>
          <w:lang w:val="en-US" w:eastAsia="zh-CN"/>
        </w:rPr>
      </w:pPr>
      <w:bookmarkStart w:id="9" w:name="_Toc31948"/>
      <w:r>
        <w:rPr>
          <w:rStyle w:val="23"/>
          <w:rFonts w:hint="default" w:ascii="Times New Roman" w:hAnsi="Times New Roman" w:cs="Times New Roman"/>
          <w:b/>
          <w:szCs w:val="28"/>
          <w:lang w:val="en-US" w:eastAsia="zh-CN"/>
        </w:rPr>
        <w:t>工况覆盖</w:t>
      </w:r>
      <w:bookmarkEnd w:id="9"/>
    </w:p>
    <w:p w14:paraId="4C0853F8">
      <w:pPr>
        <w:rPr>
          <w:rFonts w:hint="default" w:ascii="Times New Roman" w:hAnsi="Times New Roman" w:cs="Times New Roman"/>
          <w:lang w:val="en-US" w:eastAsia="zh-CN"/>
        </w:rPr>
      </w:pPr>
      <w:r>
        <w:rPr>
          <w:rFonts w:hint="default" w:ascii="Times New Roman" w:hAnsi="Times New Roman" w:cs="Times New Roman"/>
          <w:lang w:val="en-US" w:eastAsia="zh-CN"/>
        </w:rPr>
        <w:t>航空航天与机场机库工况统一覆盖热通量、方位角、俯仰角和辐射持续时间四类热源条件。全部数据综合覆盖 250～30000 kW/m²热通量，主要方位角为 0°、90°、180°和 270°，俯仰角为 0°、30°、45°和 60°，主要辐射持续时间为 1.36 s、2.10 s 和 7.50 s。三个主要持续时间分别包含 1463、1445 和 1415 条合格工况，形成覆盖两个设施子类的统一比较基础。</w:t>
      </w:r>
    </w:p>
    <w:p w14:paraId="6946762D">
      <w:pPr>
        <w:rPr>
          <w:rFonts w:hint="default" w:ascii="Times New Roman" w:hAnsi="Times New Roman" w:cs="Times New Roman"/>
          <w:lang w:val="en-US" w:eastAsia="zh-CN"/>
        </w:rPr>
      </w:pPr>
      <w:r>
        <w:rPr>
          <w:rFonts w:hint="default" w:ascii="Times New Roman" w:hAnsi="Times New Roman" w:cs="Times New Roman"/>
          <w:lang w:val="en-US" w:eastAsia="zh-CN"/>
        </w:rPr>
        <w:t>各设施计算域、开口与敏感目标采用自身 FDS 模型中的实际参数。航空航天厂房、发射与控制建筑、机场机库以及大中小等效设施在统一规则下组织，使模型能够学习热源条件与建筑体量、开口和目标分布之间的耦合作用。</w:t>
      </w:r>
    </w:p>
    <w:p w14:paraId="5B791336">
      <w:pPr>
        <w:rPr>
          <w:rFonts w:hint="default" w:ascii="Times New Roman" w:hAnsi="Times New Roman" w:cs="Times New Roman"/>
          <w:lang w:val="en-US" w:eastAsia="zh-CN"/>
        </w:rPr>
      </w:pPr>
    </w:p>
    <w:p w14:paraId="03946950">
      <w:pPr>
        <w:pStyle w:val="3"/>
        <w:bidi w:val="0"/>
        <w:ind w:left="575" w:leftChars="0" w:hanging="575" w:firstLineChars="0"/>
        <w:rPr>
          <w:rStyle w:val="23"/>
          <w:rFonts w:hint="default" w:ascii="Times New Roman" w:hAnsi="Times New Roman" w:cs="Times New Roman"/>
          <w:b/>
          <w:szCs w:val="28"/>
          <w:lang w:val="en-US" w:eastAsia="zh-CN"/>
        </w:rPr>
      </w:pPr>
      <w:bookmarkStart w:id="10" w:name="_Toc10478"/>
      <w:r>
        <w:rPr>
          <w:rFonts w:hint="eastAsia"/>
        </w:rPr>
        <w:t>设施构型与目标特征覆盖</w:t>
      </w:r>
      <w:bookmarkEnd w:id="10"/>
    </w:p>
    <w:p w14:paraId="4A3C9B22">
      <w:pPr>
        <w:spacing w:line="312"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设施构型及目标特征涵盖几何尺度与围护条件、可燃物与敏感目标分布两方面的工程参数。实体墙、预制围护板、钢结构大跨度空间、局部防护玻璃、观察窗、设备搬运门和机库门，分别改变入射热通量的衰减和热量进入内部的路径。建筑平面面积、体积、高度等尺度参数通过影响迎火侧墙面面积、总开口比例等模型输入间接进入预测；设施类别则进一步区分控制、处理、总装、发射和机库等工程对象。</w:t>
      </w:r>
    </w:p>
    <w:p w14:paraId="378CA83F">
      <w:pPr>
        <w:spacing w:line="312"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可燃物与敏感目标参数用于表达单位平面范围内的目标密度以及迎火侧目标比例。航空航天厂房中的电子设备、电缆系统、复合材料、粘结剂、密封剂、涂层剂、泡沫或木质包装、切削油和润滑介质，机场机库中的航空器电缆、内饰、绝热材料、燃油残留、维修溶剂、涂层和检修材料，均通过 FDS 模型中的资产、可燃物和敏感目标配置进入损伤计算。报告层面将其归并为可燃物/敏感目标密度和迎火侧可燃物/敏感目标比例两项，避免把材料清单误作额外的独立特征类别。</w:t>
      </w:r>
    </w:p>
    <w:p w14:paraId="0AFD81CA">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rPr>
        <w:t>航空航天与机场机库设施 D</w:t>
      </w:r>
      <w:r>
        <w:rPr>
          <w:rFonts w:hint="default" w:ascii="Times New Roman" w:hAnsi="Times New Roman" w:cs="Times New Roman"/>
          <w:vertAlign w:val="subscript"/>
        </w:rPr>
        <w:t>k</w:t>
      </w:r>
      <w:r>
        <w:rPr>
          <w:rFonts w:hint="default" w:ascii="Times New Roman" w:hAnsi="Times New Roman" w:cs="Times New Roman"/>
        </w:rPr>
        <w:t xml:space="preserve"> 与HS等级分布</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2554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000000" w:sz="12" w:space="0"/>
              <w:left w:val="nil"/>
              <w:bottom w:val="single" w:color="000000" w:sz="4" w:space="0"/>
              <w:right w:val="nil"/>
              <w:tl2br w:val="nil"/>
            </w:tcBorders>
            <w:shd w:val="clear" w:color="auto" w:fill="FFFFFF"/>
          </w:tcPr>
          <w:p w14:paraId="07EBDDD8">
            <w:pPr>
              <w:pStyle w:val="54"/>
              <w:bidi w:val="0"/>
              <w:rPr>
                <w:rFonts w:hint="default"/>
              </w:rPr>
            </w:pPr>
            <w:r>
              <w:rPr>
                <w:rFonts w:hint="default"/>
                <w:lang w:eastAsia="zh-CN"/>
              </w:rPr>
              <w:t>HS</w:t>
            </w:r>
            <w:r>
              <w:rPr>
                <w:rFonts w:hint="default"/>
              </w:rPr>
              <w:t>等级</w:t>
            </w:r>
          </w:p>
        </w:tc>
        <w:tc>
          <w:tcPr>
            <w:tcW w:w="1384" w:type="dxa"/>
            <w:tcBorders>
              <w:top w:val="single" w:color="000000" w:sz="12" w:space="0"/>
              <w:left w:val="nil"/>
              <w:bottom w:val="single" w:color="000000" w:sz="4" w:space="0"/>
              <w:right w:val="nil"/>
            </w:tcBorders>
            <w:shd w:val="clear" w:color="auto" w:fill="FFFFFF"/>
          </w:tcPr>
          <w:p w14:paraId="7987CB5E">
            <w:pPr>
              <w:pStyle w:val="54"/>
              <w:bidi w:val="0"/>
              <w:rPr>
                <w:rFonts w:hint="default"/>
              </w:rPr>
            </w:pPr>
            <w:r>
              <w:rPr>
                <w:rFonts w:hint="default"/>
              </w:rPr>
              <w:t>Dk 范围</w:t>
            </w:r>
          </w:p>
        </w:tc>
        <w:tc>
          <w:tcPr>
            <w:tcW w:w="1384" w:type="dxa"/>
            <w:tcBorders>
              <w:top w:val="single" w:color="000000" w:sz="12" w:space="0"/>
              <w:left w:val="nil"/>
              <w:bottom w:val="single" w:color="000000" w:sz="4" w:space="0"/>
              <w:right w:val="nil"/>
            </w:tcBorders>
            <w:shd w:val="clear" w:color="auto" w:fill="FFFFFF"/>
          </w:tcPr>
          <w:p w14:paraId="029F5DC0">
            <w:pPr>
              <w:pStyle w:val="54"/>
              <w:bidi w:val="0"/>
              <w:rPr>
                <w:rFonts w:hint="default"/>
              </w:rPr>
            </w:pPr>
            <w:r>
              <w:rPr>
                <w:rFonts w:hint="default"/>
              </w:rPr>
              <w:t>航空航天设施</w:t>
            </w:r>
          </w:p>
        </w:tc>
        <w:tc>
          <w:tcPr>
            <w:tcW w:w="1384" w:type="dxa"/>
            <w:tcBorders>
              <w:top w:val="single" w:color="000000" w:sz="12" w:space="0"/>
              <w:left w:val="nil"/>
              <w:bottom w:val="single" w:color="000000" w:sz="4" w:space="0"/>
              <w:right w:val="nil"/>
            </w:tcBorders>
            <w:shd w:val="clear" w:color="auto" w:fill="FFFFFF"/>
          </w:tcPr>
          <w:p w14:paraId="1163E685">
            <w:pPr>
              <w:pStyle w:val="54"/>
              <w:bidi w:val="0"/>
              <w:rPr>
                <w:rFonts w:hint="default"/>
              </w:rPr>
            </w:pPr>
            <w:r>
              <w:rPr>
                <w:rFonts w:hint="default"/>
              </w:rPr>
              <w:t>机场机库设施</w:t>
            </w:r>
          </w:p>
        </w:tc>
        <w:tc>
          <w:tcPr>
            <w:tcW w:w="1384" w:type="dxa"/>
            <w:tcBorders>
              <w:top w:val="single" w:color="000000" w:sz="12" w:space="0"/>
              <w:left w:val="nil"/>
              <w:bottom w:val="single" w:color="000000" w:sz="4" w:space="0"/>
              <w:right w:val="nil"/>
            </w:tcBorders>
            <w:shd w:val="clear" w:color="auto" w:fill="FFFFFF"/>
          </w:tcPr>
          <w:p w14:paraId="3F1C0E9A">
            <w:pPr>
              <w:pStyle w:val="54"/>
              <w:bidi w:val="0"/>
              <w:rPr>
                <w:rFonts w:hint="default"/>
              </w:rPr>
            </w:pPr>
            <w:r>
              <w:rPr>
                <w:rFonts w:hint="default"/>
              </w:rPr>
              <w:t>合计</w:t>
            </w:r>
          </w:p>
        </w:tc>
        <w:tc>
          <w:tcPr>
            <w:tcW w:w="1384" w:type="dxa"/>
            <w:tcBorders>
              <w:top w:val="single" w:color="000000" w:sz="12" w:space="0"/>
              <w:left w:val="nil"/>
              <w:bottom w:val="single" w:color="000000" w:sz="4" w:space="0"/>
              <w:right w:val="nil"/>
            </w:tcBorders>
            <w:shd w:val="clear" w:color="auto" w:fill="FFFFFF"/>
          </w:tcPr>
          <w:p w14:paraId="4B2EE866">
            <w:pPr>
              <w:pStyle w:val="54"/>
              <w:bidi w:val="0"/>
              <w:rPr>
                <w:rFonts w:hint="default"/>
              </w:rPr>
            </w:pPr>
            <w:r>
              <w:rPr>
                <w:rFonts w:hint="default"/>
              </w:rPr>
              <w:t>合计占比</w:t>
            </w:r>
          </w:p>
        </w:tc>
      </w:tr>
      <w:tr w14:paraId="458C7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000000" w:sz="4" w:space="0"/>
              <w:left w:val="nil"/>
              <w:bottom w:val="nil"/>
              <w:right w:val="nil"/>
            </w:tcBorders>
            <w:shd w:val="clear" w:color="auto" w:fill="FFFFFF"/>
          </w:tcPr>
          <w:p w14:paraId="7910FD94">
            <w:pPr>
              <w:pStyle w:val="54"/>
              <w:bidi w:val="0"/>
              <w:rPr>
                <w:rFonts w:hint="default"/>
              </w:rPr>
            </w:pPr>
            <w:r>
              <w:rPr>
                <w:rFonts w:hint="default"/>
              </w:rPr>
              <w:t>基本完好</w:t>
            </w:r>
          </w:p>
        </w:tc>
        <w:tc>
          <w:tcPr>
            <w:tcW w:w="1384" w:type="dxa"/>
            <w:tcBorders>
              <w:top w:val="single" w:color="000000" w:sz="4" w:space="0"/>
              <w:left w:val="nil"/>
              <w:bottom w:val="nil"/>
              <w:right w:val="nil"/>
            </w:tcBorders>
            <w:shd w:val="clear" w:color="auto" w:fill="FFFFFF"/>
          </w:tcPr>
          <w:p w14:paraId="678BA151">
            <w:pPr>
              <w:pStyle w:val="54"/>
              <w:bidi w:val="0"/>
              <w:rPr>
                <w:rFonts w:hint="default"/>
              </w:rPr>
            </w:pPr>
            <w:r>
              <w:rPr>
                <w:rFonts w:hint="default"/>
              </w:rPr>
              <w:t>0 &lt;= D</w:t>
            </w:r>
            <w:r>
              <w:rPr>
                <w:rFonts w:hint="default"/>
                <w:vertAlign w:val="subscript"/>
              </w:rPr>
              <w:t>k</w:t>
            </w:r>
            <w:r>
              <w:rPr>
                <w:rFonts w:hint="default"/>
              </w:rPr>
              <w:t xml:space="preserve"> &lt; 0.04</w:t>
            </w:r>
          </w:p>
        </w:tc>
        <w:tc>
          <w:tcPr>
            <w:tcW w:w="1384" w:type="dxa"/>
            <w:tcBorders>
              <w:top w:val="single" w:color="000000" w:sz="4" w:space="0"/>
              <w:left w:val="nil"/>
              <w:bottom w:val="nil"/>
              <w:right w:val="nil"/>
            </w:tcBorders>
            <w:shd w:val="clear" w:color="auto" w:fill="FFFFFF"/>
            <w:vAlign w:val="top"/>
          </w:tcPr>
          <w:p>
            <w:r>
              <w:t>2082</w:t>
            </w:r>
          </w:p>
        </w:tc>
        <w:tc>
          <w:tcPr>
            <w:tcW w:w="1384" w:type="dxa"/>
            <w:tcBorders>
              <w:top w:val="single" w:color="000000" w:sz="4" w:space="0"/>
              <w:left w:val="nil"/>
              <w:bottom w:val="nil"/>
              <w:right w:val="nil"/>
            </w:tcBorders>
            <w:shd w:val="clear" w:color="auto" w:fill="FFFFFF"/>
            <w:vAlign w:val="top"/>
          </w:tcPr>
          <w:p>
            <w:r>
              <w:t>561</w:t>
            </w:r>
          </w:p>
        </w:tc>
        <w:tc>
          <w:tcPr>
            <w:tcW w:w="1384" w:type="dxa"/>
            <w:tcBorders>
              <w:top w:val="single" w:color="000000" w:sz="4" w:space="0"/>
              <w:left w:val="nil"/>
              <w:bottom w:val="nil"/>
              <w:right w:val="nil"/>
            </w:tcBorders>
            <w:shd w:val="clear" w:color="auto" w:fill="FFFFFF"/>
            <w:vAlign w:val="top"/>
          </w:tcPr>
          <w:p>
            <w:r>
              <w:t>2643</w:t>
            </w:r>
          </w:p>
        </w:tc>
        <w:tc>
          <w:tcPr>
            <w:tcW w:w="1384" w:type="dxa"/>
            <w:tcBorders>
              <w:top w:val="single" w:color="000000" w:sz="4" w:space="0"/>
              <w:left w:val="nil"/>
              <w:bottom w:val="nil"/>
              <w:right w:val="nil"/>
            </w:tcBorders>
            <w:shd w:val="clear" w:color="auto" w:fill="FFFFFF"/>
            <w:vAlign w:val="top"/>
          </w:tcPr>
          <w:p>
            <w:r>
              <w:t>58.56%</w:t>
            </w:r>
          </w:p>
        </w:tc>
      </w:tr>
      <w:tr w14:paraId="24A21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nil"/>
              <w:left w:val="nil"/>
              <w:bottom w:val="nil"/>
              <w:right w:val="nil"/>
            </w:tcBorders>
            <w:shd w:val="clear" w:color="auto" w:fill="FFFFFF"/>
          </w:tcPr>
          <w:p w14:paraId="52943601">
            <w:pPr>
              <w:pStyle w:val="54"/>
              <w:bidi w:val="0"/>
              <w:rPr>
                <w:rFonts w:hint="default"/>
              </w:rPr>
            </w:pPr>
            <w:r>
              <w:rPr>
                <w:rFonts w:hint="default"/>
              </w:rPr>
              <w:t>轻微破坏</w:t>
            </w:r>
          </w:p>
        </w:tc>
        <w:tc>
          <w:tcPr>
            <w:tcW w:w="1384" w:type="dxa"/>
            <w:tcBorders>
              <w:top w:val="nil"/>
              <w:left w:val="nil"/>
              <w:bottom w:val="nil"/>
              <w:right w:val="nil"/>
            </w:tcBorders>
            <w:shd w:val="clear" w:color="auto" w:fill="FFFFFF"/>
          </w:tcPr>
          <w:p w14:paraId="225E7AAF">
            <w:pPr>
              <w:pStyle w:val="54"/>
              <w:bidi w:val="0"/>
              <w:rPr>
                <w:rFonts w:hint="default"/>
              </w:rPr>
            </w:pPr>
            <w:r>
              <w:rPr>
                <w:rFonts w:hint="default"/>
              </w:rPr>
              <w:t>0.04 &lt;= D</w:t>
            </w:r>
            <w:r>
              <w:rPr>
                <w:rFonts w:hint="default"/>
                <w:vertAlign w:val="subscript"/>
              </w:rPr>
              <w:t>k</w:t>
            </w:r>
            <w:r>
              <w:rPr>
                <w:rFonts w:hint="default"/>
              </w:rPr>
              <w:t xml:space="preserve"> &lt; 0.10</w:t>
            </w:r>
          </w:p>
        </w:tc>
        <w:tc>
          <w:tcPr>
            <w:tcW w:w="1384" w:type="dxa"/>
            <w:tcBorders>
              <w:top w:val="nil"/>
              <w:left w:val="nil"/>
              <w:bottom w:val="nil"/>
              <w:right w:val="nil"/>
            </w:tcBorders>
            <w:shd w:val="clear" w:color="auto" w:fill="FFFFFF"/>
            <w:vAlign w:val="top"/>
          </w:tcPr>
          <w:p>
            <w:r>
              <w:t>301</w:t>
            </w:r>
          </w:p>
        </w:tc>
        <w:tc>
          <w:tcPr>
            <w:tcW w:w="1384" w:type="dxa"/>
            <w:tcBorders>
              <w:top w:val="nil"/>
              <w:left w:val="nil"/>
              <w:bottom w:val="nil"/>
              <w:right w:val="nil"/>
            </w:tcBorders>
            <w:shd w:val="clear" w:color="auto" w:fill="FFFFFF"/>
            <w:vAlign w:val="top"/>
          </w:tcPr>
          <w:p>
            <w:r>
              <w:t>27</w:t>
            </w:r>
          </w:p>
        </w:tc>
        <w:tc>
          <w:tcPr>
            <w:tcW w:w="1384" w:type="dxa"/>
            <w:tcBorders>
              <w:top w:val="nil"/>
              <w:left w:val="nil"/>
              <w:bottom w:val="nil"/>
              <w:right w:val="nil"/>
            </w:tcBorders>
            <w:shd w:val="clear" w:color="auto" w:fill="FFFFFF"/>
            <w:vAlign w:val="top"/>
          </w:tcPr>
          <w:p>
            <w:r>
              <w:t>328</w:t>
            </w:r>
          </w:p>
        </w:tc>
        <w:tc>
          <w:tcPr>
            <w:tcW w:w="1384" w:type="dxa"/>
            <w:tcBorders>
              <w:top w:val="nil"/>
              <w:left w:val="nil"/>
              <w:bottom w:val="nil"/>
              <w:right w:val="nil"/>
            </w:tcBorders>
            <w:shd w:val="clear" w:color="auto" w:fill="FFFFFF"/>
            <w:vAlign w:val="top"/>
          </w:tcPr>
          <w:p>
            <w:r>
              <w:t>7.27%</w:t>
            </w:r>
          </w:p>
        </w:tc>
      </w:tr>
      <w:tr w14:paraId="00731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4" w:type="dxa"/>
            <w:tcBorders>
              <w:top w:val="nil"/>
              <w:left w:val="nil"/>
              <w:bottom w:val="nil"/>
              <w:right w:val="nil"/>
            </w:tcBorders>
            <w:shd w:val="clear" w:color="auto" w:fill="FFFFFF"/>
          </w:tcPr>
          <w:p w14:paraId="7F4A75EA">
            <w:pPr>
              <w:pStyle w:val="54"/>
              <w:bidi w:val="0"/>
              <w:rPr>
                <w:rFonts w:hint="default"/>
              </w:rPr>
            </w:pPr>
            <w:r>
              <w:rPr>
                <w:rFonts w:hint="default"/>
              </w:rPr>
              <w:t>中等破坏</w:t>
            </w:r>
          </w:p>
        </w:tc>
        <w:tc>
          <w:tcPr>
            <w:tcW w:w="1384" w:type="dxa"/>
            <w:tcBorders>
              <w:top w:val="nil"/>
              <w:left w:val="nil"/>
              <w:bottom w:val="nil"/>
              <w:right w:val="nil"/>
            </w:tcBorders>
            <w:shd w:val="clear" w:color="auto" w:fill="FFFFFF"/>
          </w:tcPr>
          <w:p w14:paraId="3F4CB289">
            <w:pPr>
              <w:pStyle w:val="54"/>
              <w:bidi w:val="0"/>
              <w:rPr>
                <w:rFonts w:hint="default"/>
              </w:rPr>
            </w:pPr>
            <w:r>
              <w:rPr>
                <w:rFonts w:hint="default"/>
              </w:rPr>
              <w:t>0.10 &lt;= D</w:t>
            </w:r>
            <w:r>
              <w:rPr>
                <w:rFonts w:hint="default"/>
                <w:vertAlign w:val="subscript"/>
              </w:rPr>
              <w:t>k</w:t>
            </w:r>
            <w:r>
              <w:rPr>
                <w:rFonts w:hint="default"/>
              </w:rPr>
              <w:t xml:space="preserve"> &lt; 0.40</w:t>
            </w:r>
          </w:p>
        </w:tc>
        <w:tc>
          <w:tcPr>
            <w:tcW w:w="1384" w:type="dxa"/>
            <w:tcBorders>
              <w:top w:val="nil"/>
              <w:left w:val="nil"/>
              <w:bottom w:val="nil"/>
              <w:right w:val="nil"/>
            </w:tcBorders>
            <w:shd w:val="clear" w:color="auto" w:fill="FFFFFF"/>
            <w:vAlign w:val="top"/>
          </w:tcPr>
          <w:p>
            <w:r>
              <w:t>408</w:t>
            </w:r>
          </w:p>
        </w:tc>
        <w:tc>
          <w:tcPr>
            <w:tcW w:w="1384" w:type="dxa"/>
            <w:tcBorders>
              <w:top w:val="nil"/>
              <w:left w:val="nil"/>
              <w:bottom w:val="nil"/>
              <w:right w:val="nil"/>
            </w:tcBorders>
            <w:shd w:val="clear" w:color="auto" w:fill="FFFFFF"/>
            <w:vAlign w:val="top"/>
          </w:tcPr>
          <w:p>
            <w:r>
              <w:t>204</w:t>
            </w:r>
          </w:p>
        </w:tc>
        <w:tc>
          <w:tcPr>
            <w:tcW w:w="1384" w:type="dxa"/>
            <w:tcBorders>
              <w:top w:val="nil"/>
              <w:left w:val="nil"/>
              <w:bottom w:val="nil"/>
              <w:right w:val="nil"/>
            </w:tcBorders>
            <w:shd w:val="clear" w:color="auto" w:fill="FFFFFF"/>
            <w:vAlign w:val="top"/>
          </w:tcPr>
          <w:p>
            <w:r>
              <w:t>612</w:t>
            </w:r>
          </w:p>
        </w:tc>
        <w:tc>
          <w:tcPr>
            <w:tcW w:w="1384" w:type="dxa"/>
            <w:tcBorders>
              <w:top w:val="nil"/>
              <w:left w:val="nil"/>
              <w:bottom w:val="nil"/>
              <w:right w:val="nil"/>
            </w:tcBorders>
            <w:shd w:val="clear" w:color="auto" w:fill="FFFFFF"/>
            <w:vAlign w:val="top"/>
          </w:tcPr>
          <w:p>
            <w:r>
              <w:t>13.56%</w:t>
            </w:r>
          </w:p>
        </w:tc>
      </w:tr>
      <w:tr w14:paraId="42A26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nil"/>
              <w:left w:val="nil"/>
              <w:bottom w:val="nil"/>
              <w:right w:val="nil"/>
            </w:tcBorders>
            <w:shd w:val="clear" w:color="auto" w:fill="FFFFFF"/>
          </w:tcPr>
          <w:p w14:paraId="2B502EAC">
            <w:pPr>
              <w:pStyle w:val="54"/>
              <w:bidi w:val="0"/>
              <w:rPr>
                <w:rFonts w:hint="default"/>
              </w:rPr>
            </w:pPr>
            <w:r>
              <w:rPr>
                <w:rFonts w:hint="default"/>
              </w:rPr>
              <w:t>严重破坏</w:t>
            </w:r>
          </w:p>
        </w:tc>
        <w:tc>
          <w:tcPr>
            <w:tcW w:w="1384" w:type="dxa"/>
            <w:tcBorders>
              <w:top w:val="nil"/>
              <w:left w:val="nil"/>
              <w:bottom w:val="nil"/>
              <w:right w:val="nil"/>
            </w:tcBorders>
            <w:shd w:val="clear" w:color="auto" w:fill="FFFFFF"/>
          </w:tcPr>
          <w:p w14:paraId="5FE32770">
            <w:pPr>
              <w:pStyle w:val="54"/>
              <w:bidi w:val="0"/>
              <w:rPr>
                <w:rFonts w:hint="default"/>
              </w:rPr>
            </w:pPr>
            <w:r>
              <w:rPr>
                <w:rFonts w:hint="default"/>
              </w:rPr>
              <w:t>0.40 &lt;= D</w:t>
            </w:r>
            <w:r>
              <w:rPr>
                <w:rFonts w:hint="default"/>
                <w:vertAlign w:val="subscript"/>
              </w:rPr>
              <w:t>k</w:t>
            </w:r>
            <w:r>
              <w:rPr>
                <w:rFonts w:hint="default"/>
              </w:rPr>
              <w:t xml:space="preserve"> &lt;= 1.00</w:t>
            </w:r>
          </w:p>
        </w:tc>
        <w:tc>
          <w:tcPr>
            <w:tcW w:w="1384" w:type="dxa"/>
            <w:tcBorders>
              <w:top w:val="nil"/>
              <w:left w:val="nil"/>
              <w:bottom w:val="nil"/>
              <w:right w:val="nil"/>
            </w:tcBorders>
            <w:shd w:val="clear" w:color="auto" w:fill="FFFFFF"/>
            <w:vAlign w:val="top"/>
          </w:tcPr>
          <w:p>
            <w:r>
              <w:t>416</w:t>
            </w:r>
          </w:p>
        </w:tc>
        <w:tc>
          <w:tcPr>
            <w:tcW w:w="1384" w:type="dxa"/>
            <w:tcBorders>
              <w:top w:val="nil"/>
              <w:left w:val="nil"/>
              <w:bottom w:val="nil"/>
              <w:right w:val="nil"/>
            </w:tcBorders>
            <w:shd w:val="clear" w:color="auto" w:fill="FFFFFF"/>
            <w:vAlign w:val="top"/>
          </w:tcPr>
          <w:p>
            <w:r>
              <w:t>514</w:t>
            </w:r>
          </w:p>
        </w:tc>
        <w:tc>
          <w:tcPr>
            <w:tcW w:w="1384" w:type="dxa"/>
            <w:tcBorders>
              <w:top w:val="nil"/>
              <w:left w:val="nil"/>
              <w:bottom w:val="nil"/>
              <w:right w:val="nil"/>
            </w:tcBorders>
            <w:shd w:val="clear" w:color="auto" w:fill="FFFFFF"/>
            <w:vAlign w:val="top"/>
          </w:tcPr>
          <w:p>
            <w:r>
              <w:t>930</w:t>
            </w:r>
          </w:p>
        </w:tc>
        <w:tc>
          <w:tcPr>
            <w:tcW w:w="1384" w:type="dxa"/>
            <w:tcBorders>
              <w:top w:val="nil"/>
              <w:left w:val="nil"/>
              <w:bottom w:val="nil"/>
              <w:right w:val="nil"/>
            </w:tcBorders>
            <w:shd w:val="clear" w:color="auto" w:fill="FFFFFF"/>
            <w:vAlign w:val="top"/>
          </w:tcPr>
          <w:p>
            <w:r>
              <w:t>20.61%</w:t>
            </w:r>
          </w:p>
        </w:tc>
      </w:tr>
      <w:tr w14:paraId="5342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nil"/>
              <w:left w:val="nil"/>
              <w:bottom w:val="single" w:color="000000" w:sz="12" w:space="0"/>
              <w:right w:val="nil"/>
            </w:tcBorders>
            <w:shd w:val="clear" w:color="auto" w:fill="FFFFFF"/>
          </w:tcPr>
          <w:p w14:paraId="0F232F68">
            <w:pPr>
              <w:pStyle w:val="54"/>
              <w:bidi w:val="0"/>
              <w:rPr>
                <w:rFonts w:hint="default"/>
              </w:rPr>
            </w:pPr>
            <w:r>
              <w:rPr>
                <w:rFonts w:hint="default"/>
              </w:rPr>
              <w:t>合计</w:t>
            </w:r>
          </w:p>
        </w:tc>
        <w:tc>
          <w:tcPr>
            <w:tcW w:w="1384" w:type="dxa"/>
            <w:tcBorders>
              <w:top w:val="nil"/>
              <w:left w:val="nil"/>
              <w:bottom w:val="single" w:color="000000" w:sz="12" w:space="0"/>
              <w:right w:val="nil"/>
            </w:tcBorders>
            <w:shd w:val="clear" w:color="auto" w:fill="FFFFFF"/>
          </w:tcPr>
          <w:p w14:paraId="769B5658">
            <w:pPr>
              <w:pStyle w:val="54"/>
              <w:bidi w:val="0"/>
              <w:rPr>
                <w:rFonts w:hint="default"/>
              </w:rPr>
            </w:pPr>
            <w:r>
              <w:rPr>
                <w:rFonts w:hint="default"/>
              </w:rPr>
              <w:t>—</w:t>
            </w:r>
          </w:p>
        </w:tc>
        <w:tc>
          <w:tcPr>
            <w:tcW w:w="1384" w:type="dxa"/>
            <w:tcBorders>
              <w:top w:val="nil"/>
              <w:left w:val="nil"/>
              <w:bottom w:val="single" w:color="000000" w:sz="12" w:space="0"/>
              <w:right w:val="nil"/>
            </w:tcBorders>
            <w:shd w:val="clear" w:color="auto" w:fill="FFFFFF"/>
            <w:vAlign w:val="top"/>
          </w:tcPr>
          <w:p>
            <w:r>
              <w:t>3207</w:t>
            </w:r>
          </w:p>
        </w:tc>
        <w:tc>
          <w:tcPr>
            <w:tcW w:w="1384" w:type="dxa"/>
            <w:tcBorders>
              <w:top w:val="nil"/>
              <w:left w:val="nil"/>
              <w:bottom w:val="single" w:color="000000" w:sz="12" w:space="0"/>
              <w:right w:val="nil"/>
            </w:tcBorders>
            <w:shd w:val="clear" w:color="auto" w:fill="FFFFFF"/>
            <w:vAlign w:val="top"/>
          </w:tcPr>
          <w:p>
            <w:r>
              <w:t>1306</w:t>
            </w:r>
          </w:p>
        </w:tc>
        <w:tc>
          <w:tcPr>
            <w:tcW w:w="1384" w:type="dxa"/>
            <w:tcBorders>
              <w:top w:val="nil"/>
              <w:left w:val="nil"/>
              <w:bottom w:val="single" w:color="000000" w:sz="12" w:space="0"/>
              <w:right w:val="nil"/>
            </w:tcBorders>
            <w:shd w:val="clear" w:color="auto" w:fill="FFFFFF"/>
            <w:vAlign w:val="top"/>
          </w:tcPr>
          <w:p>
            <w:r>
              <w:t>4513</w:t>
            </w:r>
          </w:p>
        </w:tc>
        <w:tc>
          <w:tcPr>
            <w:tcW w:w="1384" w:type="dxa"/>
            <w:tcBorders>
              <w:top w:val="nil"/>
              <w:left w:val="nil"/>
              <w:bottom w:val="single" w:color="000000" w:sz="12" w:space="0"/>
              <w:right w:val="nil"/>
            </w:tcBorders>
            <w:shd w:val="clear" w:color="auto" w:fill="FFFFFF"/>
            <w:vAlign w:val="top"/>
          </w:tcPr>
          <w:p>
            <w:r>
              <w:t>100.00%</w:t>
            </w:r>
          </w:p>
        </w:tc>
      </w:tr>
    </w:tbl>
    <w:p w14:paraId="3218BB73">
      <w:pPr>
        <w:spacing w:line="312" w:lineRule="auto"/>
        <w:ind w:firstLine="480" w:firstLineChars="200"/>
        <w:rPr>
          <w:rFonts w:hint="default" w:ascii="Times New Roman" w:hAnsi="Times New Roman" w:cs="Times New Roman"/>
          <w:sz w:val="24"/>
          <w:szCs w:val="24"/>
        </w:rPr>
      </w:pPr>
    </w:p>
    <w:p w14:paraId="17D2471B">
      <w:pPr>
        <w:spacing w:line="312"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合并数据覆盖从基本完好到严重破坏的完整等级范围。航空航天设施以基本完好和中等破坏为主，机场机库设施中严重破坏占比较高，反映高价值航空器、开口方向和目标集中布置对设施级 D</w:t>
      </w:r>
      <w:r>
        <w:rPr>
          <w:rFonts w:hint="default" w:ascii="Times New Roman" w:hAnsi="Times New Roman" w:cs="Times New Roman"/>
          <w:sz w:val="24"/>
          <w:szCs w:val="24"/>
          <w:vertAlign w:val="subscript"/>
        </w:rPr>
        <w:t>k</w:t>
      </w:r>
      <w:r>
        <w:rPr>
          <w:rFonts w:hint="default" w:ascii="Times New Roman" w:hAnsi="Times New Roman" w:cs="Times New Roman"/>
          <w:sz w:val="24"/>
          <w:szCs w:val="24"/>
        </w:rPr>
        <w:t xml:space="preserve"> 的影响。轻微破坏样本处于较窄的 D</w:t>
      </w:r>
      <w:r>
        <w:rPr>
          <w:rFonts w:hint="default" w:ascii="Times New Roman" w:hAnsi="Times New Roman" w:cs="Times New Roman"/>
          <w:sz w:val="24"/>
          <w:szCs w:val="24"/>
          <w:vertAlign w:val="subscript"/>
        </w:rPr>
        <w:t>k</w:t>
      </w:r>
      <w:r>
        <w:rPr>
          <w:rFonts w:hint="default" w:ascii="Times New Roman" w:hAnsi="Times New Roman" w:cs="Times New Roman"/>
          <w:sz w:val="24"/>
          <w:szCs w:val="24"/>
        </w:rPr>
        <w:t xml:space="preserve"> 区间，模型分类任务采用类别平衡方式训练，使各等级能够参与有效分裂。</w:t>
      </w:r>
    </w:p>
    <w:p w14:paraId="34D14B0B">
      <w:pPr>
        <w:spacing w:line="312"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基本完好表示设施整体 D</w:t>
      </w:r>
      <w:r>
        <w:rPr>
          <w:rFonts w:hint="default" w:ascii="Times New Roman" w:hAnsi="Times New Roman" w:cs="Times New Roman"/>
          <w:sz w:val="24"/>
          <w:szCs w:val="24"/>
          <w:vertAlign w:val="subscript"/>
        </w:rPr>
        <w:t>k</w:t>
      </w:r>
      <w:r>
        <w:rPr>
          <w:rFonts w:hint="default" w:ascii="Times New Roman" w:hAnsi="Times New Roman" w:cs="Times New Roman"/>
          <w:sz w:val="24"/>
          <w:szCs w:val="24"/>
        </w:rPr>
        <w:t xml:space="preserve"> 未达到 0.04，不代表每一项设备、航空器或局部构件都没有温升和维修费用。围护结构、受热距离、开口方向和遮挡可能使资产实际受热低于名义入射热通量；短时热脉冲也可能不足以使厚重构件或受保护设备达到有效损伤条件。对于建筑体量和资产价值基数较大的设施，少量局部损伤经价值加权后仍可能保持较低 D</w:t>
      </w:r>
      <w:r>
        <w:rPr>
          <w:rFonts w:hint="default" w:ascii="Times New Roman" w:hAnsi="Times New Roman" w:cs="Times New Roman"/>
          <w:sz w:val="24"/>
          <w:szCs w:val="24"/>
          <w:vertAlign w:val="subscript"/>
        </w:rPr>
        <w:t>k</w:t>
      </w:r>
      <w:r>
        <w:rPr>
          <w:rFonts w:hint="default" w:ascii="Times New Roman" w:hAnsi="Times New Roman" w:cs="Times New Roman"/>
          <w:sz w:val="24"/>
          <w:szCs w:val="24"/>
        </w:rPr>
        <w:t>。</w:t>
      </w:r>
    </w:p>
    <w:p w14:paraId="546FBD59">
      <w:pPr>
        <w:spacing w:line="312"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大型航空航天等效设施的 103 条合格观测工况最大 D</w:t>
      </w:r>
      <w:r>
        <w:rPr>
          <w:rFonts w:hint="default" w:ascii="Times New Roman" w:hAnsi="Times New Roman" w:cs="Times New Roman"/>
          <w:sz w:val="24"/>
          <w:szCs w:val="24"/>
          <w:vertAlign w:val="subscript"/>
        </w:rPr>
        <w:t>k</w:t>
      </w:r>
      <w:r>
        <w:rPr>
          <w:rFonts w:hint="default" w:ascii="Times New Roman" w:hAnsi="Times New Roman" w:cs="Times New Roman"/>
          <w:sz w:val="24"/>
          <w:szCs w:val="24"/>
        </w:rPr>
        <w:t xml:space="preserve"> 约为 0.000424，全部低于轻微破坏阈值。该结果与其较大的建筑体量、资产价值基数、围护衰减以及局部损伤占比有关，只说明当前观测与扫描范围内设施级损失未跨越阈值，不表示该设施在任意更高热负荷或更长作用时间下均不会受损。</w:t>
      </w:r>
    </w:p>
    <w:p w14:paraId="50BA3716">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B42DCB5">
      <w:pPr>
        <w:pStyle w:val="2"/>
        <w:bidi w:val="0"/>
        <w:rPr>
          <w:rStyle w:val="23"/>
          <w:rFonts w:hint="default" w:ascii="Times New Roman" w:hAnsi="Times New Roman" w:cs="Times New Roman"/>
          <w:b/>
          <w:sz w:val="32"/>
          <w:szCs w:val="32"/>
          <w:lang w:val="en-US" w:eastAsia="zh-CN"/>
        </w:rPr>
      </w:pPr>
      <w:bookmarkStart w:id="11" w:name="_Toc19634"/>
      <w:r>
        <w:rPr>
          <w:rFonts w:hint="default" w:ascii="Times New Roman" w:hAnsi="Times New Roman" w:cs="Times New Roman"/>
          <w:lang w:val="en-US" w:eastAsia="zh-CN"/>
        </w:rPr>
        <w:t>特征参数工程</w:t>
      </w:r>
      <w:bookmarkEnd w:id="11"/>
    </w:p>
    <w:p w14:paraId="362A10D9">
      <w:pPr>
        <w:rPr>
          <w:rFonts w:hint="default" w:ascii="Times New Roman" w:hAnsi="Times New Roman" w:cs="Times New Roman"/>
          <w:lang w:val="en-US" w:eastAsia="zh-CN"/>
        </w:rPr>
      </w:pPr>
      <w:r>
        <w:rPr>
          <w:rFonts w:hint="default" w:ascii="Times New Roman" w:hAnsi="Times New Roman" w:cs="Times New Roman"/>
          <w:lang w:val="en-US" w:eastAsia="zh-CN"/>
        </w:rPr>
        <w:t>特征参数是连接原始数据与机器学习模型的桥梁。代理模型采用</w:t>
      </w:r>
      <w:r>
        <w:rPr>
          <w:rFonts w:hint="eastAsia" w:ascii="Times New Roman" w:hAnsi="Times New Roman" w:cs="Times New Roman"/>
          <w:lang w:val="en-US" w:eastAsia="zh-CN"/>
        </w:rPr>
        <w:t>多</w:t>
      </w:r>
      <w:r>
        <w:rPr>
          <w:rFonts w:hint="default" w:ascii="Times New Roman" w:hAnsi="Times New Roman" w:cs="Times New Roman"/>
          <w:lang w:val="en-US" w:eastAsia="zh-CN"/>
        </w:rPr>
        <w:t>维输入特征向量完整描述建筑属性、热源工况</w:t>
      </w:r>
      <w:r>
        <w:rPr>
          <w:rFonts w:hint="eastAsia" w:ascii="Times New Roman" w:hAnsi="Times New Roman" w:cs="Times New Roman"/>
          <w:lang w:val="en-US" w:eastAsia="zh-CN"/>
        </w:rPr>
        <w:t>、可燃物特征等</w:t>
      </w:r>
      <w:r>
        <w:rPr>
          <w:rFonts w:hint="default" w:ascii="Times New Roman" w:hAnsi="Times New Roman" w:cs="Times New Roman"/>
          <w:lang w:val="en-US" w:eastAsia="zh-CN"/>
        </w:rPr>
        <w:t>。这一特征设计遵循完整性、独立性和有效性原则，确保模型能够充分捕捉影响HS评估的关键因素。本章将从设计原则、各维度特征含义和重要性分析三个方面进行详细阐述。</w:t>
      </w:r>
    </w:p>
    <w:p w14:paraId="55794D69">
      <w:pPr>
        <w:pStyle w:val="3"/>
        <w:bidi w:val="0"/>
        <w:rPr>
          <w:rFonts w:hint="default" w:ascii="Times New Roman" w:hAnsi="Times New Roman" w:cs="Times New Roman"/>
          <w:lang w:val="en-US" w:eastAsia="zh-CN"/>
        </w:rPr>
      </w:pPr>
      <w:bookmarkStart w:id="12" w:name="_Toc31067"/>
      <w:r>
        <w:rPr>
          <w:rFonts w:hint="default" w:ascii="Times New Roman" w:hAnsi="Times New Roman" w:cs="Times New Roman"/>
          <w:lang w:val="en-US" w:eastAsia="zh-CN"/>
        </w:rPr>
        <w:t>特征分类</w:t>
      </w:r>
      <w:bookmarkEnd w:id="12"/>
    </w:p>
    <w:p w14:paraId="47478AAB">
      <w:pPr>
        <w:rPr>
          <w:rFonts w:hint="default" w:ascii="Times New Roman" w:hAnsi="Times New Roman" w:cs="Times New Roman"/>
          <w:lang w:val="en-US" w:eastAsia="zh-CN"/>
        </w:rPr>
      </w:pPr>
      <w:r>
        <w:rPr>
          <w:rFonts w:hint="default" w:ascii="Times New Roman" w:hAnsi="Times New Roman" w:cs="Times New Roman"/>
          <w:lang w:val="en-US" w:eastAsia="zh-CN"/>
        </w:rPr>
        <w:t>模型输入按工程来源归并为热源工况特征与设施构型及目标特征两类。热源工况特征描述外部热辐射的作用条件，包括入射强度、作用时间、累积剂量和入射方向；设施构型及目标特征描述设施自身的几何尺度、围护与开口条件以及内部可燃物和敏感目标的分布情况。两者共同决定同一设施在不同热源工况下的毁伤响应。</w:t>
      </w:r>
    </w:p>
    <w:p w14:paraId="2F4A06F6">
      <w:pPr>
        <w:rPr>
          <w:rFonts w:hint="default" w:ascii="Times New Roman" w:hAnsi="Times New Roman" w:cs="Times New Roman"/>
          <w:lang w:val="en-US" w:eastAsia="zh-CN"/>
        </w:rPr>
      </w:pPr>
      <w:r>
        <w:rPr>
          <w:rFonts w:hint="default" w:ascii="Times New Roman" w:hAnsi="Times New Roman" w:cs="Times New Roman"/>
          <w:lang w:val="en-US" w:eastAsia="zh-CN"/>
        </w:rPr>
        <w:t>本报告对每个设施（或每个等效目标）分别训练专属代理模型，模型的输入特征只包含实际参与该设施训练的列。所有设施共用的基础特征为 11 项（见下表），涵盖热源工况与设施构型两类；个别设施根据其开口、门窗条件补充少量扩展特征。由于每个设施使用自身 FDS 模型中的实际几何与目标参数，设施类别不再作为独立特征进入模型，而是通过"每设施一个模型"的结构体现设施间的差异。</w:t>
      </w:r>
    </w:p>
    <w:p w14:paraId="3592AB24">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rPr>
        <w:t xml:space="preserve"> </w:t>
      </w:r>
      <w:r>
        <w:rPr>
          <w:rFonts w:hint="eastAsia"/>
          <w:b/>
          <w:bCs/>
        </w:rPr>
        <w:t>模型输入特征与工程含义</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05B65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12" w:space="0"/>
              <w:left w:val="nil"/>
              <w:bottom w:val="single" w:color="000000" w:sz="4" w:space="0"/>
              <w:right w:val="nil"/>
              <w:tl2br w:val="nil"/>
            </w:tcBorders>
            <w:shd w:val="clear" w:color="auto" w:fill="FFFFFF"/>
            <w:vAlign w:val="top"/>
          </w:tcPr>
          <w:p w14:paraId="072DD999">
            <w:pPr>
              <w:pStyle w:val="54"/>
              <w:bidi w:val="0"/>
              <w:rPr>
                <w:rFonts w:hint="default"/>
                <w:b w:val="0"/>
              </w:rPr>
            </w:pPr>
            <w:r>
              <w:rPr>
                <w:rFonts w:hint="eastAsia"/>
                <w:b w:val="0"/>
              </w:rPr>
              <w:t>特征类别</w:t>
            </w:r>
          </w:p>
        </w:tc>
        <w:tc>
          <w:tcPr>
            <w:tcW w:w="2769" w:type="dxa"/>
            <w:tcBorders>
              <w:top w:val="single" w:color="000000" w:sz="12" w:space="0"/>
              <w:left w:val="nil"/>
              <w:bottom w:val="single" w:color="000000" w:sz="4" w:space="0"/>
              <w:right w:val="nil"/>
            </w:tcBorders>
            <w:shd w:val="clear" w:color="auto" w:fill="FFFFFF"/>
            <w:vAlign w:val="top"/>
          </w:tcPr>
          <w:p w14:paraId="26D4F6D9">
            <w:pPr>
              <w:pStyle w:val="54"/>
              <w:bidi w:val="0"/>
              <w:rPr>
                <w:rFonts w:hint="default"/>
                <w:b w:val="0"/>
              </w:rPr>
            </w:pPr>
            <w:r>
              <w:rPr>
                <w:rFonts w:hint="eastAsia"/>
                <w:b w:val="0"/>
              </w:rPr>
              <w:t>输入特征</w:t>
            </w:r>
          </w:p>
        </w:tc>
        <w:tc>
          <w:tcPr>
            <w:tcW w:w="2769" w:type="dxa"/>
            <w:tcBorders>
              <w:top w:val="single" w:color="000000" w:sz="12" w:space="0"/>
              <w:left w:val="nil"/>
              <w:bottom w:val="single" w:color="000000" w:sz="4" w:space="0"/>
              <w:right w:val="nil"/>
            </w:tcBorders>
            <w:shd w:val="clear" w:color="auto" w:fill="FFFFFF"/>
            <w:vAlign w:val="top"/>
          </w:tcPr>
          <w:p w14:paraId="45E2A0A7">
            <w:pPr>
              <w:pStyle w:val="54"/>
              <w:bidi w:val="0"/>
              <w:rPr>
                <w:rFonts w:hint="default"/>
                <w:b w:val="0"/>
              </w:rPr>
            </w:pPr>
            <w:r>
              <w:rPr>
                <w:rFonts w:hint="eastAsia"/>
                <w:b w:val="0"/>
              </w:rPr>
              <w:t>工程含义</w:t>
            </w:r>
          </w:p>
        </w:tc>
      </w:tr>
      <w:tr w14:paraId="4A39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4" w:space="0"/>
              <w:left w:val="nil"/>
              <w:bottom w:val="nil"/>
              <w:right w:val="nil"/>
            </w:tcBorders>
            <w:shd w:val="clear" w:color="auto" w:fill="FFFFFF"/>
            <w:vAlign w:val="top"/>
          </w:tcPr>
          <w:p w14:paraId="1A7C4A8A">
            <w:pPr>
              <w:pStyle w:val="54"/>
              <w:bidi w:val="0"/>
              <w:rPr>
                <w:rFonts w:hint="default"/>
                <w:b w:val="0"/>
              </w:rPr>
            </w:pPr>
            <w:r>
              <w:rPr>
                <w:rFonts w:hint="eastAsia"/>
                <w:b w:val="0"/>
              </w:rPr>
              <w:t>热源工况特征</w:t>
            </w:r>
          </w:p>
        </w:tc>
        <w:tc>
          <w:tcPr>
            <w:tcW w:w="2769" w:type="dxa"/>
            <w:tcBorders>
              <w:top w:val="single" w:color="000000" w:sz="4" w:space="0"/>
              <w:left w:val="nil"/>
              <w:bottom w:val="nil"/>
              <w:right w:val="nil"/>
            </w:tcBorders>
            <w:shd w:val="clear" w:color="auto" w:fill="FFFFFF"/>
            <w:vAlign w:val="top"/>
          </w:tcPr>
          <w:p w14:paraId="063150FA">
            <w:pPr>
              <w:pStyle w:val="54"/>
              <w:bidi w:val="0"/>
              <w:rPr>
                <w:rFonts w:hint="default"/>
                <w:b w:val="0"/>
              </w:rPr>
            </w:pPr>
            <w:r>
              <w:rPr>
                <w:rFonts w:hint="eastAsia"/>
                <w:b w:val="0"/>
              </w:rPr>
              <w:t>热通量（对数）</w:t>
            </w:r>
          </w:p>
        </w:tc>
        <w:tc>
          <w:tcPr>
            <w:tcW w:w="2769" w:type="dxa"/>
            <w:tcBorders>
              <w:top w:val="single" w:color="000000" w:sz="4" w:space="0"/>
              <w:left w:val="nil"/>
              <w:bottom w:val="nil"/>
              <w:right w:val="nil"/>
            </w:tcBorders>
            <w:shd w:val="clear" w:color="auto" w:fill="FFFFFF"/>
            <w:vAlign w:val="top"/>
          </w:tcPr>
          <w:p w14:paraId="6758CEF8">
            <w:pPr>
              <w:pStyle w:val="54"/>
              <w:bidi w:val="0"/>
              <w:rPr>
                <w:rFonts w:hint="default"/>
                <w:b w:val="0"/>
              </w:rPr>
            </w:pPr>
            <w:r>
              <w:rPr>
                <w:rFonts w:hint="eastAsia"/>
                <w:b w:val="0"/>
              </w:rPr>
              <w:t>外部入射热辐射强度的对数形式，降低高低通量数值跨度</w:t>
            </w:r>
          </w:p>
        </w:tc>
      </w:tr>
      <w:tr w14:paraId="3BD99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036BF959">
            <w:pPr>
              <w:pStyle w:val="54"/>
              <w:bidi w:val="0"/>
              <w:rPr>
                <w:rFonts w:hint="default"/>
                <w:b w:val="0"/>
              </w:rPr>
            </w:pPr>
            <w:r>
              <w:rPr>
                <w:rFonts w:hint="eastAsia"/>
                <w:b w:val="0"/>
              </w:rPr>
              <w:t>热源工况特征</w:t>
            </w:r>
          </w:p>
        </w:tc>
        <w:tc>
          <w:tcPr>
            <w:tcW w:w="2769" w:type="dxa"/>
            <w:tcBorders>
              <w:top w:val="nil"/>
              <w:left w:val="nil"/>
              <w:bottom w:val="nil"/>
              <w:right w:val="nil"/>
            </w:tcBorders>
            <w:shd w:val="clear" w:color="auto" w:fill="FFFFFF"/>
            <w:vAlign w:val="top"/>
          </w:tcPr>
          <w:p w14:paraId="6B5E9AFD">
            <w:pPr>
              <w:pStyle w:val="54"/>
              <w:bidi w:val="0"/>
              <w:rPr>
                <w:rFonts w:hint="default"/>
                <w:b w:val="0"/>
              </w:rPr>
            </w:pPr>
            <w:r>
              <w:rPr>
                <w:rFonts w:hint="eastAsia"/>
                <w:b w:val="0"/>
              </w:rPr>
              <w:t>辐射持续时间</w:t>
            </w:r>
          </w:p>
        </w:tc>
        <w:tc>
          <w:tcPr>
            <w:tcW w:w="2769" w:type="dxa"/>
            <w:tcBorders>
              <w:top w:val="nil"/>
              <w:left w:val="nil"/>
              <w:bottom w:val="nil"/>
              <w:right w:val="nil"/>
            </w:tcBorders>
            <w:shd w:val="clear" w:color="auto" w:fill="FFFFFF"/>
            <w:vAlign w:val="top"/>
          </w:tcPr>
          <w:p w14:paraId="693AE346">
            <w:pPr>
              <w:pStyle w:val="54"/>
              <w:bidi w:val="0"/>
              <w:rPr>
                <w:rFonts w:hint="default"/>
                <w:b w:val="0"/>
              </w:rPr>
            </w:pPr>
            <w:r>
              <w:rPr>
                <w:rFonts w:hint="eastAsia"/>
                <w:b w:val="0"/>
              </w:rPr>
              <w:t>热辐射作用时间（秒），同时保留离散持续时间档位</w:t>
            </w:r>
          </w:p>
        </w:tc>
      </w:tr>
      <w:tr w14:paraId="5914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nil"/>
              <w:right w:val="nil"/>
            </w:tcBorders>
            <w:shd w:val="clear" w:color="auto" w:fill="FFFFFF"/>
            <w:vAlign w:val="top"/>
          </w:tcPr>
          <w:p w14:paraId="5BBB6C7E">
            <w:pPr>
              <w:pStyle w:val="54"/>
              <w:bidi w:val="0"/>
              <w:rPr>
                <w:rFonts w:hint="default"/>
                <w:b w:val="0"/>
              </w:rPr>
            </w:pPr>
            <w:r>
              <w:rPr>
                <w:rFonts w:hint="eastAsia"/>
                <w:b w:val="0"/>
              </w:rPr>
              <w:t>热源工况特征</w:t>
            </w:r>
          </w:p>
        </w:tc>
        <w:tc>
          <w:tcPr>
            <w:tcW w:w="2769" w:type="dxa"/>
            <w:tcBorders>
              <w:top w:val="nil"/>
              <w:left w:val="nil"/>
              <w:bottom w:val="nil"/>
              <w:right w:val="nil"/>
            </w:tcBorders>
            <w:shd w:val="clear" w:color="auto" w:fill="FFFFFF"/>
            <w:vAlign w:val="top"/>
          </w:tcPr>
          <w:p w14:paraId="5C51C4AA">
            <w:pPr>
              <w:pStyle w:val="54"/>
              <w:bidi w:val="0"/>
              <w:rPr>
                <w:rFonts w:hint="default"/>
                <w:b w:val="0"/>
              </w:rPr>
            </w:pPr>
            <w:r>
              <w:rPr>
                <w:rFonts w:hint="eastAsia"/>
                <w:b w:val="0"/>
              </w:rPr>
              <w:t>热剂量（对数）</w:t>
            </w:r>
          </w:p>
        </w:tc>
        <w:tc>
          <w:tcPr>
            <w:tcW w:w="2769" w:type="dxa"/>
            <w:tcBorders>
              <w:top w:val="nil"/>
              <w:left w:val="nil"/>
              <w:bottom w:val="nil"/>
              <w:right w:val="nil"/>
            </w:tcBorders>
            <w:shd w:val="clear" w:color="auto" w:fill="FFFFFF"/>
            <w:vAlign w:val="top"/>
          </w:tcPr>
          <w:p w14:paraId="6A94E7F7">
            <w:pPr>
              <w:pStyle w:val="54"/>
              <w:bidi w:val="0"/>
              <w:rPr>
                <w:rFonts w:hint="default"/>
                <w:b w:val="0"/>
              </w:rPr>
            </w:pPr>
            <w:r>
              <w:rPr>
                <w:rFonts w:hint="eastAsia"/>
                <w:b w:val="0"/>
              </w:rPr>
              <w:t>热通量与持续时间的乘积，表示累积能量输入</w:t>
            </w:r>
          </w:p>
        </w:tc>
      </w:tr>
      <w:tr w14:paraId="7398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312A46B5">
            <w:pPr>
              <w:pStyle w:val="54"/>
              <w:bidi w:val="0"/>
              <w:rPr>
                <w:rFonts w:hint="default"/>
                <w:b w:val="0"/>
              </w:rPr>
            </w:pPr>
            <w:r>
              <w:rPr>
                <w:rFonts w:hint="eastAsia"/>
                <w:b w:val="0"/>
              </w:rPr>
              <w:t>热源工况特征</w:t>
            </w:r>
          </w:p>
        </w:tc>
        <w:tc>
          <w:tcPr>
            <w:tcW w:w="2769" w:type="dxa"/>
            <w:tcBorders>
              <w:top w:val="nil"/>
              <w:left w:val="nil"/>
              <w:bottom w:val="nil"/>
              <w:right w:val="nil"/>
            </w:tcBorders>
            <w:shd w:val="clear" w:color="auto" w:fill="FFFFFF"/>
            <w:vAlign w:val="top"/>
          </w:tcPr>
          <w:p w14:paraId="3C6FD4D4">
            <w:pPr>
              <w:pStyle w:val="54"/>
              <w:bidi w:val="0"/>
              <w:rPr>
                <w:rFonts w:hint="default"/>
                <w:b w:val="0"/>
              </w:rPr>
            </w:pPr>
            <w:r>
              <w:rPr>
                <w:rFonts w:hint="eastAsia"/>
                <w:b w:val="0"/>
              </w:rPr>
              <w:t>方位角正弦项、余弦项</w:t>
            </w:r>
          </w:p>
        </w:tc>
        <w:tc>
          <w:tcPr>
            <w:tcW w:w="2769" w:type="dxa"/>
            <w:tcBorders>
              <w:top w:val="nil"/>
              <w:left w:val="nil"/>
              <w:bottom w:val="nil"/>
              <w:right w:val="nil"/>
            </w:tcBorders>
            <w:shd w:val="clear" w:color="auto" w:fill="FFFFFF"/>
            <w:vAlign w:val="top"/>
          </w:tcPr>
          <w:p w14:paraId="27E5E4A7">
            <w:pPr>
              <w:pStyle w:val="54"/>
              <w:bidi w:val="0"/>
              <w:rPr>
                <w:rFonts w:hint="default"/>
                <w:b w:val="0"/>
              </w:rPr>
            </w:pPr>
            <w:r>
              <w:rPr>
                <w:rFonts w:hint="eastAsia"/>
                <w:b w:val="0"/>
              </w:rPr>
              <w:t>水平入射方向的正弦、余弦编码，保持</w:t>
            </w:r>
            <w:r>
              <w:rPr>
                <w:b w:val="0"/>
              </w:rPr>
              <w:t xml:space="preserve"> </w:t>
            </w:r>
            <w:r>
              <w:rPr>
                <w:rFonts w:hint="eastAsia"/>
                <w:b w:val="0"/>
              </w:rPr>
              <w:t>0°与</w:t>
            </w:r>
            <w:r>
              <w:rPr>
                <w:b w:val="0"/>
              </w:rPr>
              <w:t xml:space="preserve"> </w:t>
            </w:r>
            <w:r>
              <w:rPr>
                <w:rFonts w:hint="eastAsia"/>
                <w:b w:val="0"/>
              </w:rPr>
              <w:t>360°连续</w:t>
            </w:r>
          </w:p>
        </w:tc>
      </w:tr>
      <w:tr w14:paraId="0203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3609A8E1">
            <w:pPr>
              <w:pStyle w:val="54"/>
              <w:bidi w:val="0"/>
              <w:rPr>
                <w:rFonts w:hint="default"/>
                <w:b w:val="0"/>
              </w:rPr>
            </w:pPr>
            <w:r>
              <w:rPr>
                <w:rFonts w:hint="eastAsia"/>
                <w:b w:val="0"/>
              </w:rPr>
              <w:t>热源工况特征</w:t>
            </w:r>
          </w:p>
        </w:tc>
        <w:tc>
          <w:tcPr>
            <w:tcW w:w="2769" w:type="dxa"/>
            <w:tcBorders>
              <w:top w:val="nil"/>
              <w:left w:val="nil"/>
              <w:bottom w:val="nil"/>
              <w:right w:val="nil"/>
            </w:tcBorders>
            <w:shd w:val="clear" w:color="auto" w:fill="FFFFFF"/>
            <w:vAlign w:val="top"/>
          </w:tcPr>
          <w:p w14:paraId="5B45527A">
            <w:pPr>
              <w:pStyle w:val="54"/>
              <w:bidi w:val="0"/>
              <w:rPr>
                <w:rFonts w:hint="default"/>
                <w:b w:val="0"/>
              </w:rPr>
            </w:pPr>
            <w:r>
              <w:rPr>
                <w:rFonts w:hint="eastAsia"/>
                <w:b w:val="0"/>
              </w:rPr>
              <w:t>俯仰角</w:t>
            </w:r>
          </w:p>
        </w:tc>
        <w:tc>
          <w:tcPr>
            <w:tcW w:w="2769" w:type="dxa"/>
            <w:tcBorders>
              <w:top w:val="nil"/>
              <w:left w:val="nil"/>
              <w:bottom w:val="nil"/>
              <w:right w:val="nil"/>
            </w:tcBorders>
            <w:shd w:val="clear" w:color="auto" w:fill="FFFFFF"/>
            <w:vAlign w:val="top"/>
          </w:tcPr>
          <w:p w14:paraId="783FE944">
            <w:pPr>
              <w:pStyle w:val="54"/>
              <w:bidi w:val="0"/>
              <w:rPr>
                <w:rFonts w:hint="default"/>
                <w:b w:val="0"/>
              </w:rPr>
            </w:pPr>
            <w:r>
              <w:rPr>
                <w:rFonts w:hint="eastAsia"/>
                <w:b w:val="0"/>
              </w:rPr>
              <w:t>垂向入射角度，并采用正弦变换表示垂向分量</w:t>
            </w:r>
          </w:p>
        </w:tc>
      </w:tr>
      <w:tr w14:paraId="21FA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325E772D">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4DE7F369">
            <w:pPr>
              <w:pStyle w:val="54"/>
              <w:bidi w:val="0"/>
              <w:rPr>
                <w:rFonts w:hint="default"/>
                <w:b w:val="0"/>
              </w:rPr>
            </w:pPr>
            <w:r>
              <w:rPr>
                <w:rFonts w:hint="eastAsia"/>
                <w:b w:val="0"/>
              </w:rPr>
              <w:t>迎火侧墙面面积（对数）</w:t>
            </w:r>
          </w:p>
        </w:tc>
        <w:tc>
          <w:tcPr>
            <w:tcW w:w="2769" w:type="dxa"/>
            <w:tcBorders>
              <w:top w:val="nil"/>
              <w:left w:val="nil"/>
              <w:bottom w:val="nil"/>
              <w:right w:val="nil"/>
            </w:tcBorders>
            <w:shd w:val="clear" w:color="auto" w:fill="FFFFFF"/>
            <w:vAlign w:val="top"/>
          </w:tcPr>
          <w:p w14:paraId="185E47CD">
            <w:pPr>
              <w:pStyle w:val="54"/>
              <w:bidi w:val="0"/>
              <w:rPr>
                <w:rFonts w:hint="default"/>
                <w:b w:val="0"/>
              </w:rPr>
            </w:pPr>
            <w:r>
              <w:rPr>
                <w:rFonts w:hint="eastAsia"/>
                <w:b w:val="0"/>
              </w:rPr>
              <w:t>当前入射方向对应的受热外墙规模</w:t>
            </w:r>
          </w:p>
        </w:tc>
      </w:tr>
      <w:tr w14:paraId="7E1E5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nil"/>
              <w:right w:val="nil"/>
            </w:tcBorders>
            <w:shd w:val="clear" w:color="auto" w:fill="FFFFFF"/>
            <w:vAlign w:val="top"/>
          </w:tcPr>
          <w:p w14:paraId="2F037FD6">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042C840E">
            <w:pPr>
              <w:pStyle w:val="54"/>
              <w:bidi w:val="0"/>
              <w:rPr>
                <w:rFonts w:hint="default"/>
                <w:b w:val="0"/>
              </w:rPr>
            </w:pPr>
            <w:r>
              <w:rPr>
                <w:rFonts w:hint="eastAsia"/>
                <w:b w:val="0"/>
              </w:rPr>
              <w:t>迎火侧门窗数量</w:t>
            </w:r>
          </w:p>
        </w:tc>
        <w:tc>
          <w:tcPr>
            <w:tcW w:w="2769" w:type="dxa"/>
            <w:tcBorders>
              <w:top w:val="nil"/>
              <w:left w:val="nil"/>
              <w:bottom w:val="nil"/>
              <w:right w:val="nil"/>
            </w:tcBorders>
            <w:shd w:val="clear" w:color="auto" w:fill="FFFFFF"/>
            <w:vAlign w:val="top"/>
          </w:tcPr>
          <w:p w14:paraId="644A5BDB">
            <w:pPr>
              <w:pStyle w:val="54"/>
              <w:bidi w:val="0"/>
              <w:rPr>
                <w:rFonts w:hint="default"/>
                <w:b w:val="0"/>
              </w:rPr>
            </w:pPr>
            <w:r>
              <w:rPr>
                <w:rFonts w:hint="eastAsia"/>
                <w:b w:val="0"/>
              </w:rPr>
              <w:t>热辐射可能进入设施内部的门窗条件</w:t>
            </w:r>
          </w:p>
        </w:tc>
      </w:tr>
      <w:tr w14:paraId="2BC8C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3985547E">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5F8B8ABD">
            <w:pPr>
              <w:pStyle w:val="54"/>
              <w:bidi w:val="0"/>
              <w:rPr>
                <w:rFonts w:hint="default"/>
                <w:b w:val="0"/>
              </w:rPr>
            </w:pPr>
            <w:r>
              <w:rPr>
                <w:rFonts w:hint="eastAsia"/>
                <w:b w:val="0"/>
              </w:rPr>
              <w:t>迎火侧门窗面积比</w:t>
            </w:r>
          </w:p>
        </w:tc>
        <w:tc>
          <w:tcPr>
            <w:tcW w:w="2769" w:type="dxa"/>
            <w:tcBorders>
              <w:top w:val="nil"/>
              <w:left w:val="nil"/>
              <w:bottom w:val="nil"/>
              <w:right w:val="nil"/>
            </w:tcBorders>
            <w:shd w:val="clear" w:color="auto" w:fill="FFFFFF"/>
            <w:vAlign w:val="top"/>
          </w:tcPr>
          <w:p w14:paraId="24DF64BB">
            <w:pPr>
              <w:pStyle w:val="54"/>
              <w:bidi w:val="0"/>
              <w:rPr>
                <w:rFonts w:hint="default"/>
                <w:b w:val="0"/>
              </w:rPr>
            </w:pPr>
            <w:r>
              <w:rPr>
                <w:rFonts w:hint="eastAsia"/>
                <w:b w:val="0"/>
              </w:rPr>
              <w:t>门窗相对受热墙面的开放程度</w:t>
            </w:r>
          </w:p>
        </w:tc>
      </w:tr>
      <w:tr w14:paraId="79DB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7BF4ED45">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3806A7C0">
            <w:pPr>
              <w:pStyle w:val="54"/>
              <w:bidi w:val="0"/>
              <w:rPr>
                <w:rFonts w:hint="default"/>
                <w:b w:val="0"/>
              </w:rPr>
            </w:pPr>
            <w:r>
              <w:rPr>
                <w:rFonts w:hint="eastAsia"/>
                <w:b w:val="0"/>
              </w:rPr>
              <w:t>迎火侧总开口比例</w:t>
            </w:r>
          </w:p>
        </w:tc>
        <w:tc>
          <w:tcPr>
            <w:tcW w:w="2769" w:type="dxa"/>
            <w:tcBorders>
              <w:top w:val="nil"/>
              <w:left w:val="nil"/>
              <w:bottom w:val="nil"/>
              <w:right w:val="nil"/>
            </w:tcBorders>
            <w:shd w:val="clear" w:color="auto" w:fill="FFFFFF"/>
            <w:vAlign w:val="top"/>
          </w:tcPr>
          <w:p w14:paraId="1E99FD76">
            <w:pPr>
              <w:pStyle w:val="54"/>
              <w:bidi w:val="0"/>
              <w:rPr>
                <w:rFonts w:hint="default"/>
                <w:b w:val="0"/>
              </w:rPr>
            </w:pPr>
            <w:r>
              <w:rPr>
                <w:rFonts w:hint="eastAsia"/>
                <w:b w:val="0"/>
              </w:rPr>
              <w:t>门窗与通风口综合的迎火侧开放程度</w:t>
            </w:r>
          </w:p>
        </w:tc>
      </w:tr>
      <w:tr w14:paraId="1D8C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006BF857">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28ABA43F">
            <w:pPr>
              <w:pStyle w:val="54"/>
              <w:bidi w:val="0"/>
              <w:rPr>
                <w:rFonts w:hint="default"/>
                <w:b w:val="0"/>
              </w:rPr>
            </w:pPr>
            <w:r>
              <w:rPr>
                <w:rFonts w:hint="eastAsia"/>
                <w:b w:val="0"/>
              </w:rPr>
              <w:t>可燃物/敏感目标密度</w:t>
            </w:r>
          </w:p>
        </w:tc>
        <w:tc>
          <w:tcPr>
            <w:tcW w:w="2769" w:type="dxa"/>
            <w:tcBorders>
              <w:top w:val="nil"/>
              <w:left w:val="nil"/>
              <w:bottom w:val="nil"/>
              <w:right w:val="nil"/>
            </w:tcBorders>
            <w:shd w:val="clear" w:color="auto" w:fill="FFFFFF"/>
            <w:vAlign w:val="top"/>
          </w:tcPr>
          <w:p w14:paraId="0B261599">
            <w:pPr>
              <w:pStyle w:val="54"/>
              <w:bidi w:val="0"/>
              <w:rPr>
                <w:rFonts w:hint="default"/>
                <w:b w:val="0"/>
              </w:rPr>
            </w:pPr>
            <w:r>
              <w:rPr>
                <w:rFonts w:hint="eastAsia"/>
                <w:b w:val="0"/>
              </w:rPr>
              <w:t>单位平面面积内可能形成损伤的目标数量</w:t>
            </w:r>
          </w:p>
        </w:tc>
      </w:tr>
      <w:tr w14:paraId="0514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single" w:color="000000" w:sz="12" w:space="0"/>
              <w:right w:val="nil"/>
            </w:tcBorders>
            <w:shd w:val="clear" w:color="auto" w:fill="FFFFFF"/>
            <w:vAlign w:val="top"/>
          </w:tcPr>
          <w:p w14:paraId="7EB976C6">
            <w:pPr>
              <w:pStyle w:val="54"/>
              <w:bidi w:val="0"/>
              <w:rPr>
                <w:rFonts w:hint="default"/>
                <w:b w:val="0"/>
              </w:rPr>
            </w:pPr>
            <w:r>
              <w:rPr>
                <w:rFonts w:hint="eastAsia"/>
                <w:b w:val="0"/>
              </w:rPr>
              <w:t>设施构型及目标特征</w:t>
            </w:r>
          </w:p>
        </w:tc>
        <w:tc>
          <w:tcPr>
            <w:tcW w:w="2769" w:type="dxa"/>
            <w:tcBorders>
              <w:top w:val="nil"/>
              <w:left w:val="nil"/>
              <w:bottom w:val="single" w:color="000000" w:sz="12" w:space="0"/>
              <w:right w:val="nil"/>
            </w:tcBorders>
            <w:shd w:val="clear" w:color="auto" w:fill="FFFFFF"/>
            <w:vAlign w:val="top"/>
          </w:tcPr>
          <w:p w14:paraId="43398C9B">
            <w:pPr>
              <w:pStyle w:val="54"/>
              <w:bidi w:val="0"/>
              <w:rPr>
                <w:rFonts w:hint="default"/>
                <w:b w:val="0"/>
              </w:rPr>
            </w:pPr>
            <w:r>
              <w:rPr>
                <w:rFonts w:hint="eastAsia"/>
                <w:b w:val="0"/>
              </w:rPr>
              <w:t>迎火侧可燃物/敏感目标比例</w:t>
            </w:r>
          </w:p>
        </w:tc>
        <w:tc>
          <w:tcPr>
            <w:tcW w:w="2769" w:type="dxa"/>
            <w:tcBorders>
              <w:top w:val="nil"/>
              <w:left w:val="nil"/>
              <w:bottom w:val="single" w:color="000000" w:sz="12" w:space="0"/>
              <w:right w:val="nil"/>
            </w:tcBorders>
            <w:shd w:val="clear" w:color="auto" w:fill="FFFFFF"/>
            <w:vAlign w:val="top"/>
          </w:tcPr>
          <w:p w14:paraId="4BD0A8C3">
            <w:pPr>
              <w:pStyle w:val="54"/>
              <w:bidi w:val="0"/>
              <w:rPr>
                <w:rFonts w:hint="default"/>
                <w:b w:val="0"/>
              </w:rPr>
            </w:pPr>
            <w:r>
              <w:rPr>
                <w:rFonts w:hint="eastAsia"/>
                <w:b w:val="0"/>
              </w:rPr>
              <w:t>直接处于受热方向的目标占比</w:t>
            </w:r>
          </w:p>
        </w:tc>
      </w:tr>
    </w:tbl>
    <w:p w14:paraId="2215C9D6">
      <w:pPr>
        <w:rPr>
          <w:rFonts w:hint="default" w:ascii="Times New Roman" w:hAnsi="Times New Roman" w:cs="Times New Roman"/>
        </w:rPr>
      </w:pPr>
      <w:r>
        <w:rPr>
          <w:rFonts w:hint="default" w:ascii="Times New Roman" w:hAnsi="Times New Roman" w:cs="Times New Roman"/>
        </w:rPr>
        <w:t>表中前 6 项为所有设施共用的核心输入；迎火侧门窗数量与门窗面积比两项仅在该类参数随工况或方向存在变化的设施中启用，其余设施不纳入模型，避免把恒定参数误作驱动因素。各设施实际使用的输入特征列表在训练时固化于模型文件中，推理时按同一列表构造特征向量，保证训练与使用口径一致。</w:t>
      </w:r>
    </w:p>
    <w:p w14:paraId="4CA5E291">
      <w:pPr>
        <w:rPr>
          <w:rFonts w:hint="default" w:ascii="Times New Roman" w:hAnsi="Times New Roman" w:cs="Times New Roman"/>
        </w:rPr>
      </w:pPr>
      <w:r>
        <w:rPr>
          <w:rFonts w:hint="default" w:ascii="Times New Roman" w:hAnsi="Times New Roman" w:cs="Times New Roman"/>
        </w:rPr>
        <w:t>从参数构成看，热源工况特征刻画了能量输入的强度、时程与方向性，是设施级 D</w:t>
      </w:r>
      <w:r>
        <w:rPr>
          <w:rFonts w:hint="default" w:ascii="Times New Roman" w:hAnsi="Times New Roman" w:cs="Times New Roman"/>
          <w:vertAlign w:val="subscript"/>
        </w:rPr>
        <w:t>k</w:t>
      </w:r>
      <w:r>
        <w:rPr>
          <w:rFonts w:hint="default" w:ascii="Times New Roman" w:hAnsi="Times New Roman" w:cs="Times New Roman"/>
        </w:rPr>
        <w:t xml:space="preserve"> 随工况变化的主要驱动；设施构型及目标特征则刻画了设施自身的受热响应条件，包括空间体量对热量的稀释作用、围护与开口对热量进入路径的调节，以及内部目标数量和迎火暴露程度对损伤形成的放大作用。两类特征在模型中共同参与树节点划分，缺一不可：仅凭热源强度无法解释同热通量下不同设施、不同方向的预测差异，仅凭设施构型也无法刻画同一设施在不同工况下的毁伤变化。两者结合，使模型能够在统一的特征空间内表达"外部能量输入—围护衰减—目标暴露—价值加权损伤"的完整响应链。</w:t>
      </w:r>
    </w:p>
    <w:p w14:paraId="1E1529D7">
      <w:pPr>
        <w:rPr>
          <w:rFonts w:hint="default" w:ascii="Times New Roman" w:hAnsi="Times New Roman" w:cs="Times New Roman"/>
        </w:rPr>
      </w:pPr>
      <w:r>
        <w:rPr>
          <w:rFonts w:hint="default" w:ascii="Times New Roman" w:hAnsi="Times New Roman" w:cs="Times New Roman"/>
        </w:rPr>
        <w:t>对航空航天设施与机场机库而言，设施构型及目标特征的工程含义尤为突出。总装与处理厂房的大跨度连续空间、发射塔台与移动发射台的半开放受热边界、机库的大型机库门与航空器集中停放，都会显著改变热量进入设施内部以及高价值目标暴露的路径；电子设备、电缆系统、复合材料、燃油残留和维修材料等可燃物与敏感目标，则通过目标密度和迎火侧比例两项参数进入模型。这些差异无法用单一热源参数表达，必须由设施构型及目标特征承担。</w:t>
      </w:r>
    </w:p>
    <w:p w14:paraId="39808CD4">
      <w:pPr>
        <w:pStyle w:val="3"/>
        <w:rPr>
          <w:rFonts w:hint="default" w:ascii="Times New Roman" w:hAnsi="Times New Roman" w:cs="Times New Roman"/>
        </w:rPr>
      </w:pPr>
      <w:bookmarkStart w:id="13" w:name="_Toc14901"/>
      <w:r>
        <w:rPr>
          <w:rFonts w:hint="default" w:ascii="Times New Roman" w:hAnsi="Times New Roman" w:cs="Times New Roman"/>
          <w:lang w:val="en-US" w:eastAsia="zh-CN"/>
        </w:rPr>
        <w:t>特征处理</w:t>
      </w:r>
      <w:bookmarkEnd w:id="13"/>
    </w:p>
    <w:p w14:paraId="71767FAF">
      <w:pPr>
        <w:rPr>
          <w:rFonts w:hint="default" w:ascii="Times New Roman" w:hAnsi="Times New Roman" w:cs="Times New Roman"/>
        </w:rPr>
      </w:pPr>
      <w:r>
        <w:rPr>
          <w:rFonts w:hint="default" w:ascii="Times New Roman" w:hAnsi="Times New Roman" w:cs="Times New Roman"/>
        </w:rPr>
        <w:t>热通量采用以 10 为底的对数变换，热剂量按热通量与持续时间的乘积构造，以减小高低热通量之间的数值跨度。方位角采用正弦和余弦联合编码，使 0°和 360°在特征空间中保持连续。迎火侧墙面面积采用对数表达，使不同规模设施能够在同一数值范围内参与树节点划分。</w:t>
      </w:r>
    </w:p>
    <w:p w14:paraId="42B3EAA7">
      <w:pPr>
        <w:rPr>
          <w:rFonts w:hint="default" w:ascii="Times New Roman" w:hAnsi="Times New Roman" w:cs="Times New Roman"/>
        </w:rPr>
      </w:pPr>
      <w:r>
        <w:rPr>
          <w:rFonts w:hint="default" w:ascii="Times New Roman" w:hAnsi="Times New Roman" w:cs="Times New Roman"/>
        </w:rPr>
        <w:t>迎火侧特征根据方位角动态选取。当热源方向改变时，模型同步更新受热墙面面积、门窗与总开口比例以及迎火侧敏感目标比例。因此，同一热通量下不同方向的预测差异具有明确的工程参数来源：方位角决定哪一面墙成为迎火侧，俯仰角决定辐射作用于墙面、屋面还是内部目标的分布，持续时间则通过热剂量累积放大或缩小毁伤程度。对机场机库而言，机库门通常集中布置于一个立面，方位角的变化会使大门、侧墙或背墙轮流成为迎火侧，这种方向性差异在特征中通过迎火侧开口与门窗比例的动态投影被显式保留。</w:t>
      </w:r>
    </w:p>
    <w:p w14:paraId="142E9CB9">
      <w:pPr>
        <w:rPr>
          <w:rFonts w:hint="default" w:ascii="Times New Roman" w:hAnsi="Times New Roman" w:cs="Times New Roman"/>
        </w:rPr>
      </w:pPr>
      <w:r>
        <w:rPr>
          <w:rFonts w:hint="default" w:ascii="Times New Roman" w:hAnsi="Times New Roman" w:cs="Times New Roman"/>
        </w:rPr>
        <w:t>为兼顾模型对连续工况的插值能力和对离散工况的刻画能力，热源参数同时保留连续数值与离散标识两种表达：连续数值用于树节点按阈值精细分裂，离散标识（如特定俯仰角、特定持续时间档位）则帮助模型记忆工况网格中实际存在的作用条件。设施侧参数全部以连续量形式进入模型，其中迎火侧开口、门窗和敏感目标比例在方向上动态投影，使建筑朝向与热源方向的关系被显式编码，避免模型将不同方向的差异简单归因于热通量大小。</w:t>
      </w:r>
    </w:p>
    <w:p w14:paraId="753CBE49">
      <w:pPr>
        <w:rPr>
          <w:rFonts w:hint="default" w:ascii="Times New Roman" w:hAnsi="Times New Roman" w:cs="Times New Roman"/>
        </w:rPr>
      </w:pPr>
    </w:p>
    <w:p w14:paraId="405BF9F6">
      <w:pPr>
        <w:pStyle w:val="3"/>
        <w:rPr>
          <w:rFonts w:hint="default" w:ascii="Times New Roman" w:hAnsi="Times New Roman" w:cs="Times New Roman"/>
        </w:rPr>
      </w:pPr>
      <w:bookmarkStart w:id="14" w:name="_Toc14106"/>
      <w:r>
        <w:rPr>
          <w:rFonts w:hint="default" w:ascii="Times New Roman" w:hAnsi="Times New Roman" w:cs="Times New Roman"/>
        </w:rPr>
        <w:t>特征重要性分析</w:t>
      </w:r>
      <w:bookmarkEnd w:id="14"/>
    </w:p>
    <w:p w14:paraId="58599EC3">
      <w:pPr>
        <w:rPr>
          <w:rFonts w:hint="default" w:ascii="Times New Roman" w:hAnsi="Times New Roman" w:cs="Times New Roman"/>
        </w:rPr>
      </w:pPr>
      <w:r>
        <w:rPr>
          <w:rFonts w:hint="default" w:ascii="Times New Roman" w:hAnsi="Times New Roman" w:cs="Times New Roman"/>
        </w:rPr>
        <w:t>为完整分析本报告 21 个设施的模型使用特征，在五折交叉验证框架下进行重复置换重要性分析：对某个输入特征，在各折测试集上随机打乱该特征取值后重新预测，记录等级准确率的下降量。下降量越大，说明模型在合并子集上对该特征越敏感。该分析只针对所有航空航天与机场机库设施共用的核心输入特征，用于解释模型预测和等级分布，不将重要性数值解释为单一物理因果比例。</w:t>
      </w:r>
    </w:p>
    <w:p w14:paraId="77A173DC">
      <w:pPr>
        <w:pStyle w:val="54"/>
        <w:bidi w:val="0"/>
        <w:rPr>
          <w:rFonts w:hint="default" w:ascii="Times New Roman" w:hAnsi="Times New Roman" w:cs="Times New Roman"/>
        </w:rPr>
      </w:pPr>
      <w:r>
        <w:drawing>
          <wp:inline distT="0" distB="0" distL="114300" distR="114300">
            <wp:extent cx="5270500" cy="3220720"/>
            <wp:effectExtent l="0" t="0" r="6350" b="17780"/>
            <wp:docPr id="71" name="Picture" descr="图 1 航空航天与机场机库专项因素置换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图 1 航空航天与机场机库专项因素置换重要性"/>
                    <pic:cNvPicPr>
                      <a:picLocks noChangeAspect="1" noChangeArrowheads="1"/>
                    </pic:cNvPicPr>
                  </pic:nvPicPr>
                  <pic:blipFill>
                    <a:blip r:embed="rId15"/>
                    <a:stretch>
                      <a:fillRect/>
                    </a:stretch>
                  </pic:blipFill>
                  <pic:spPr>
                    <a:xfrm>
                      <a:off x="0" y="0"/>
                      <a:ext cx="5270500" cy="3220861"/>
                    </a:xfrm>
                    <a:prstGeom prst="rect">
                      <a:avLst/>
                    </a:prstGeom>
                    <a:noFill/>
                    <a:ln w="9525">
                      <a:noFill/>
                    </a:ln>
                  </pic:spPr>
                </pic:pic>
              </a:graphicData>
            </a:graphic>
          </wp:inline>
        </w:drawing>
      </w:r>
    </w:p>
    <w:p w14:paraId="1FFD284D">
      <w:pPr>
        <w:pStyle w:val="16"/>
        <w:bidi w:val="0"/>
        <w:rPr>
          <w:rFonts w:hint="default" w:ascii="Times New Roman" w:hAnsi="Times New Roman" w:eastAsia="宋体" w:cs="Times New Roman"/>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default" w:ascii="Times New Roman" w:hAnsi="Times New Roman" w:cs="Times New Roman"/>
          <w:lang w:val="en-US" w:eastAsia="zh-CN"/>
        </w:rPr>
        <w:t xml:space="preserve"> 特征重要性分析</w:t>
      </w:r>
    </w:p>
    <w:p w14:paraId="766244A7">
      <w:pPr>
        <w:rPr>
          <w:rFonts w:hint="default" w:ascii="Times New Roman" w:hAnsi="Times New Roman" w:cs="Times New Roman"/>
          <w:lang w:val="en-US" w:eastAsia="zh-CN"/>
        </w:rPr>
      </w:pPr>
    </w:p>
    <w:p w14:paraId="7AA56E44">
      <w:pPr>
        <w:pStyle w:val="16"/>
        <w:bidi w:val="0"/>
        <w:jc w:val="center"/>
        <w:rPr>
          <w:rFonts w:hint="default" w:ascii="Times New Roman" w:hAnsi="Times New Roman" w:cs="Times New Roma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rPr>
        <w:t>航空航天与机场机库主要工程因素及其阈值影响</w:t>
      </w:r>
    </w:p>
    <w:tbl>
      <w:tblPr>
        <w:tblStyle w:val="2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3543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single" w:color="000000" w:sz="12" w:space="0"/>
              <w:left w:val="nil"/>
              <w:bottom w:val="single" w:color="000000" w:sz="4" w:space="0"/>
              <w:right w:val="nil"/>
              <w:tl2br w:val="nil"/>
            </w:tcBorders>
            <w:shd w:val="clear" w:color="auto" w:fill="FFFFFF"/>
            <w:vAlign w:val="top"/>
          </w:tcPr>
          <w:p w14:paraId="4FC6A1B2">
            <w:pPr>
              <w:pStyle w:val="54"/>
              <w:bidi w:val="0"/>
              <w:rPr>
                <w:rFonts w:hint="default"/>
              </w:rPr>
            </w:pPr>
            <w:r>
              <w:rPr>
                <w:rFonts w:hint="eastAsia"/>
              </w:rPr>
              <w:t>排序</w:t>
            </w:r>
          </w:p>
        </w:tc>
        <w:tc>
          <w:tcPr>
            <w:tcW w:w="2840" w:type="dxa"/>
            <w:tcBorders>
              <w:top w:val="single" w:color="000000" w:sz="12" w:space="0"/>
              <w:left w:val="nil"/>
              <w:bottom w:val="single" w:color="000000" w:sz="4" w:space="0"/>
              <w:right w:val="nil"/>
            </w:tcBorders>
            <w:shd w:val="clear" w:color="auto" w:fill="FFFFFF"/>
            <w:vAlign w:val="top"/>
          </w:tcPr>
          <w:p w14:paraId="157729A1">
            <w:pPr>
              <w:pStyle w:val="54"/>
              <w:bidi w:val="0"/>
              <w:rPr>
                <w:rFonts w:hint="default"/>
              </w:rPr>
            </w:pPr>
            <w:r>
              <w:rPr>
                <w:rFonts w:hint="eastAsia"/>
              </w:rPr>
              <w:t>输入特征</w:t>
            </w:r>
          </w:p>
        </w:tc>
        <w:tc>
          <w:tcPr>
            <w:tcW w:w="2840" w:type="dxa"/>
            <w:tcBorders>
              <w:top w:val="single" w:color="000000" w:sz="12" w:space="0"/>
              <w:left w:val="nil"/>
              <w:bottom w:val="single" w:color="000000" w:sz="4" w:space="0"/>
              <w:right w:val="nil"/>
            </w:tcBorders>
            <w:shd w:val="clear" w:color="auto" w:fill="FFFFFF"/>
            <w:vAlign w:val="top"/>
          </w:tcPr>
          <w:p w14:paraId="38150801">
            <w:pPr>
              <w:pStyle w:val="54"/>
              <w:bidi w:val="0"/>
              <w:rPr>
                <w:rFonts w:hint="default"/>
              </w:rPr>
            </w:pPr>
            <w:r>
              <w:rPr>
                <w:rFonts w:hint="eastAsia"/>
              </w:rPr>
              <w:t>置换后等级准确率下降</w:t>
            </w:r>
          </w:p>
        </w:tc>
      </w:tr>
      <w:tr w14:paraId="06F65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single" w:color="000000" w:sz="4" w:space="0"/>
              <w:left w:val="nil"/>
              <w:bottom w:val="nil"/>
              <w:right w:val="nil"/>
            </w:tcBorders>
            <w:shd w:val="clear" w:color="auto" w:fill="FFFFFF"/>
            <w:vAlign w:val="top"/>
          </w:tcPr>
          <w:p w14:paraId="461EDC94">
            <w:pPr>
              <w:pStyle w:val="54"/>
              <w:bidi w:val="0"/>
              <w:rPr>
                <w:rFonts w:hint="default"/>
              </w:rPr>
            </w:pPr>
            <w:r>
              <w:t>1</w:t>
            </w:r>
          </w:p>
        </w:tc>
        <w:tc>
          <w:tcPr>
            <w:tcW w:w="2840" w:type="dxa"/>
            <w:tcBorders>
              <w:top w:val="single" w:color="000000" w:sz="4" w:space="0"/>
              <w:left w:val="nil"/>
              <w:bottom w:val="nil"/>
              <w:right w:val="nil"/>
            </w:tcBorders>
            <w:shd w:val="clear" w:color="auto" w:fill="FFFFFF"/>
            <w:vAlign w:val="top"/>
          </w:tcPr>
          <w:p w14:paraId="5276382B">
            <w:pPr>
              <w:pStyle w:val="54"/>
              <w:bidi w:val="0"/>
              <w:rPr>
                <w:rFonts w:hint="default"/>
              </w:rPr>
            </w:pPr>
            <w:r>
              <w:rPr>
                <w:rFonts w:hint="eastAsia"/>
              </w:rPr>
              <w:t>方位角余弦项</w:t>
            </w:r>
          </w:p>
        </w:tc>
        <w:tc>
          <w:tcPr>
            <w:tcW w:w="2840" w:type="dxa"/>
            <w:tcBorders>
              <w:top w:val="single" w:color="000000" w:sz="4" w:space="0"/>
              <w:left w:val="nil"/>
              <w:bottom w:val="nil"/>
              <w:right w:val="nil"/>
            </w:tcBorders>
            <w:shd w:val="clear" w:color="auto" w:fill="FFFFFF"/>
            <w:vAlign w:val="top"/>
          </w:tcPr>
          <w:p w14:paraId="7393E07B">
            <w:pPr>
              <w:pStyle w:val="54"/>
              <w:bidi w:val="0"/>
              <w:rPr>
                <w:rFonts w:hint="default"/>
              </w:rPr>
            </w:pPr>
            <w:r>
              <w:t>0.0301</w:t>
            </w:r>
          </w:p>
        </w:tc>
      </w:tr>
      <w:tr w14:paraId="6AB5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nil"/>
              <w:right w:val="nil"/>
            </w:tcBorders>
            <w:shd w:val="clear" w:color="auto" w:fill="FFFFFF"/>
            <w:vAlign w:val="top"/>
          </w:tcPr>
          <w:p w14:paraId="0029AEDD">
            <w:pPr>
              <w:pStyle w:val="54"/>
              <w:bidi w:val="0"/>
              <w:rPr>
                <w:rFonts w:hint="default"/>
              </w:rPr>
            </w:pPr>
            <w:r>
              <w:t>2</w:t>
            </w:r>
          </w:p>
        </w:tc>
        <w:tc>
          <w:tcPr>
            <w:tcW w:w="2840" w:type="dxa"/>
            <w:tcBorders>
              <w:top w:val="nil"/>
              <w:left w:val="nil"/>
              <w:bottom w:val="nil"/>
              <w:right w:val="nil"/>
            </w:tcBorders>
            <w:shd w:val="clear" w:color="auto" w:fill="FFFFFF"/>
            <w:vAlign w:val="top"/>
          </w:tcPr>
          <w:p w14:paraId="1192AC3C">
            <w:pPr>
              <w:pStyle w:val="54"/>
              <w:bidi w:val="0"/>
              <w:rPr>
                <w:rFonts w:hint="default"/>
              </w:rPr>
            </w:pPr>
            <w:r>
              <w:rPr>
                <w:rFonts w:hint="eastAsia"/>
              </w:rPr>
              <w:t>热通量（对数）</w:t>
            </w:r>
          </w:p>
        </w:tc>
        <w:tc>
          <w:tcPr>
            <w:tcW w:w="2840" w:type="dxa"/>
            <w:tcBorders>
              <w:top w:val="nil"/>
              <w:left w:val="nil"/>
              <w:bottom w:val="nil"/>
              <w:right w:val="nil"/>
            </w:tcBorders>
            <w:shd w:val="clear" w:color="auto" w:fill="FFFFFF"/>
            <w:vAlign w:val="top"/>
          </w:tcPr>
          <w:p w14:paraId="650E1647">
            <w:pPr>
              <w:pStyle w:val="54"/>
              <w:bidi w:val="0"/>
              <w:rPr>
                <w:rFonts w:hint="default"/>
              </w:rPr>
            </w:pPr>
            <w:r>
              <w:t>0.0216</w:t>
            </w:r>
          </w:p>
        </w:tc>
      </w:tr>
      <w:tr w14:paraId="12BD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9" w:type="dxa"/>
            <w:tcBorders>
              <w:top w:val="nil"/>
              <w:left w:val="nil"/>
              <w:bottom w:val="nil"/>
              <w:right w:val="nil"/>
            </w:tcBorders>
            <w:shd w:val="clear" w:color="auto" w:fill="FFFFFF"/>
            <w:vAlign w:val="top"/>
          </w:tcPr>
          <w:p w14:paraId="0E9A312C">
            <w:pPr>
              <w:pStyle w:val="54"/>
              <w:bidi w:val="0"/>
              <w:rPr>
                <w:rFonts w:hint="default"/>
              </w:rPr>
            </w:pPr>
            <w:r>
              <w:t>3</w:t>
            </w:r>
          </w:p>
        </w:tc>
        <w:tc>
          <w:tcPr>
            <w:tcW w:w="2840" w:type="dxa"/>
            <w:tcBorders>
              <w:top w:val="nil"/>
              <w:left w:val="nil"/>
              <w:bottom w:val="nil"/>
              <w:right w:val="nil"/>
            </w:tcBorders>
            <w:shd w:val="clear" w:color="auto" w:fill="FFFFFF"/>
            <w:vAlign w:val="top"/>
          </w:tcPr>
          <w:p w14:paraId="65256597">
            <w:pPr>
              <w:pStyle w:val="54"/>
              <w:bidi w:val="0"/>
              <w:rPr>
                <w:rFonts w:hint="default"/>
              </w:rPr>
            </w:pPr>
            <w:r>
              <w:rPr>
                <w:rFonts w:hint="eastAsia"/>
              </w:rPr>
              <w:t>俯仰角正弦项</w:t>
            </w:r>
          </w:p>
        </w:tc>
        <w:tc>
          <w:tcPr>
            <w:tcW w:w="2840" w:type="dxa"/>
            <w:tcBorders>
              <w:top w:val="nil"/>
              <w:left w:val="nil"/>
              <w:bottom w:val="nil"/>
              <w:right w:val="nil"/>
            </w:tcBorders>
            <w:shd w:val="clear" w:color="auto" w:fill="FFFFFF"/>
            <w:vAlign w:val="top"/>
          </w:tcPr>
          <w:p w14:paraId="5E9946C7">
            <w:pPr>
              <w:pStyle w:val="54"/>
              <w:bidi w:val="0"/>
              <w:rPr>
                <w:rFonts w:hint="default"/>
              </w:rPr>
            </w:pPr>
            <w:r>
              <w:t>0.0117</w:t>
            </w:r>
          </w:p>
        </w:tc>
      </w:tr>
      <w:tr w14:paraId="286F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nil"/>
              <w:right w:val="nil"/>
            </w:tcBorders>
            <w:shd w:val="clear" w:color="auto" w:fill="FFFFFF"/>
            <w:vAlign w:val="top"/>
          </w:tcPr>
          <w:p w14:paraId="7393CB1F">
            <w:pPr>
              <w:pStyle w:val="54"/>
              <w:bidi w:val="0"/>
              <w:rPr>
                <w:rFonts w:hint="default"/>
              </w:rPr>
            </w:pPr>
            <w:r>
              <w:t>4</w:t>
            </w:r>
          </w:p>
        </w:tc>
        <w:tc>
          <w:tcPr>
            <w:tcW w:w="2840" w:type="dxa"/>
            <w:tcBorders>
              <w:top w:val="nil"/>
              <w:left w:val="nil"/>
              <w:bottom w:val="nil"/>
              <w:right w:val="nil"/>
            </w:tcBorders>
            <w:shd w:val="clear" w:color="auto" w:fill="FFFFFF"/>
            <w:vAlign w:val="top"/>
          </w:tcPr>
          <w:p w14:paraId="3F89D1B5">
            <w:pPr>
              <w:pStyle w:val="54"/>
              <w:bidi w:val="0"/>
              <w:rPr>
                <w:rFonts w:hint="default"/>
              </w:rPr>
            </w:pPr>
            <w:r>
              <w:rPr>
                <w:rFonts w:hint="eastAsia"/>
              </w:rPr>
              <w:t>迎火侧总开口比例</w:t>
            </w:r>
          </w:p>
        </w:tc>
        <w:tc>
          <w:tcPr>
            <w:tcW w:w="2840" w:type="dxa"/>
            <w:tcBorders>
              <w:top w:val="nil"/>
              <w:left w:val="nil"/>
              <w:bottom w:val="nil"/>
              <w:right w:val="nil"/>
            </w:tcBorders>
            <w:shd w:val="clear" w:color="auto" w:fill="FFFFFF"/>
            <w:vAlign w:val="top"/>
          </w:tcPr>
          <w:p w14:paraId="0E9360FA">
            <w:pPr>
              <w:pStyle w:val="54"/>
              <w:bidi w:val="0"/>
              <w:rPr>
                <w:rFonts w:hint="default"/>
              </w:rPr>
            </w:pPr>
            <w:r>
              <w:t>0.0095</w:t>
            </w:r>
          </w:p>
        </w:tc>
      </w:tr>
      <w:tr w14:paraId="529B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nil"/>
              <w:right w:val="nil"/>
            </w:tcBorders>
            <w:shd w:val="clear" w:color="auto" w:fill="FFFFFF"/>
            <w:vAlign w:val="top"/>
          </w:tcPr>
          <w:p w14:paraId="4DDF7835">
            <w:pPr>
              <w:pStyle w:val="54"/>
              <w:bidi w:val="0"/>
              <w:rPr>
                <w:rFonts w:hint="default"/>
              </w:rPr>
            </w:pPr>
            <w:r>
              <w:t>5</w:t>
            </w:r>
          </w:p>
        </w:tc>
        <w:tc>
          <w:tcPr>
            <w:tcW w:w="2840" w:type="dxa"/>
            <w:tcBorders>
              <w:top w:val="nil"/>
              <w:left w:val="nil"/>
              <w:bottom w:val="nil"/>
              <w:right w:val="nil"/>
            </w:tcBorders>
            <w:shd w:val="clear" w:color="auto" w:fill="FFFFFF"/>
            <w:vAlign w:val="top"/>
          </w:tcPr>
          <w:p w14:paraId="583A5089">
            <w:pPr>
              <w:pStyle w:val="54"/>
              <w:bidi w:val="0"/>
              <w:rPr>
                <w:rFonts w:hint="default"/>
              </w:rPr>
            </w:pPr>
            <w:r>
              <w:rPr>
                <w:rFonts w:hint="eastAsia"/>
              </w:rPr>
              <w:t>迎火侧墙面面积（对数）</w:t>
            </w:r>
          </w:p>
        </w:tc>
        <w:tc>
          <w:tcPr>
            <w:tcW w:w="2840" w:type="dxa"/>
            <w:tcBorders>
              <w:top w:val="nil"/>
              <w:left w:val="nil"/>
              <w:bottom w:val="nil"/>
              <w:right w:val="nil"/>
            </w:tcBorders>
            <w:shd w:val="clear" w:color="auto" w:fill="FFFFFF"/>
            <w:vAlign w:val="top"/>
          </w:tcPr>
          <w:p w14:paraId="425AE8B5">
            <w:pPr>
              <w:pStyle w:val="54"/>
              <w:bidi w:val="0"/>
              <w:rPr>
                <w:rFonts w:hint="default"/>
              </w:rPr>
            </w:pPr>
            <w:r>
              <w:t>0.0084</w:t>
            </w:r>
          </w:p>
        </w:tc>
      </w:tr>
      <w:tr w14:paraId="6060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nil"/>
              <w:right w:val="nil"/>
            </w:tcBorders>
            <w:shd w:val="clear" w:color="auto" w:fill="FFFFFF"/>
            <w:vAlign w:val="top"/>
          </w:tcPr>
          <w:p w14:paraId="0B2B1505">
            <w:pPr>
              <w:pStyle w:val="54"/>
              <w:bidi w:val="0"/>
              <w:rPr>
                <w:rFonts w:hint="default"/>
              </w:rPr>
            </w:pPr>
            <w:r>
              <w:t>6</w:t>
            </w:r>
          </w:p>
        </w:tc>
        <w:tc>
          <w:tcPr>
            <w:tcW w:w="2840" w:type="dxa"/>
            <w:tcBorders>
              <w:top w:val="nil"/>
              <w:left w:val="nil"/>
              <w:bottom w:val="nil"/>
              <w:right w:val="nil"/>
            </w:tcBorders>
            <w:shd w:val="clear" w:color="auto" w:fill="FFFFFF"/>
            <w:vAlign w:val="top"/>
          </w:tcPr>
          <w:p w14:paraId="6E734248">
            <w:pPr>
              <w:pStyle w:val="54"/>
              <w:bidi w:val="0"/>
              <w:rPr>
                <w:rFonts w:hint="default"/>
              </w:rPr>
            </w:pPr>
            <w:r>
              <w:rPr>
                <w:rFonts w:hint="eastAsia"/>
              </w:rPr>
              <w:t>热剂量（对数）</w:t>
            </w:r>
          </w:p>
        </w:tc>
        <w:tc>
          <w:tcPr>
            <w:tcW w:w="2840" w:type="dxa"/>
            <w:tcBorders>
              <w:top w:val="nil"/>
              <w:left w:val="nil"/>
              <w:bottom w:val="nil"/>
              <w:right w:val="nil"/>
            </w:tcBorders>
            <w:shd w:val="clear" w:color="auto" w:fill="FFFFFF"/>
            <w:vAlign w:val="top"/>
          </w:tcPr>
          <w:p w14:paraId="669F1A9F">
            <w:pPr>
              <w:pStyle w:val="54"/>
              <w:bidi w:val="0"/>
              <w:rPr>
                <w:rFonts w:hint="default"/>
              </w:rPr>
            </w:pPr>
            <w:r>
              <w:t>0.0083</w:t>
            </w:r>
          </w:p>
        </w:tc>
      </w:tr>
      <w:tr w14:paraId="7FE4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9" w:type="dxa"/>
            <w:tcBorders>
              <w:top w:val="nil"/>
              <w:left w:val="nil"/>
              <w:bottom w:val="nil"/>
              <w:right w:val="nil"/>
            </w:tcBorders>
            <w:shd w:val="clear" w:color="auto" w:fill="FFFFFF"/>
            <w:vAlign w:val="top"/>
          </w:tcPr>
          <w:p w14:paraId="1F60FEE1">
            <w:pPr>
              <w:pStyle w:val="54"/>
              <w:bidi w:val="0"/>
              <w:rPr>
                <w:rFonts w:hint="default"/>
              </w:rPr>
            </w:pPr>
            <w:r>
              <w:t>7</w:t>
            </w:r>
          </w:p>
        </w:tc>
        <w:tc>
          <w:tcPr>
            <w:tcW w:w="2840" w:type="dxa"/>
            <w:tcBorders>
              <w:top w:val="nil"/>
              <w:left w:val="nil"/>
              <w:bottom w:val="nil"/>
              <w:right w:val="nil"/>
            </w:tcBorders>
            <w:shd w:val="clear" w:color="auto" w:fill="FFFFFF"/>
            <w:vAlign w:val="top"/>
          </w:tcPr>
          <w:p w14:paraId="78C540B4">
            <w:pPr>
              <w:pStyle w:val="54"/>
              <w:bidi w:val="0"/>
              <w:rPr>
                <w:rFonts w:hint="default"/>
              </w:rPr>
            </w:pPr>
            <w:r>
              <w:rPr>
                <w:rFonts w:hint="eastAsia"/>
              </w:rPr>
              <w:t>辐射持续时间</w:t>
            </w:r>
          </w:p>
        </w:tc>
        <w:tc>
          <w:tcPr>
            <w:tcW w:w="2840" w:type="dxa"/>
            <w:tcBorders>
              <w:top w:val="nil"/>
              <w:left w:val="nil"/>
              <w:bottom w:val="nil"/>
              <w:right w:val="nil"/>
            </w:tcBorders>
            <w:shd w:val="clear" w:color="auto" w:fill="FFFFFF"/>
            <w:vAlign w:val="top"/>
          </w:tcPr>
          <w:p w14:paraId="20051B17">
            <w:pPr>
              <w:pStyle w:val="54"/>
              <w:bidi w:val="0"/>
              <w:rPr>
                <w:rFonts w:hint="default"/>
              </w:rPr>
            </w:pPr>
            <w:r>
              <w:t>0.0083</w:t>
            </w:r>
          </w:p>
        </w:tc>
      </w:tr>
      <w:tr w14:paraId="02FD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single" w:color="000000" w:sz="12" w:space="0"/>
              <w:right w:val="nil"/>
            </w:tcBorders>
            <w:shd w:val="clear" w:color="auto" w:fill="FFFFFF"/>
            <w:vAlign w:val="top"/>
          </w:tcPr>
          <w:p w14:paraId="390B0EE6">
            <w:pPr>
              <w:pStyle w:val="54"/>
              <w:bidi w:val="0"/>
              <w:rPr>
                <w:rFonts w:hint="default"/>
              </w:rPr>
            </w:pPr>
            <w:r>
              <w:t>8</w:t>
            </w:r>
          </w:p>
        </w:tc>
        <w:tc>
          <w:tcPr>
            <w:tcW w:w="2840" w:type="dxa"/>
            <w:tcBorders>
              <w:top w:val="nil"/>
              <w:left w:val="nil"/>
              <w:bottom w:val="single" w:color="000000" w:sz="12" w:space="0"/>
              <w:right w:val="nil"/>
            </w:tcBorders>
            <w:shd w:val="clear" w:color="auto" w:fill="FFFFFF"/>
            <w:vAlign w:val="top"/>
          </w:tcPr>
          <w:p w14:paraId="406CE806">
            <w:pPr>
              <w:pStyle w:val="54"/>
              <w:bidi w:val="0"/>
              <w:rPr>
                <w:rFonts w:hint="default"/>
              </w:rPr>
            </w:pPr>
            <w:r>
              <w:rPr>
                <w:rFonts w:hint="eastAsia"/>
              </w:rPr>
              <w:t>迎火侧可燃物/敏感目标比例</w:t>
            </w:r>
          </w:p>
        </w:tc>
        <w:tc>
          <w:tcPr>
            <w:tcW w:w="2840" w:type="dxa"/>
            <w:tcBorders>
              <w:top w:val="nil"/>
              <w:left w:val="nil"/>
              <w:bottom w:val="single" w:color="000000" w:sz="12" w:space="0"/>
              <w:right w:val="nil"/>
            </w:tcBorders>
            <w:shd w:val="clear" w:color="auto" w:fill="FFFFFF"/>
            <w:vAlign w:val="top"/>
          </w:tcPr>
          <w:p w14:paraId="1C9BAC91">
            <w:pPr>
              <w:pStyle w:val="54"/>
              <w:bidi w:val="0"/>
              <w:rPr>
                <w:rFonts w:hint="default"/>
              </w:rPr>
            </w:pPr>
            <w:r>
              <w:t>0.0079</w:t>
            </w:r>
          </w:p>
        </w:tc>
      </w:tr>
    </w:tbl>
    <w:p w14:paraId="027F36E1">
      <w:pPr>
        <w:pStyle w:val="54"/>
        <w:bidi w:val="0"/>
        <w:rPr>
          <w:rFonts w:hint="default" w:ascii="Times New Roman" w:hAnsi="Times New Roman" w:cs="Times New Roman"/>
          <w:lang w:val="en-US" w:eastAsia="zh-CN"/>
        </w:rPr>
      </w:pPr>
    </w:p>
    <w:p w14:paraId="4E2334A3">
      <w:pPr>
        <w:rPr>
          <w:rFonts w:hint="default" w:ascii="Times New Roman" w:hAnsi="Times New Roman" w:cs="Times New Roman"/>
          <w:lang w:val="en-US" w:eastAsia="zh-CN"/>
        </w:rPr>
      </w:pPr>
      <w:r>
        <w:rPr>
          <w:rFonts w:hint="default" w:ascii="Times New Roman" w:hAnsi="Times New Roman" w:cs="Times New Roman"/>
          <w:lang w:val="en-US" w:eastAsia="zh-CN"/>
        </w:rPr>
        <w:t>置换结果显示，方位角与热通量是航空航天与机场机库等级判断最主要的驱动因素：方位角通过迎火侧墙面、机库门与开口比例的动态投影决定方向响应，热通量则直接控制毁伤水平。俯仰角正弦项和迎火侧总开口比例进一步刻画辐射作用于屋面、机库门及内部目标的路径差异。机场机库的大跨度开口和航空器目标分布、发射与处理设施的高价值设备布置，均通过这些共用特征进入统一等级解释。除上述共用特征外，个别设施（如沃斯堡空军4号飞机工厂、40号发射场机库）还补充了开口面积、通风口、无窗墙面等扩展特征，以刻画其特有的开口受热路径。</w:t>
      </w:r>
    </w:p>
    <w:p w14:paraId="4BB92ED0">
      <w:pPr>
        <w:spacing w:line="360" w:lineRule="auto"/>
        <w:jc w:val="left"/>
        <w:rPr>
          <w:rStyle w:val="23"/>
          <w:rFonts w:hint="default" w:ascii="Times New Roman" w:hAnsi="Times New Roman" w:cs="Times New Roman"/>
          <w:b/>
          <w:sz w:val="32"/>
          <w:szCs w:val="32"/>
          <w:lang w:val="en-US" w:eastAsia="zh-CN"/>
        </w:rPr>
      </w:pPr>
    </w:p>
    <w:p w14:paraId="4A70250A">
      <w:pPr>
        <w:pStyle w:val="15"/>
        <w:outlineLvl w:val="0"/>
        <w:rPr>
          <w:rStyle w:val="23"/>
          <w:rFonts w:hint="default" w:ascii="Times New Roman" w:hAnsi="Times New Roman" w:cs="Times New Roman"/>
          <w:b/>
          <w:sz w:val="32"/>
          <w:szCs w:val="32"/>
          <w:lang w:val="en-US" w:eastAsia="zh-CN"/>
        </w:rPr>
        <w:sectPr>
          <w:pgSz w:w="11906" w:h="16838"/>
          <w:pgMar w:top="1440" w:right="1800" w:bottom="1440" w:left="1800" w:header="851" w:footer="992" w:gutter="0"/>
          <w:pgNumType w:fmt="decimal"/>
          <w:cols w:space="720" w:num="1"/>
          <w:docGrid w:type="lines" w:linePitch="326" w:charSpace="0"/>
        </w:sectPr>
      </w:pPr>
    </w:p>
    <w:p w14:paraId="505C8542">
      <w:pPr>
        <w:pStyle w:val="2"/>
        <w:bidi w:val="0"/>
        <w:rPr>
          <w:rFonts w:hint="default" w:ascii="Times New Roman" w:hAnsi="Times New Roman" w:cs="Times New Roman"/>
          <w:lang w:val="en-US" w:eastAsia="zh-CN"/>
        </w:rPr>
      </w:pPr>
      <w:bookmarkStart w:id="15" w:name="_Toc1599"/>
      <w:r>
        <w:rPr>
          <w:rFonts w:hint="default" w:ascii="Times New Roman" w:hAnsi="Times New Roman" w:cs="Times New Roman"/>
          <w:lang w:val="en-US" w:eastAsia="zh-CN"/>
        </w:rPr>
        <w:t>代理模型架构设计</w:t>
      </w:r>
      <w:bookmarkEnd w:id="15"/>
    </w:p>
    <w:p w14:paraId="3603004F">
      <w:pPr>
        <w:pStyle w:val="3"/>
        <w:bidi w:val="0"/>
        <w:rPr>
          <w:rFonts w:hint="default" w:ascii="Times New Roman" w:hAnsi="Times New Roman" w:cs="Times New Roman"/>
          <w:lang w:val="en-US" w:eastAsia="zh-CN"/>
        </w:rPr>
      </w:pPr>
      <w:bookmarkStart w:id="16" w:name="_Toc31423"/>
      <w:r>
        <w:rPr>
          <w:rFonts w:hint="default" w:ascii="Times New Roman" w:hAnsi="Times New Roman" w:cs="Times New Roman"/>
        </w:rPr>
        <w:t>ExtraTrees 建模原理</w:t>
      </w:r>
      <w:bookmarkEnd w:id="16"/>
    </w:p>
    <w:p w14:paraId="005859FB">
      <w:pPr>
        <w:rPr>
          <w:rFonts w:hint="default" w:ascii="Times New Roman" w:hAnsi="Times New Roman" w:cs="Times New Roman"/>
        </w:rPr>
      </w:pPr>
      <w:r>
        <w:rPr>
          <w:rFonts w:hint="default" w:ascii="Times New Roman" w:hAnsi="Times New Roman" w:cs="Times New Roman"/>
        </w:rPr>
        <w:t>ExtraTrees 由多棵极端随机决策树组成。每棵树在节点分裂时从候选特征和随机切分阈值中选择较优分裂，从而形成结构不同的树。多树集成可以降低单棵树对局部样本的依赖，并表达热通量、方向、建筑和敏感目标之间的非线性交互。</w:t>
      </w:r>
    </w:p>
    <w:p w14:paraId="76346E8C">
      <w:pPr>
        <w:rPr>
          <w:rFonts w:hint="default" w:ascii="Times New Roman" w:hAnsi="Times New Roman" w:cs="Times New Roman"/>
          <w:lang w:val="en-US" w:eastAsia="zh-CN"/>
        </w:rPr>
      </w:pPr>
      <w:r>
        <w:rPr>
          <w:rFonts w:hint="default" w:ascii="Times New Roman" w:hAnsi="Times New Roman" w:cs="Times New Roman"/>
        </w:rPr>
        <w:t>本模型设置两个并行任务。回归森林学习连续 Dk，分类森林学习四级HS。两个任务使用同一组输入，但分别针对连续量级和工程等级优化。</w:t>
      </w:r>
    </w:p>
    <w:p w14:paraId="1722BE62">
      <w:pPr>
        <w:pStyle w:val="3"/>
        <w:rPr>
          <w:rFonts w:hint="default" w:ascii="Times New Roman" w:hAnsi="Times New Roman" w:cs="Times New Roman"/>
        </w:rPr>
      </w:pPr>
      <w:bookmarkStart w:id="17" w:name="_Toc7461"/>
      <w:r>
        <w:rPr>
          <w:rFonts w:hint="default" w:ascii="Times New Roman" w:hAnsi="Times New Roman" w:cs="Times New Roman"/>
        </w:rPr>
        <w:t>连续 Dk 回归</w:t>
      </w:r>
      <w:bookmarkEnd w:id="17"/>
    </w:p>
    <w:p w14:paraId="474EE7F8">
      <w:pPr>
        <w:rPr>
          <w:rFonts w:hint="default" w:ascii="Times New Roman" w:hAnsi="Times New Roman" w:cs="Times New Roman"/>
        </w:rPr>
      </w:pPr>
      <w:r>
        <w:rPr>
          <w:rFonts w:hint="default" w:ascii="Times New Roman" w:hAnsi="Times New Roman" w:cs="Times New Roman"/>
        </w:rPr>
        <w:t>设输入特征为：</w:t>
      </w:r>
    </w:p>
    <w:p w14:paraId="6455D7C6">
      <w:pPr>
        <w:ind w:firstLine="480"/>
        <w:rPr>
          <w:rFonts w:hint="default" w:ascii="Times New Roman" w:hAnsi="Times New Roman" w:cs="Times New Roman"/>
        </w:rPr>
      </w:pPr>
      <m:oMathPara>
        <m:oMath>
          <m:r>
            <m:rPr>
              <m:nor/>
            </m:rPr>
            <w:rPr>
              <w:rFonts w:hint="default" w:ascii="Times New Roman" w:hAnsi="Times New Roman" w:cs="Times New Roman"/>
              <w:i/>
              <w:sz w:val="24"/>
              <w:u w:val="none"/>
            </w:rPr>
            <m:t>x</m:t>
          </m:r>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x</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H</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x</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B</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x</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C</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oMath>
      </m:oMathPara>
    </w:p>
    <w:p w14:paraId="77A0F4DD">
      <w:pPr>
        <w:rPr>
          <w:rFonts w:hint="default" w:ascii="Times New Roman" w:hAnsi="Times New Roman" w:cs="Times New Roman"/>
        </w:rPr>
      </w:pPr>
      <w:r>
        <w:rPr>
          <w:rFonts w:hint="default" w:ascii="Times New Roman" w:hAnsi="Times New Roman" w:cs="Times New Roman"/>
        </w:rPr>
        <w:t>其中，</w:t>
      </w:r>
      <m:oMath>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x</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H</m:t>
            </m:r>
            <m:ctrlPr>
              <w:rPr>
                <w:rFonts w:hint="default" w:ascii="Cambria Math" w:hAnsi="Cambria Math" w:cs="Times New Roman"/>
                <w:sz w:val="24"/>
                <w:u w:val="none"/>
              </w:rPr>
            </m:ctrlPr>
          </m:sub>
        </m:sSub>
      </m:oMath>
      <w:r>
        <w:rPr>
          <w:rFonts w:hint="default" w:ascii="Times New Roman" w:hAnsi="Times New Roman" w:cs="Times New Roman"/>
        </w:rPr>
        <w:t xml:space="preserve"> 为热源特征，</w:t>
      </w:r>
      <m:oMath>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x</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B</m:t>
            </m:r>
            <m:ctrlPr>
              <w:rPr>
                <w:rFonts w:hint="default" w:ascii="Cambria Math" w:hAnsi="Cambria Math" w:cs="Times New Roman"/>
                <w:sz w:val="24"/>
                <w:u w:val="none"/>
              </w:rPr>
            </m:ctrlPr>
          </m:sub>
        </m:sSub>
      </m:oMath>
      <w:r>
        <w:rPr>
          <w:rFonts w:hint="default" w:ascii="Times New Roman" w:hAnsi="Times New Roman" w:cs="Times New Roman"/>
        </w:rPr>
        <w:t xml:space="preserve"> 为建筑特征（包括设施类别），</w:t>
      </w:r>
      <m:oMath>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x</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C</m:t>
            </m:r>
            <m:ctrlPr>
              <w:rPr>
                <w:rFonts w:hint="default" w:ascii="Cambria Math" w:hAnsi="Cambria Math" w:cs="Times New Roman"/>
                <w:sz w:val="24"/>
                <w:u w:val="none"/>
              </w:rPr>
            </m:ctrlPr>
          </m:sub>
        </m:sSub>
      </m:oMath>
      <w:r>
        <w:rPr>
          <w:rFonts w:hint="default" w:ascii="Times New Roman" w:hAnsi="Times New Roman" w:cs="Times New Roman"/>
        </w:rPr>
        <w:t xml:space="preserve"> 为可燃物与敏感目标特征。对于包含 </w:t>
      </w:r>
      <m:oMath>
        <m:r>
          <m:rPr>
            <m:nor/>
          </m:rPr>
          <w:rPr>
            <w:rFonts w:hint="default" w:ascii="Times New Roman" w:hAnsi="Times New Roman" w:cs="Times New Roman"/>
            <w:i/>
            <w:sz w:val="24"/>
            <w:u w:val="none"/>
          </w:rPr>
          <m:t>T</m:t>
        </m:r>
      </m:oMath>
      <w:r>
        <w:rPr>
          <w:rFonts w:hint="default" w:ascii="Times New Roman" w:hAnsi="Times New Roman" w:cs="Times New Roman"/>
        </w:rPr>
        <w:t xml:space="preserve"> 棵树的回归森林，第 </w:t>
      </w:r>
      <m:oMath>
        <m:r>
          <m:rPr>
            <m:nor/>
          </m:rPr>
          <w:rPr>
            <w:rFonts w:hint="default" w:ascii="Times New Roman" w:hAnsi="Times New Roman" w:cs="Times New Roman"/>
            <w:i/>
            <w:sz w:val="24"/>
            <w:u w:val="none"/>
          </w:rPr>
          <m:t>t</m:t>
        </m:r>
      </m:oMath>
      <w:r>
        <w:rPr>
          <w:rFonts w:hint="default" w:ascii="Times New Roman" w:hAnsi="Times New Roman" w:cs="Times New Roman"/>
        </w:rPr>
        <w:t xml:space="preserve"> 棵树的输出记为 </w:t>
      </w:r>
      <m:oMath>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f</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t</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r>
          <m:rPr>
            <m:nor/>
            <m:sty m:val="bi"/>
          </m:rPr>
          <w:rPr>
            <w:rFonts w:hint="default" w:ascii="Times New Roman" w:hAnsi="Times New Roman" w:cs="Times New Roman"/>
            <w:b/>
            <w:i/>
            <w:sz w:val="24"/>
            <w:u w:val="none"/>
          </w:rPr>
          <m:t>x</m:t>
        </m:r>
        <m:r>
          <m:rPr>
            <m:nor/>
            <m:sty m:val="p"/>
          </m:rPr>
          <w:rPr>
            <w:rFonts w:hint="default" w:ascii="Times New Roman" w:hAnsi="Times New Roman" w:cs="Times New Roman"/>
            <w:b w:val="0"/>
            <w:i w:val="0"/>
            <w:sz w:val="24"/>
            <w:u w:val="none"/>
          </w:rPr>
          <m:t>)</m:t>
        </m:r>
      </m:oMath>
      <w:r>
        <w:rPr>
          <w:rFonts w:hint="default" w:ascii="Times New Roman" w:hAnsi="Times New Roman" w:cs="Times New Roman"/>
        </w:rPr>
        <w:t>，连续预测值为：</w:t>
      </w:r>
    </w:p>
    <w:p w14:paraId="5B4CE497">
      <w:pPr>
        <w:ind w:firstLine="480"/>
        <w:rPr>
          <w:rFonts w:hint="default" w:ascii="Times New Roman" w:hAnsi="Times New Roman" w:cs="Times New Roman"/>
          <w:i w:val="0"/>
          <w:color w:val="000000"/>
          <w:kern w:val="2"/>
          <w:sz w:val="24"/>
          <w:szCs w:val="24"/>
          <w:u w:val="none"/>
          <w:lang w:val="en-US" w:bidi="ar-SA"/>
        </w:rPr>
      </w:pPr>
      <m:oMathPara>
        <m:oMath>
          <m:sSubSup>
            <m:sSubSupPr>
              <m:ctrlPr>
                <w:rPr>
                  <w:rFonts w:hint="default" w:ascii="Cambria Math" w:hAnsi="Cambria Math" w:cs="Times New Roman"/>
                  <w:sz w:val="24"/>
                  <w:u w:val="none"/>
                </w:rPr>
              </m:ctrlPr>
            </m:sSubSupPr>
            <m:e>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acc>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ctrlPr>
                <w:rPr>
                  <w:rFonts w:hint="default" w:ascii="Cambria Math" w:hAnsi="Cambria Math" w:cs="Times New Roman"/>
                  <w:sz w:val="24"/>
                  <w:u w:val="none"/>
                </w:rPr>
              </m:ctrlPr>
            </m:sub>
            <m:sup>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R</m:t>
              </m:r>
              <m:r>
                <m:rPr>
                  <m:nor/>
                  <m:sty m:val="p"/>
                </m:rPr>
                <w:rPr>
                  <w:rFonts w:hint="default" w:ascii="Times New Roman" w:hAnsi="Times New Roman" w:cs="Times New Roman"/>
                  <w:b w:val="0"/>
                  <w:i w:val="0"/>
                  <w:sz w:val="24"/>
                  <w:u w:val="none"/>
                </w:rPr>
                <m:t>)</m:t>
              </m:r>
              <m:ctrlPr>
                <w:rPr>
                  <w:rFonts w:hint="default" w:ascii="Cambria Math" w:hAnsi="Cambria Math" w:cs="Times New Roman"/>
                  <w:sz w:val="24"/>
                  <w:u w:val="none"/>
                </w:rPr>
              </m:ctrlPr>
            </m:sup>
          </m:sSubSup>
          <m:r>
            <m:rPr>
              <m:nor/>
              <m:sty m:val="p"/>
            </m:rPr>
            <w:rPr>
              <w:rFonts w:hint="default" w:ascii="Times New Roman" w:hAnsi="Times New Roman" w:cs="Times New Roman"/>
              <w:b w:val="0"/>
              <w:i w:val="0"/>
              <w:sz w:val="24"/>
              <w:u w:val="none"/>
            </w:rPr>
            <m:t>=</m:t>
          </m:r>
          <m:f>
            <m:fPr>
              <m:ctrlPr>
                <w:rPr>
                  <w:rFonts w:hint="default" w:ascii="Cambria Math" w:hAnsi="Cambria Math" w:cs="Times New Roman"/>
                  <w:i/>
                  <w:sz w:val="24"/>
                  <w:u w:val="none"/>
                </w:rPr>
              </m:ctrlPr>
            </m:fPr>
            <m:num>
              <m:r>
                <m:rPr>
                  <m:nor/>
                  <m:sty m:val="p"/>
                </m:rPr>
                <w:rPr>
                  <w:rFonts w:hint="default" w:ascii="Times New Roman" w:hAnsi="Times New Roman" w:cs="Times New Roman"/>
                  <w:b w:val="0"/>
                  <w:i w:val="0"/>
                  <w:sz w:val="24"/>
                  <w:u w:val="none"/>
                </w:rPr>
                <m:t>1</m:t>
              </m:r>
              <m:ctrlPr>
                <w:rPr>
                  <w:rFonts w:hint="default" w:ascii="Cambria Math" w:hAnsi="Cambria Math" w:cs="Times New Roman"/>
                  <w:sz w:val="24"/>
                  <w:u w:val="none"/>
                </w:rPr>
              </m:ctrlPr>
            </m:num>
            <m:den>
              <m:r>
                <m:rPr>
                  <m:nor/>
                </m:rPr>
                <w:rPr>
                  <w:rFonts w:hint="default" w:ascii="Times New Roman" w:hAnsi="Times New Roman" w:cs="Times New Roman"/>
                  <w:i/>
                  <w:sz w:val="24"/>
                  <w:u w:val="none"/>
                </w:rPr>
                <m:t>T</m:t>
              </m:r>
              <m:ctrlPr>
                <w:rPr>
                  <w:rFonts w:hint="default" w:ascii="Cambria Math" w:hAnsi="Cambria Math" w:cs="Times New Roman"/>
                  <w:sz w:val="24"/>
                  <w:u w:val="none"/>
                </w:rPr>
              </m:ctrlPr>
            </m:den>
          </m:f>
          <m:nary>
            <m:naryPr>
              <m:chr m:val="∑"/>
              <m:limLoc m:val="undOvr"/>
              <m:ctrlPr>
                <w:rPr>
                  <w:rFonts w:hint="default" w:ascii="Cambria Math" w:hAnsi="Cambria Math" w:cs="Times New Roman"/>
                  <w:i/>
                  <w:sz w:val="24"/>
                  <w:u w:val="none"/>
                </w:rPr>
              </m:ctrlPr>
            </m:naryPr>
            <m:sub>
              <m:r>
                <m:rPr>
                  <m:nor/>
                </m:rPr>
                <w:rPr>
                  <w:rFonts w:hint="default" w:ascii="Times New Roman" w:hAnsi="Times New Roman" w:cs="Times New Roman"/>
                  <w:i/>
                  <w:sz w:val="24"/>
                  <w:u w:val="none"/>
                </w:rPr>
                <m:t>t</m:t>
              </m:r>
              <m:r>
                <m:rPr>
                  <m:nor/>
                  <m:sty m:val="p"/>
                </m:rPr>
                <w:rPr>
                  <w:rFonts w:hint="default" w:ascii="Times New Roman" w:hAnsi="Times New Roman" w:cs="Times New Roman"/>
                  <w:b w:val="0"/>
                  <w:i w:val="0"/>
                  <w:sz w:val="24"/>
                  <w:u w:val="none"/>
                </w:rPr>
                <m:t>=1</m:t>
              </m:r>
              <m:ctrlPr>
                <w:rPr>
                  <w:rFonts w:hint="default" w:ascii="Cambria Math" w:hAnsi="Cambria Math" w:cs="Times New Roman"/>
                  <w:sz w:val="24"/>
                  <w:u w:val="none"/>
                </w:rPr>
              </m:ctrlPr>
            </m:sub>
            <m:sup>
              <m:r>
                <m:rPr>
                  <m:nor/>
                </m:rPr>
                <w:rPr>
                  <w:rFonts w:hint="default" w:ascii="Times New Roman" w:hAnsi="Times New Roman" w:cs="Times New Roman"/>
                  <w:i/>
                  <w:sz w:val="24"/>
                  <w:u w:val="none"/>
                </w:rPr>
                <m:t>T</m:t>
              </m:r>
              <m:ctrlPr>
                <w:rPr>
                  <w:rFonts w:hint="default" w:ascii="Cambria Math" w:hAnsi="Cambria Math" w:cs="Times New Roman"/>
                  <w:sz w:val="24"/>
                  <w:u w:val="none"/>
                </w:rPr>
              </m:ctrlPr>
            </m:sup>
            <m:e>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f</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t</m:t>
                  </m:r>
                  <m:ctrlPr>
                    <w:rPr>
                      <w:rFonts w:hint="default" w:ascii="Cambria Math" w:hAnsi="Cambria Math" w:cs="Times New Roman"/>
                      <w:sz w:val="24"/>
                      <w:u w:val="none"/>
                    </w:rPr>
                  </m:ctrlPr>
                </m:sub>
              </m:sSub>
              <m:ctrlPr>
                <w:rPr>
                  <w:rFonts w:hint="default" w:ascii="Cambria Math" w:hAnsi="Cambria Math" w:cs="Times New Roman"/>
                  <w:sz w:val="24"/>
                  <w:u w:val="none"/>
                </w:rPr>
              </m:ctrlPr>
            </m:e>
          </m:nary>
          <m:r>
            <m:rPr>
              <m:nor/>
              <m:sty m:val="p"/>
            </m:rPr>
            <w:rPr>
              <w:rFonts w:hint="default" w:ascii="Times New Roman" w:hAnsi="Times New Roman" w:cs="Times New Roman"/>
              <w:b w:val="0"/>
              <w:i w:val="0"/>
              <w:sz w:val="24"/>
              <w:u w:val="none"/>
            </w:rPr>
            <m:t>(</m:t>
          </m:r>
          <m:r>
            <m:rPr>
              <m:nor/>
              <m:sty m:val="bi"/>
            </m:rPr>
            <w:rPr>
              <w:rFonts w:hint="default" w:ascii="Times New Roman" w:hAnsi="Times New Roman" w:cs="Times New Roman"/>
              <w:b/>
              <w:i/>
              <w:sz w:val="24"/>
              <w:u w:val="none"/>
            </w:rPr>
            <m:t>x</m:t>
          </m:r>
          <m:r>
            <m:rPr>
              <m:nor/>
              <m:sty m:val="p"/>
            </m:rPr>
            <w:rPr>
              <w:rFonts w:hint="default" w:ascii="Times New Roman" w:hAnsi="Times New Roman" w:cs="Times New Roman"/>
              <w:b w:val="0"/>
              <w:i w:val="0"/>
              <w:sz w:val="24"/>
              <w:u w:val="none"/>
            </w:rPr>
            <m:t>)</m:t>
          </m:r>
        </m:oMath>
      </m:oMathPara>
    </w:p>
    <w:p w14:paraId="72D26352">
      <w:pPr>
        <w:ind w:firstLine="480"/>
        <w:rPr>
          <w:rFonts w:hint="default" w:ascii="Times New Roman" w:hAnsi="Times New Roman" w:cs="Times New Roman"/>
        </w:rPr>
      </w:pPr>
      <w:r>
        <w:rPr>
          <w:rFonts w:hint="default" w:ascii="Times New Roman" w:hAnsi="Times New Roman" w:cs="Times New Roman"/>
        </w:rPr>
        <w:t>回归结果限制在 [0,1] 范围内，以保持 Dk 的取值约束。</w:t>
      </w:r>
    </w:p>
    <w:p w14:paraId="2C8CE53A">
      <w:pPr>
        <w:pStyle w:val="3"/>
        <w:rPr>
          <w:rFonts w:hint="default" w:ascii="Times New Roman" w:hAnsi="Times New Roman" w:cs="Times New Roman"/>
        </w:rPr>
      </w:pPr>
      <w:bookmarkStart w:id="18" w:name="_Toc1327"/>
      <w:r>
        <w:rPr>
          <w:rFonts w:hint="default" w:ascii="Times New Roman" w:hAnsi="Times New Roman" w:cs="Times New Roman"/>
          <w:lang w:eastAsia="zh-CN"/>
        </w:rPr>
        <w:t>HS</w:t>
      </w:r>
      <w:r>
        <w:rPr>
          <w:rFonts w:hint="default" w:ascii="Times New Roman" w:hAnsi="Times New Roman" w:cs="Times New Roman"/>
        </w:rPr>
        <w:t>分类</w:t>
      </w:r>
      <w:bookmarkEnd w:id="18"/>
    </w:p>
    <w:p w14:paraId="682DDFDD">
      <w:pPr>
        <w:ind w:firstLine="480"/>
        <w:rPr>
          <w:rFonts w:hint="default" w:ascii="Times New Roman" w:hAnsi="Times New Roman" w:cs="Times New Roman"/>
        </w:rPr>
      </w:pPr>
      <w:r>
        <w:rPr>
          <w:rFonts w:hint="default" w:ascii="Times New Roman" w:hAnsi="Times New Roman" w:cs="Times New Roman"/>
        </w:rPr>
        <w:t>分类森林直接学习四个</w:t>
      </w:r>
      <w:r>
        <w:rPr>
          <w:rFonts w:hint="default" w:ascii="Times New Roman" w:hAnsi="Times New Roman" w:cs="Times New Roman"/>
          <w:lang w:eastAsia="zh-CN"/>
        </w:rPr>
        <w:t>HS</w:t>
      </w:r>
      <w:r>
        <w:rPr>
          <w:rFonts w:hint="default" w:ascii="Times New Roman" w:hAnsi="Times New Roman" w:cs="Times New Roman"/>
        </w:rPr>
        <w:t xml:space="preserve">等级。第 </w:t>
      </w:r>
      <m:oMath>
        <m:r>
          <m:rPr>
            <m:nor/>
          </m:rPr>
          <w:rPr>
            <w:rFonts w:hint="default" w:ascii="Times New Roman" w:hAnsi="Times New Roman" w:cs="Times New Roman"/>
            <w:i/>
            <w:sz w:val="24"/>
            <w:u w:val="none"/>
          </w:rPr>
          <m:t>t</m:t>
        </m:r>
      </m:oMath>
      <w:r>
        <w:rPr>
          <w:rFonts w:hint="default" w:ascii="Times New Roman" w:hAnsi="Times New Roman" w:cs="Times New Roman"/>
        </w:rPr>
        <w:t xml:space="preserve"> 棵分类树的输出记为 </w:t>
      </w:r>
      <m:oMath>
        <m:sSub>
          <m:sSubPr>
            <m:ctrlPr>
              <w:rPr>
                <w:rFonts w:hint="default" w:ascii="Cambria Math" w:hAnsi="Cambria Math" w:cs="Times New Roman"/>
                <w:sz w:val="24"/>
                <w:u w:val="none"/>
              </w:rPr>
            </m:ctrlPr>
          </m:sSubPr>
          <m:e>
            <m:r>
              <m:rPr>
                <m:nor/>
                <m:sty m:val="p"/>
              </m:rPr>
              <w:rPr>
                <w:rFonts w:hint="default" w:ascii="Times New Roman" w:hAnsi="Times New Roman" w:cs="Times New Roman"/>
                <w:b w:val="0"/>
                <w:i w:val="0"/>
                <w:sz w:val="24"/>
                <w:u w:val="none"/>
              </w:rPr>
              <m:t>h</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t</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x</m:t>
        </m:r>
        <m:r>
          <m:rPr>
            <m:nor/>
            <m:sty m:val="p"/>
          </m:rPr>
          <w:rPr>
            <w:rFonts w:hint="default" w:ascii="Times New Roman" w:hAnsi="Times New Roman" w:cs="Times New Roman"/>
            <w:b w:val="0"/>
            <w:i w:val="0"/>
            <w:sz w:val="24"/>
            <w:u w:val="none"/>
          </w:rPr>
          <m:t>)</m:t>
        </m:r>
      </m:oMath>
      <w:r>
        <w:rPr>
          <w:rFonts w:hint="default" w:ascii="Times New Roman" w:hAnsi="Times New Roman" w:cs="Times New Roman"/>
        </w:rPr>
        <w:t>，最终等级由多树投票确定：</w:t>
      </w:r>
    </w:p>
    <w:p w14:paraId="4EA9EFCE">
      <w:pPr>
        <w:ind w:firstLine="480"/>
        <w:rPr>
          <w:rFonts w:hint="default" w:ascii="Times New Roman" w:hAnsi="Times New Roman" w:cs="Times New Roman"/>
        </w:rPr>
      </w:pPr>
      <m:oMathPara>
        <m:oMath>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g</m:t>
              </m:r>
              <m:ctrlPr>
                <w:rPr>
                  <w:rFonts w:hint="default" w:ascii="Cambria Math" w:hAnsi="Cambria Math" w:cs="Times New Roman"/>
                  <w:sz w:val="24"/>
                  <w:u w:val="none"/>
                </w:rPr>
              </m:ctrlPr>
            </m:e>
          </m:acc>
          <m:r>
            <m:rPr>
              <m:nor/>
              <m:sty m:val="p"/>
            </m:rPr>
            <w:rPr>
              <w:rFonts w:hint="default" w:ascii="Times New Roman" w:hAnsi="Times New Roman" w:cs="Times New Roman"/>
              <w:b w:val="0"/>
              <w:i w:val="0"/>
              <w:sz w:val="24"/>
              <w:u w:val="none"/>
            </w:rPr>
            <m:t>=</m:t>
          </m:r>
          <m:func>
            <m:funcPr>
              <m:ctrlPr>
                <w:rPr>
                  <w:rFonts w:hint="default" w:ascii="Cambria Math" w:hAnsi="Cambria Math" w:cs="Times New Roman"/>
                  <w:sz w:val="24"/>
                  <w:u w:val="none"/>
                </w:rPr>
              </m:ctrlPr>
            </m:funcPr>
            <m:fName>
              <m:r>
                <m:rPr>
                  <m:nor/>
                </m:rPr>
                <w:rPr>
                  <w:rFonts w:hint="default" w:ascii="Times New Roman" w:hAnsi="Times New Roman" w:cs="Times New Roman"/>
                  <w:i/>
                  <w:sz w:val="24"/>
                  <w:u w:val="none"/>
                </w:rPr>
                <m:t>arg</m:t>
              </m:r>
              <m:ctrlPr>
                <w:rPr>
                  <w:rFonts w:hint="default" w:ascii="Cambria Math" w:hAnsi="Cambria Math" w:cs="Times New Roman"/>
                  <w:sz w:val="24"/>
                  <w:u w:val="none"/>
                </w:rPr>
              </m:ctrlPr>
            </m:fName>
            <m:e>
              <m:func>
                <m:funcPr>
                  <m:ctrlPr>
                    <w:rPr>
                      <w:rFonts w:hint="default" w:ascii="Cambria Math" w:hAnsi="Cambria Math" w:cs="Times New Roman"/>
                      <w:sz w:val="24"/>
                      <w:u w:val="none"/>
                    </w:rPr>
                  </m:ctrlPr>
                </m:funcPr>
                <m:fName>
                  <m:limLow>
                    <m:limLowPr>
                      <m:ctrlPr>
                        <w:rPr>
                          <w:rFonts w:hint="default" w:ascii="Cambria Math" w:hAnsi="Cambria Math" w:cs="Times New Roman"/>
                          <w:sz w:val="24"/>
                          <w:u w:val="none"/>
                        </w:rPr>
                      </m:ctrlPr>
                    </m:limLowPr>
                    <m:e>
                      <m:r>
                        <m:rPr>
                          <m:nor/>
                          <m:sty m:val="p"/>
                        </m:rPr>
                        <w:rPr>
                          <w:rFonts w:hint="default" w:ascii="Times New Roman" w:hAnsi="Times New Roman" w:cs="Times New Roman"/>
                          <w:b w:val="0"/>
                          <w:i w:val="0"/>
                          <w:sz w:val="24"/>
                          <w:u w:val="none"/>
                        </w:rPr>
                        <m:t>max</m:t>
                      </m:r>
                      <m:ctrlPr>
                        <w:rPr>
                          <w:rFonts w:hint="default" w:ascii="Cambria Math" w:hAnsi="Cambria Math" w:cs="Times New Roman"/>
                          <w:sz w:val="24"/>
                          <w:u w:val="none"/>
                        </w:rPr>
                      </m:ctrlPr>
                    </m:e>
                    <m:lim>
                      <m:r>
                        <m:rPr>
                          <m:nor/>
                        </m:rPr>
                        <w:rPr>
                          <w:rFonts w:hint="default" w:ascii="Times New Roman" w:hAnsi="Times New Roman" w:cs="Times New Roman"/>
                          <w:i/>
                          <w:sz w:val="24"/>
                          <w:u w:val="none"/>
                        </w:rPr>
                        <m:t>c</m:t>
                      </m:r>
                      <m:r>
                        <m:rPr>
                          <m:nor/>
                          <m:sty m:val="p"/>
                        </m:rPr>
                        <w:rPr>
                          <w:rFonts w:hint="default" w:ascii="Times New Roman" w:hAnsi="Times New Roman" w:cs="Times New Roman"/>
                          <w:b w:val="0"/>
                          <w:i w:val="0"/>
                          <w:sz w:val="24"/>
                          <w:u w:val="none"/>
                        </w:rPr>
                        <m:t>∈{0,1,2,3}</m:t>
                      </m:r>
                      <m:ctrlPr>
                        <w:rPr>
                          <w:rFonts w:hint="default" w:ascii="Cambria Math" w:hAnsi="Cambria Math" w:cs="Times New Roman"/>
                          <w:sz w:val="24"/>
                          <w:u w:val="none"/>
                        </w:rPr>
                      </m:ctrlPr>
                    </m:lim>
                  </m:limLow>
                  <m:ctrlPr>
                    <w:rPr>
                      <w:rFonts w:hint="default" w:ascii="Cambria Math" w:hAnsi="Cambria Math" w:cs="Times New Roman"/>
                      <w:sz w:val="24"/>
                      <w:u w:val="none"/>
                    </w:rPr>
                  </m:ctrlPr>
                </m:fName>
                <m:e>
                  <m:nary>
                    <m:naryPr>
                      <m:chr m:val="∑"/>
                      <m:limLoc m:val="undOvr"/>
                      <m:ctrlPr>
                        <w:rPr>
                          <w:rFonts w:hint="default" w:ascii="Cambria Math" w:hAnsi="Cambria Math" w:cs="Times New Roman"/>
                          <w:i/>
                          <w:sz w:val="24"/>
                          <w:u w:val="none"/>
                        </w:rPr>
                      </m:ctrlPr>
                    </m:naryPr>
                    <m:sub>
                      <m:r>
                        <m:rPr>
                          <m:nor/>
                        </m:rPr>
                        <w:rPr>
                          <w:rFonts w:hint="default" w:ascii="Times New Roman" w:hAnsi="Times New Roman" w:cs="Times New Roman"/>
                          <w:i/>
                          <w:sz w:val="24"/>
                          <w:u w:val="none"/>
                        </w:rPr>
                        <m:t>t</m:t>
                      </m:r>
                      <m:r>
                        <m:rPr>
                          <m:nor/>
                          <m:sty m:val="p"/>
                        </m:rPr>
                        <w:rPr>
                          <w:rFonts w:hint="default" w:ascii="Times New Roman" w:hAnsi="Times New Roman" w:cs="Times New Roman"/>
                          <w:b w:val="0"/>
                          <w:i w:val="0"/>
                          <w:sz w:val="24"/>
                          <w:u w:val="none"/>
                        </w:rPr>
                        <m:t>=1</m:t>
                      </m:r>
                      <m:ctrlPr>
                        <w:rPr>
                          <w:rFonts w:hint="default" w:ascii="Cambria Math" w:hAnsi="Cambria Math" w:cs="Times New Roman"/>
                          <w:sz w:val="24"/>
                          <w:u w:val="none"/>
                        </w:rPr>
                      </m:ctrlPr>
                    </m:sub>
                    <m:sup>
                      <m:r>
                        <m:rPr>
                          <m:nor/>
                        </m:rPr>
                        <w:rPr>
                          <w:rFonts w:hint="default" w:ascii="Times New Roman" w:hAnsi="Times New Roman" w:cs="Times New Roman"/>
                          <w:i/>
                          <w:sz w:val="24"/>
                          <w:u w:val="none"/>
                        </w:rPr>
                        <m:t>T</m:t>
                      </m:r>
                      <m:ctrlPr>
                        <w:rPr>
                          <w:rFonts w:hint="default" w:ascii="Cambria Math" w:hAnsi="Cambria Math" w:cs="Times New Roman"/>
                          <w:sz w:val="24"/>
                          <w:u w:val="none"/>
                        </w:rPr>
                      </m:ctrlPr>
                    </m:sup>
                    <m:e>
                      <m:r>
                        <m:rPr>
                          <m:nor/>
                          <m:sty m:val="b"/>
                        </m:rPr>
                        <w:rPr>
                          <w:rFonts w:hint="default" w:ascii="Times New Roman" w:hAnsi="Times New Roman" w:cs="Times New Roman"/>
                          <w:b/>
                          <w:i w:val="0"/>
                          <w:sz w:val="24"/>
                          <w:u w:val="none"/>
                        </w:rPr>
                        <m:t>1</m:t>
                      </m:r>
                      <m:ctrlPr>
                        <w:rPr>
                          <w:rFonts w:hint="default" w:ascii="Cambria Math" w:hAnsi="Cambria Math" w:cs="Times New Roman"/>
                          <w:sz w:val="24"/>
                          <w:u w:val="none"/>
                        </w:rPr>
                      </m:ctrlPr>
                    </m:e>
                  </m:nary>
                  <m:ctrlPr>
                    <w:rPr>
                      <w:rFonts w:hint="default" w:ascii="Cambria Math" w:hAnsi="Cambria Math" w:cs="Times New Roman"/>
                      <w:i/>
                      <w:sz w:val="24"/>
                      <w:u w:val="none"/>
                    </w:rPr>
                  </m:ctrlPr>
                </m:e>
              </m:func>
              <m:ctrlPr>
                <w:rPr>
                  <w:rFonts w:hint="default" w:ascii="Cambria Math" w:hAnsi="Cambria Math" w:cs="Times New Roman"/>
                  <w:sz w:val="24"/>
                  <w:u w:val="none"/>
                </w:rPr>
              </m:ctrlPr>
            </m:e>
          </m:func>
          <m:d>
            <m:dPr>
              <m:begChr m:val="["/>
              <m:endChr m:val="]"/>
              <m:ctrlPr>
                <w:rPr>
                  <w:rFonts w:hint="default" w:ascii="Cambria Math" w:hAnsi="Cambria Math" w:cs="Times New Roman"/>
                  <w:i/>
                  <w:sz w:val="24"/>
                  <w:u w:val="none"/>
                </w:rPr>
              </m:ctrlPr>
            </m:dPr>
            <m:e>
              <m:sSub>
                <m:sSubPr>
                  <m:ctrlPr>
                    <w:rPr>
                      <w:rFonts w:hint="default" w:ascii="Cambria Math" w:hAnsi="Cambria Math" w:cs="Times New Roman"/>
                      <w:sz w:val="24"/>
                      <w:u w:val="none"/>
                    </w:rPr>
                  </m:ctrlPr>
                </m:sSubPr>
                <m:e>
                  <m:r>
                    <m:rPr>
                      <m:nor/>
                      <m:sty m:val="p"/>
                    </m:rPr>
                    <w:rPr>
                      <w:rFonts w:hint="default" w:ascii="Times New Roman" w:hAnsi="Times New Roman" w:cs="Times New Roman"/>
                      <w:b w:val="0"/>
                      <w:i w:val="0"/>
                      <w:sz w:val="24"/>
                      <w:u w:val="none"/>
                    </w:rPr>
                    <m:t>h</m:t>
                  </m:r>
                  <m:ctrlPr>
                    <w:rPr>
                      <w:rFonts w:hint="default" w:ascii="Cambria Math" w:hAnsi="Cambria Math" w:cs="Times New Roman"/>
                      <w:i/>
                      <w:sz w:val="24"/>
                      <w:u w:val="none"/>
                    </w:rPr>
                  </m:ctrlPr>
                </m:e>
                <m:sub>
                  <m:r>
                    <m:rPr>
                      <m:nor/>
                    </m:rPr>
                    <w:rPr>
                      <w:rFonts w:hint="default" w:ascii="Times New Roman" w:hAnsi="Times New Roman" w:cs="Times New Roman"/>
                      <w:i/>
                      <w:sz w:val="24"/>
                      <w:u w:val="none"/>
                    </w:rPr>
                    <m:t>t</m:t>
                  </m:r>
                  <m:ctrlPr>
                    <w:rPr>
                      <w:rFonts w:hint="default" w:ascii="Cambria Math" w:hAnsi="Cambria Math" w:cs="Times New Roman"/>
                      <w:i/>
                      <w:sz w:val="24"/>
                      <w:u w:val="none"/>
                    </w:rPr>
                  </m:ctrlPr>
                </m:sub>
              </m:sSub>
              <m:r>
                <m:rPr>
                  <m:nor/>
                  <m:sty m:val="p"/>
                </m:rPr>
                <w:rPr>
                  <w:rFonts w:hint="default" w:ascii="Times New Roman" w:hAnsi="Times New Roman" w:cs="Times New Roman"/>
                  <w:b w:val="0"/>
                  <w:i w:val="0"/>
                  <w:sz w:val="24"/>
                  <w:u w:val="none"/>
                </w:rPr>
                <m:t>(</m:t>
              </m:r>
              <m:r>
                <m:rPr>
                  <m:nor/>
                  <m:sty m:val="bi"/>
                </m:rPr>
                <w:rPr>
                  <w:rFonts w:hint="default" w:ascii="Times New Roman" w:hAnsi="Times New Roman" w:cs="Times New Roman"/>
                  <w:b/>
                  <w:i/>
                  <w:sz w:val="24"/>
                  <w:u w:val="none"/>
                </w:rPr>
                <m:t>x</m:t>
              </m:r>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c</m:t>
              </m:r>
              <m:ctrlPr>
                <w:rPr>
                  <w:rFonts w:hint="default" w:ascii="Cambria Math" w:hAnsi="Cambria Math" w:cs="Times New Roman"/>
                  <w:sz w:val="24"/>
                  <w:u w:val="none"/>
                </w:rPr>
              </m:ctrlPr>
            </m:e>
          </m:d>
        </m:oMath>
      </m:oMathPara>
    </w:p>
    <w:p w14:paraId="320320B7">
      <w:pPr>
        <w:rPr>
          <w:rFonts w:hint="default" w:ascii="Times New Roman" w:hAnsi="Times New Roman" w:cs="Times New Roman"/>
        </w:rPr>
      </w:pPr>
      <w:r>
        <w:rPr>
          <w:rFonts w:hint="default" w:ascii="Times New Roman" w:hAnsi="Times New Roman" w:cs="Times New Roman"/>
        </w:rPr>
        <w:t>分类任务采用信息熵作为节点分裂准则，并根据四个等级的样本数量进行类别平衡，使轻微破坏和严重破坏样本能够参与有效分裂。</w:t>
      </w:r>
    </w:p>
    <w:p w14:paraId="5231E54A">
      <w:pPr>
        <w:pStyle w:val="3"/>
        <w:rPr>
          <w:rFonts w:hint="default" w:ascii="Times New Roman" w:hAnsi="Times New Roman" w:cs="Times New Roman"/>
        </w:rPr>
      </w:pPr>
      <w:bookmarkStart w:id="19" w:name="_Toc12943"/>
      <w:r>
        <w:rPr>
          <w:rFonts w:hint="default" w:ascii="Times New Roman" w:hAnsi="Times New Roman" w:cs="Times New Roman"/>
        </w:rPr>
        <w:t>等级一致性约束</w:t>
      </w:r>
      <w:bookmarkEnd w:id="19"/>
    </w:p>
    <w:p w14:paraId="77CD6916">
      <w:pPr>
        <w:rPr>
          <w:rFonts w:hint="default" w:ascii="Times New Roman" w:hAnsi="Times New Roman" w:cs="Times New Roman"/>
        </w:rPr>
      </w:pPr>
      <w:r>
        <w:rPr>
          <w:rFonts w:hint="default" w:ascii="Times New Roman" w:hAnsi="Times New Roman" w:cs="Times New Roman"/>
        </w:rPr>
        <w:t xml:space="preserve">设分类结果 </w:t>
      </w:r>
      <m:oMath>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g</m:t>
            </m:r>
            <m:ctrlPr>
              <w:rPr>
                <w:rFonts w:hint="default" w:ascii="Cambria Math" w:hAnsi="Cambria Math" w:cs="Times New Roman"/>
                <w:sz w:val="24"/>
                <w:u w:val="none"/>
              </w:rPr>
            </m:ctrlPr>
          </m:e>
        </m:acc>
      </m:oMath>
      <w:r>
        <w:rPr>
          <w:rFonts w:hint="default" w:ascii="Times New Roman" w:hAnsi="Times New Roman" w:cs="Times New Roman"/>
        </w:rPr>
        <w:t xml:space="preserve"> 对应的 Dk 合法区间为 </w:t>
      </w:r>
      <m:oMath>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L</m:t>
            </m:r>
            <m:ctrlPr>
              <w:rPr>
                <w:rFonts w:hint="default" w:ascii="Cambria Math" w:hAnsi="Cambria Math" w:cs="Times New Roman"/>
                <w:sz w:val="24"/>
                <w:u w:val="none"/>
              </w:rPr>
            </m:ctrlPr>
          </m:e>
          <m:sub>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g</m:t>
                </m:r>
                <m:ctrlPr>
                  <w:rPr>
                    <w:rFonts w:hint="default" w:ascii="Cambria Math" w:hAnsi="Cambria Math" w:cs="Times New Roman"/>
                    <w:sz w:val="24"/>
                    <w:u w:val="none"/>
                  </w:rPr>
                </m:ctrlPr>
              </m:e>
            </m:acc>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U</m:t>
            </m:r>
            <m:ctrlPr>
              <w:rPr>
                <w:rFonts w:hint="default" w:ascii="Cambria Math" w:hAnsi="Cambria Math" w:cs="Times New Roman"/>
                <w:sz w:val="24"/>
                <w:u w:val="none"/>
              </w:rPr>
            </m:ctrlPr>
          </m:e>
          <m:sub>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g</m:t>
                </m:r>
                <m:ctrlPr>
                  <w:rPr>
                    <w:rFonts w:hint="default" w:ascii="Cambria Math" w:hAnsi="Cambria Math" w:cs="Times New Roman"/>
                    <w:sz w:val="24"/>
                    <w:u w:val="none"/>
                  </w:rPr>
                </m:ctrlPr>
              </m:e>
            </m:acc>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oMath>
      <w:r>
        <w:rPr>
          <w:rFonts w:hint="default" w:ascii="Times New Roman" w:hAnsi="Times New Roman" w:cs="Times New Roman"/>
        </w:rPr>
        <w:t>，最终连续值为：</w:t>
      </w:r>
    </w:p>
    <w:p w14:paraId="31A2B4B7">
      <w:pPr>
        <w:rPr>
          <w:rFonts w:hint="default" w:ascii="Times New Roman" w:hAnsi="Times New Roman" w:cs="Times New Roman"/>
        </w:rPr>
      </w:pPr>
      <m:oMathPara>
        <m:oMath>
          <m:sSub>
            <m:sSubPr>
              <m:ctrlPr>
                <w:rPr>
                  <w:rFonts w:hint="default" w:ascii="Cambria Math" w:hAnsi="Cambria Math" w:cs="Times New Roman"/>
                  <w:sz w:val="24"/>
                  <w:u w:val="none"/>
                </w:rPr>
              </m:ctrlPr>
            </m:sSubPr>
            <m:e>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acc>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func>
            <m:funcPr>
              <m:ctrlPr>
                <w:rPr>
                  <w:rFonts w:hint="default" w:ascii="Cambria Math" w:hAnsi="Cambria Math" w:cs="Times New Roman"/>
                  <w:sz w:val="24"/>
                  <w:u w:val="none"/>
                </w:rPr>
              </m:ctrlPr>
            </m:funcPr>
            <m:fName>
              <m:r>
                <m:rPr>
                  <m:nor/>
                  <m:sty m:val="p"/>
                </m:rPr>
                <w:rPr>
                  <w:rFonts w:hint="default" w:ascii="Times New Roman" w:hAnsi="Times New Roman" w:cs="Times New Roman"/>
                  <w:b w:val="0"/>
                  <w:i w:val="0"/>
                  <w:sz w:val="24"/>
                  <w:u w:val="none"/>
                </w:rPr>
                <m:t>min</m:t>
              </m:r>
              <m:ctrlPr>
                <w:rPr>
                  <w:rFonts w:hint="default" w:ascii="Cambria Math" w:hAnsi="Cambria Math" w:cs="Times New Roman"/>
                  <w:sz w:val="24"/>
                  <w:u w:val="none"/>
                </w:rPr>
              </m:ctrlPr>
            </m:fName>
            <m:e>
              <m:d>
                <m:dPr>
                  <m:ctrlPr>
                    <w:rPr>
                      <w:rFonts w:hint="default" w:ascii="Cambria Math" w:hAnsi="Cambria Math" w:cs="Times New Roman"/>
                      <w:i/>
                      <w:sz w:val="24"/>
                      <w:u w:val="none"/>
                    </w:rPr>
                  </m:ctrlPr>
                </m:dPr>
                <m:e>
                  <m:func>
                    <m:funcPr>
                      <m:ctrlPr>
                        <w:rPr>
                          <w:rFonts w:hint="default" w:ascii="Cambria Math" w:hAnsi="Cambria Math" w:cs="Times New Roman"/>
                          <w:sz w:val="24"/>
                          <w:u w:val="none"/>
                        </w:rPr>
                      </m:ctrlPr>
                    </m:funcPr>
                    <m:fName>
                      <m:r>
                        <m:rPr>
                          <m:nor/>
                          <m:sty m:val="p"/>
                        </m:rPr>
                        <w:rPr>
                          <w:rFonts w:hint="default" w:ascii="Times New Roman" w:hAnsi="Times New Roman" w:cs="Times New Roman"/>
                          <w:b w:val="0"/>
                          <w:i w:val="0"/>
                          <w:sz w:val="24"/>
                          <w:u w:val="none"/>
                        </w:rPr>
                        <m:t>max</m:t>
                      </m:r>
                      <m:ctrlPr>
                        <w:rPr>
                          <w:rFonts w:hint="default" w:ascii="Cambria Math" w:hAnsi="Cambria Math" w:cs="Times New Roman"/>
                          <w:sz w:val="24"/>
                          <w:u w:val="none"/>
                        </w:rPr>
                      </m:ctrlPr>
                    </m:fName>
                    <m:e>
                      <m:d>
                        <m:dPr>
                          <m:ctrlPr>
                            <w:rPr>
                              <w:rFonts w:hint="default" w:ascii="Cambria Math" w:hAnsi="Cambria Math" w:cs="Times New Roman"/>
                              <w:i/>
                              <w:sz w:val="24"/>
                              <w:u w:val="none"/>
                            </w:rPr>
                          </m:ctrlPr>
                        </m:dPr>
                        <m:e>
                          <m:sSubSup>
                            <m:sSubSupPr>
                              <m:ctrlPr>
                                <w:rPr>
                                  <w:rFonts w:hint="default" w:ascii="Cambria Math" w:hAnsi="Cambria Math" w:cs="Times New Roman"/>
                                  <w:sz w:val="24"/>
                                  <w:u w:val="none"/>
                                </w:rPr>
                              </m:ctrlPr>
                            </m:sSubSupPr>
                            <m:e>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acc>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ctrlPr>
                                <w:rPr>
                                  <w:rFonts w:hint="default" w:ascii="Cambria Math" w:hAnsi="Cambria Math" w:cs="Times New Roman"/>
                                  <w:sz w:val="24"/>
                                  <w:u w:val="none"/>
                                </w:rPr>
                              </m:ctrlPr>
                            </m:sub>
                            <m:sup>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R</m:t>
                              </m:r>
                              <m:r>
                                <m:rPr>
                                  <m:nor/>
                                  <m:sty m:val="p"/>
                                </m:rPr>
                                <w:rPr>
                                  <w:rFonts w:hint="default" w:ascii="Times New Roman" w:hAnsi="Times New Roman" w:cs="Times New Roman"/>
                                  <w:b w:val="0"/>
                                  <w:i w:val="0"/>
                                  <w:sz w:val="24"/>
                                  <w:u w:val="none"/>
                                </w:rPr>
                                <m:t>)</m:t>
                              </m:r>
                              <m:ctrlPr>
                                <w:rPr>
                                  <w:rFonts w:hint="default" w:ascii="Cambria Math" w:hAnsi="Cambria Math" w:cs="Times New Roman"/>
                                  <w:sz w:val="24"/>
                                  <w:u w:val="none"/>
                                </w:rPr>
                              </m:ctrlPr>
                            </m:sup>
                          </m:sSubSup>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L</m:t>
                              </m:r>
                              <m:ctrlPr>
                                <w:rPr>
                                  <w:rFonts w:hint="default" w:ascii="Cambria Math" w:hAnsi="Cambria Math" w:cs="Times New Roman"/>
                                  <w:sz w:val="24"/>
                                  <w:u w:val="none"/>
                                </w:rPr>
                              </m:ctrlPr>
                            </m:e>
                            <m:sub>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g</m:t>
                                  </m:r>
                                  <m:ctrlPr>
                                    <w:rPr>
                                      <w:rFonts w:hint="default" w:ascii="Cambria Math" w:hAnsi="Cambria Math" w:cs="Times New Roman"/>
                                      <w:sz w:val="24"/>
                                      <w:u w:val="none"/>
                                    </w:rPr>
                                  </m:ctrlPr>
                                </m:e>
                              </m:acc>
                              <m:ctrlPr>
                                <w:rPr>
                                  <w:rFonts w:hint="default" w:ascii="Cambria Math" w:hAnsi="Cambria Math" w:cs="Times New Roman"/>
                                  <w:sz w:val="24"/>
                                  <w:u w:val="none"/>
                                </w:rPr>
                              </m:ctrlPr>
                            </m:sub>
                          </m:sSub>
                          <m:ctrlPr>
                            <w:rPr>
                              <w:rFonts w:hint="default" w:ascii="Cambria Math" w:hAnsi="Cambria Math" w:cs="Times New Roman"/>
                              <w:sz w:val="24"/>
                              <w:u w:val="none"/>
                            </w:rPr>
                          </m:ctrlPr>
                        </m:e>
                      </m:d>
                      <m:ctrlPr>
                        <w:rPr>
                          <w:rFonts w:hint="default" w:ascii="Cambria Math" w:hAnsi="Cambria Math" w:cs="Times New Roman"/>
                          <w:i/>
                          <w:sz w:val="24"/>
                          <w:u w:val="none"/>
                        </w:rPr>
                      </m:ctrlPr>
                    </m:e>
                  </m:func>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U</m:t>
                      </m:r>
                      <m:ctrlPr>
                        <w:rPr>
                          <w:rFonts w:hint="default" w:ascii="Cambria Math" w:hAnsi="Cambria Math" w:cs="Times New Roman"/>
                          <w:i/>
                          <w:sz w:val="24"/>
                          <w:u w:val="none"/>
                        </w:rPr>
                      </m:ctrlPr>
                    </m:e>
                    <m:sub>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g</m:t>
                          </m:r>
                          <m:ctrlPr>
                            <w:rPr>
                              <w:rFonts w:hint="default" w:ascii="Cambria Math" w:hAnsi="Cambria Math" w:cs="Times New Roman"/>
                              <w:sz w:val="24"/>
                              <w:u w:val="none"/>
                            </w:rPr>
                          </m:ctrlPr>
                        </m:e>
                      </m:acc>
                      <m:ctrlPr>
                        <w:rPr>
                          <w:rFonts w:hint="default" w:ascii="Cambria Math" w:hAnsi="Cambria Math" w:cs="Times New Roman"/>
                          <w:sz w:val="24"/>
                          <w:u w:val="none"/>
                        </w:rPr>
                      </m:ctrlPr>
                    </m:sub>
                  </m:sSub>
                  <m:ctrlPr>
                    <w:rPr>
                      <w:rFonts w:hint="default" w:ascii="Cambria Math" w:hAnsi="Cambria Math" w:cs="Times New Roman"/>
                      <w:sz w:val="24"/>
                      <w:u w:val="none"/>
                    </w:rPr>
                  </m:ctrlPr>
                </m:e>
              </m:d>
              <m:ctrlPr>
                <w:rPr>
                  <w:rFonts w:hint="default" w:ascii="Cambria Math" w:hAnsi="Cambria Math" w:cs="Times New Roman"/>
                  <w:i/>
                  <w:sz w:val="24"/>
                  <w:u w:val="none"/>
                </w:rPr>
              </m:ctrlPr>
            </m:e>
          </m:func>
        </m:oMath>
      </m:oMathPara>
    </w:p>
    <w:p w14:paraId="36A697C9">
      <w:pPr>
        <w:rPr>
          <w:rFonts w:hint="default" w:ascii="Times New Roman" w:hAnsi="Times New Roman" w:cs="Times New Roman"/>
        </w:rPr>
      </w:pPr>
      <w:r>
        <w:rPr>
          <w:rFonts w:hint="default" w:ascii="Times New Roman" w:hAnsi="Times New Roman" w:cs="Times New Roman"/>
        </w:rPr>
        <w:t>该过程保留回归结果在等级区间内的连续差异，同时确保最终 Dk 与四级HS结果一致。例如分类森林判断为中等破坏时，最终 Dk 位于 [0.10,0.40)。</w:t>
      </w:r>
    </w:p>
    <w:p w14:paraId="561EB5D8">
      <w:pPr>
        <w:pStyle w:val="3"/>
        <w:rPr>
          <w:rFonts w:hint="default" w:ascii="Times New Roman" w:hAnsi="Times New Roman" w:cs="Times New Roman"/>
        </w:rPr>
      </w:pPr>
      <w:bookmarkStart w:id="20" w:name="_Toc16482"/>
      <w:r>
        <w:rPr>
          <w:rFonts w:hint="default" w:ascii="Times New Roman" w:hAnsi="Times New Roman" w:cs="Times New Roman"/>
        </w:rPr>
        <w:t>模型</w:t>
      </w:r>
      <w:r>
        <w:rPr>
          <w:rFonts w:hint="default" w:ascii="Times New Roman" w:hAnsi="Times New Roman" w:cs="Times New Roman"/>
          <w:lang w:val="en-US" w:eastAsia="zh-CN"/>
        </w:rPr>
        <w:t>参数与树数选择</w:t>
      </w:r>
      <w:bookmarkEnd w:id="20"/>
    </w:p>
    <w:p w14:paraId="231C3910">
      <w:pPr>
        <w:rPr>
          <w:rFonts w:hint="default" w:ascii="Times New Roman" w:hAnsi="Times New Roman" w:cs="Times New Roman"/>
        </w:rPr>
      </w:pPr>
      <w:r>
        <w:rPr>
          <w:rFonts w:hint="default" w:ascii="Times New Roman" w:hAnsi="Times New Roman" w:cs="Times New Roman"/>
        </w:rPr>
        <w:t>为直观展示四种模型的结构差异，以下表格从网络类型、层数、参数量、特性四个维度进行对比分析。</w:t>
      </w:r>
    </w:p>
    <w:p w14:paraId="23335385">
      <w:pPr>
        <w:pStyle w:val="16"/>
        <w:bidi w:val="0"/>
        <w:rPr>
          <w:rFonts w:hint="default" w:ascii="Times New Roman" w:hAnsi="Times New Roman" w:eastAsia="宋体" w:cs="Times New Roman"/>
          <w:lang w:val="en-US" w:eastAsia="zh-CN"/>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rPr>
        <w:t xml:space="preserve"> </w:t>
      </w:r>
      <w:r>
        <w:rPr>
          <w:rFonts w:hint="default" w:ascii="Times New Roman" w:hAnsi="Times New Roman" w:cs="Times New Roman"/>
          <w:lang w:val="en-US" w:eastAsia="zh-CN"/>
        </w:rPr>
        <w:t>模型参数</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7002D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12" w:space="0"/>
              <w:left w:val="nil"/>
              <w:bottom w:val="single" w:color="000000" w:sz="4" w:space="0"/>
              <w:right w:val="nil"/>
              <w:tl2br w:val="nil"/>
            </w:tcBorders>
            <w:shd w:val="clear" w:color="auto" w:fill="FFFFFF"/>
          </w:tcPr>
          <w:p w14:paraId="25359E1D">
            <w:pPr>
              <w:pStyle w:val="54"/>
              <w:bidi w:val="0"/>
              <w:rPr>
                <w:rFonts w:hint="default" w:ascii="Times New Roman" w:hAnsi="Times New Roman" w:cs="Times New Roman"/>
                <w:b w:val="0"/>
              </w:rPr>
            </w:pPr>
            <w:r>
              <w:rPr>
                <w:rFonts w:hint="default" w:ascii="Times New Roman" w:hAnsi="Times New Roman" w:cs="Times New Roman"/>
                <w:b w:val="0"/>
              </w:rPr>
              <w:t>参数</w:t>
            </w:r>
          </w:p>
        </w:tc>
        <w:tc>
          <w:tcPr>
            <w:tcW w:w="2769" w:type="dxa"/>
            <w:tcBorders>
              <w:top w:val="single" w:color="000000" w:sz="12" w:space="0"/>
              <w:left w:val="nil"/>
              <w:bottom w:val="single" w:color="000000" w:sz="4" w:space="0"/>
              <w:right w:val="nil"/>
            </w:tcBorders>
            <w:shd w:val="clear" w:color="auto" w:fill="FFFFFF"/>
          </w:tcPr>
          <w:p w14:paraId="31838FA7">
            <w:pPr>
              <w:pStyle w:val="54"/>
              <w:bidi w:val="0"/>
              <w:rPr>
                <w:rFonts w:hint="default" w:ascii="Times New Roman" w:hAnsi="Times New Roman" w:cs="Times New Roman"/>
                <w:b w:val="0"/>
              </w:rPr>
            </w:pPr>
            <w:r>
              <w:rPr>
                <w:rFonts w:hint="default" w:ascii="Times New Roman" w:hAnsi="Times New Roman" w:cs="Times New Roman"/>
                <w:b w:val="0"/>
              </w:rPr>
              <w:t>Dk 回归森林</w:t>
            </w:r>
          </w:p>
        </w:tc>
        <w:tc>
          <w:tcPr>
            <w:tcW w:w="2769" w:type="dxa"/>
            <w:tcBorders>
              <w:top w:val="single" w:color="000000" w:sz="12" w:space="0"/>
              <w:left w:val="nil"/>
              <w:bottom w:val="single" w:color="000000" w:sz="4" w:space="0"/>
              <w:right w:val="nil"/>
            </w:tcBorders>
            <w:shd w:val="clear" w:color="auto" w:fill="FFFFFF"/>
          </w:tcPr>
          <w:p w14:paraId="0A0D5724">
            <w:pPr>
              <w:pStyle w:val="54"/>
              <w:bidi w:val="0"/>
              <w:rPr>
                <w:rFonts w:hint="default" w:ascii="Times New Roman" w:hAnsi="Times New Roman" w:cs="Times New Roman"/>
                <w:b w:val="0"/>
              </w:rPr>
            </w:pPr>
            <w:r>
              <w:rPr>
                <w:rFonts w:hint="default" w:ascii="Times New Roman" w:hAnsi="Times New Roman" w:cs="Times New Roman"/>
                <w:b w:val="0"/>
              </w:rPr>
              <w:t>等级分类森林</w:t>
            </w:r>
          </w:p>
        </w:tc>
      </w:tr>
      <w:tr w14:paraId="2A4A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4" w:space="0"/>
              <w:left w:val="nil"/>
              <w:bottom w:val="nil"/>
              <w:right w:val="nil"/>
            </w:tcBorders>
            <w:shd w:val="clear" w:color="auto" w:fill="FFFFFF"/>
          </w:tcPr>
          <w:p w14:paraId="05DF757D">
            <w:pPr>
              <w:pStyle w:val="54"/>
              <w:bidi w:val="0"/>
              <w:rPr>
                <w:rFonts w:hint="default" w:ascii="Times New Roman" w:hAnsi="Times New Roman" w:cs="Times New Roman"/>
                <w:b w:val="0"/>
              </w:rPr>
            </w:pPr>
            <w:r>
              <w:rPr>
                <w:rFonts w:hint="default" w:ascii="Times New Roman" w:hAnsi="Times New Roman" w:cs="Times New Roman"/>
                <w:b w:val="0"/>
              </w:rPr>
              <w:t>树数</w:t>
            </w:r>
          </w:p>
        </w:tc>
        <w:tc>
          <w:tcPr>
            <w:tcW w:w="2769" w:type="dxa"/>
            <w:tcBorders>
              <w:top w:val="single" w:color="000000" w:sz="4" w:space="0"/>
              <w:left w:val="nil"/>
              <w:bottom w:val="nil"/>
              <w:right w:val="nil"/>
            </w:tcBorders>
            <w:shd w:val="clear" w:color="auto" w:fill="FFFFFF"/>
            <w:vAlign w:val="top"/>
          </w:tcPr>
          <w:p w14:paraId="67A22239">
            <w:pPr>
              <w:pStyle w:val="54"/>
              <w:bidi w:val="0"/>
              <w:rPr>
                <w:rFonts w:hint="default"/>
              </w:rPr>
            </w:pPr>
            <w:r>
              <w:t>50</w:t>
            </w:r>
          </w:p>
        </w:tc>
        <w:tc>
          <w:tcPr>
            <w:tcW w:w="2769" w:type="dxa"/>
            <w:tcBorders>
              <w:top w:val="single" w:color="000000" w:sz="4" w:space="0"/>
              <w:left w:val="nil"/>
              <w:bottom w:val="nil"/>
              <w:right w:val="nil"/>
            </w:tcBorders>
            <w:shd w:val="clear" w:color="auto" w:fill="FFFFFF"/>
            <w:vAlign w:val="top"/>
          </w:tcPr>
          <w:p w14:paraId="523E4BD2">
            <w:pPr>
              <w:pStyle w:val="54"/>
              <w:bidi w:val="0"/>
              <w:rPr>
                <w:rFonts w:hint="default"/>
              </w:rPr>
            </w:pPr>
            <w:r>
              <w:t>50</w:t>
            </w:r>
          </w:p>
        </w:tc>
      </w:tr>
      <w:tr w14:paraId="713E2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tcPr>
          <w:p w14:paraId="41744A75">
            <w:pPr>
              <w:pStyle w:val="54"/>
              <w:bidi w:val="0"/>
              <w:rPr>
                <w:rFonts w:hint="default" w:ascii="Times New Roman" w:hAnsi="Times New Roman" w:cs="Times New Roman"/>
                <w:b w:val="0"/>
              </w:rPr>
            </w:pPr>
            <w:r>
              <w:rPr>
                <w:rFonts w:hint="default" w:ascii="Times New Roman" w:hAnsi="Times New Roman" w:cs="Times New Roman"/>
                <w:b w:val="0"/>
              </w:rPr>
              <w:t>分裂准则</w:t>
            </w:r>
          </w:p>
        </w:tc>
        <w:tc>
          <w:tcPr>
            <w:tcW w:w="2769" w:type="dxa"/>
            <w:tcBorders>
              <w:top w:val="nil"/>
              <w:left w:val="nil"/>
              <w:bottom w:val="nil"/>
              <w:right w:val="nil"/>
            </w:tcBorders>
            <w:shd w:val="clear" w:color="auto" w:fill="FFFFFF"/>
          </w:tcPr>
          <w:p w14:paraId="3896498B">
            <w:pPr>
              <w:pStyle w:val="54"/>
              <w:bidi w:val="0"/>
              <w:rPr>
                <w:rFonts w:hint="default" w:ascii="Times New Roman" w:hAnsi="Times New Roman" w:cs="Times New Roman"/>
                <w:b w:val="0"/>
              </w:rPr>
            </w:pPr>
            <w:r>
              <w:rPr>
                <w:rFonts w:hint="default" w:ascii="Times New Roman" w:hAnsi="Times New Roman" w:cs="Times New Roman"/>
                <w:b w:val="0"/>
              </w:rPr>
              <w:t>平方误差</w:t>
            </w:r>
          </w:p>
        </w:tc>
        <w:tc>
          <w:tcPr>
            <w:tcW w:w="2769" w:type="dxa"/>
            <w:tcBorders>
              <w:top w:val="nil"/>
              <w:left w:val="nil"/>
              <w:bottom w:val="nil"/>
              <w:right w:val="nil"/>
            </w:tcBorders>
            <w:shd w:val="clear" w:color="auto" w:fill="FFFFFF"/>
          </w:tcPr>
          <w:p w14:paraId="4BCA2CBB">
            <w:pPr>
              <w:pStyle w:val="54"/>
              <w:bidi w:val="0"/>
              <w:rPr>
                <w:rFonts w:hint="default" w:ascii="Times New Roman" w:hAnsi="Times New Roman" w:cs="Times New Roman"/>
                <w:b w:val="0"/>
              </w:rPr>
            </w:pPr>
            <w:r>
              <w:rPr>
                <w:rFonts w:hint="default" w:ascii="Times New Roman" w:hAnsi="Times New Roman" w:cs="Times New Roman"/>
                <w:b w:val="0"/>
              </w:rPr>
              <w:t>信息熵</w:t>
            </w:r>
          </w:p>
        </w:tc>
      </w:tr>
      <w:tr w14:paraId="66E8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nil"/>
              <w:right w:val="nil"/>
            </w:tcBorders>
            <w:shd w:val="clear" w:color="auto" w:fill="FFFFFF"/>
          </w:tcPr>
          <w:p w14:paraId="6AA2259B">
            <w:pPr>
              <w:pStyle w:val="54"/>
              <w:bidi w:val="0"/>
              <w:rPr>
                <w:rFonts w:hint="default" w:ascii="Times New Roman" w:hAnsi="Times New Roman" w:cs="Times New Roman"/>
                <w:b w:val="0"/>
              </w:rPr>
            </w:pPr>
            <w:r>
              <w:rPr>
                <w:rFonts w:hint="default" w:ascii="Times New Roman" w:hAnsi="Times New Roman" w:cs="Times New Roman"/>
                <w:b w:val="0"/>
              </w:rPr>
              <w:t>最大特征比例</w:t>
            </w:r>
          </w:p>
        </w:tc>
        <w:tc>
          <w:tcPr>
            <w:tcW w:w="2769" w:type="dxa"/>
            <w:tcBorders>
              <w:top w:val="nil"/>
              <w:left w:val="nil"/>
              <w:bottom w:val="nil"/>
              <w:right w:val="nil"/>
            </w:tcBorders>
            <w:shd w:val="clear" w:color="auto" w:fill="FFFFFF"/>
          </w:tcPr>
          <w:p w14:paraId="72A799CF">
            <w:pPr>
              <w:pStyle w:val="54"/>
              <w:bidi w:val="0"/>
              <w:rPr>
                <w:rFonts w:hint="default" w:ascii="Times New Roman" w:hAnsi="Times New Roman" w:cs="Times New Roman"/>
                <w:b w:val="0"/>
              </w:rPr>
            </w:pPr>
            <w:r>
              <w:rPr>
                <w:rFonts w:hint="default" w:ascii="Times New Roman" w:hAnsi="Times New Roman" w:cs="Times New Roman"/>
                <w:b w:val="0"/>
              </w:rPr>
              <w:t>1.0</w:t>
            </w:r>
          </w:p>
        </w:tc>
        <w:tc>
          <w:tcPr>
            <w:tcW w:w="2769" w:type="dxa"/>
            <w:tcBorders>
              <w:top w:val="nil"/>
              <w:left w:val="nil"/>
              <w:bottom w:val="nil"/>
              <w:right w:val="nil"/>
            </w:tcBorders>
            <w:shd w:val="clear" w:color="auto" w:fill="FFFFFF"/>
          </w:tcPr>
          <w:p w14:paraId="2520828D">
            <w:pPr>
              <w:pStyle w:val="54"/>
              <w:bidi w:val="0"/>
              <w:rPr>
                <w:rFonts w:hint="default" w:ascii="Times New Roman" w:hAnsi="Times New Roman" w:cs="Times New Roman"/>
                <w:b w:val="0"/>
              </w:rPr>
            </w:pPr>
            <w:r>
              <w:rPr>
                <w:rFonts w:hint="default" w:ascii="Times New Roman" w:hAnsi="Times New Roman" w:cs="Times New Roman"/>
                <w:b w:val="0"/>
              </w:rPr>
              <w:t>1.0</w:t>
            </w:r>
          </w:p>
        </w:tc>
      </w:tr>
      <w:tr w14:paraId="6686D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tcPr>
          <w:p w14:paraId="5C4404BC">
            <w:pPr>
              <w:pStyle w:val="54"/>
              <w:bidi w:val="0"/>
              <w:rPr>
                <w:rFonts w:hint="default" w:ascii="Times New Roman" w:hAnsi="Times New Roman" w:cs="Times New Roman"/>
                <w:b w:val="0"/>
              </w:rPr>
            </w:pPr>
            <w:r>
              <w:rPr>
                <w:rFonts w:hint="default" w:ascii="Times New Roman" w:hAnsi="Times New Roman" w:cs="Times New Roman"/>
                <w:b w:val="0"/>
              </w:rPr>
              <w:t>最小叶节点样本数</w:t>
            </w:r>
          </w:p>
        </w:tc>
        <w:tc>
          <w:tcPr>
            <w:tcW w:w="2769" w:type="dxa"/>
            <w:tcBorders>
              <w:top w:val="nil"/>
              <w:left w:val="nil"/>
              <w:bottom w:val="nil"/>
              <w:right w:val="nil"/>
            </w:tcBorders>
            <w:shd w:val="clear" w:color="auto" w:fill="FFFFFF"/>
          </w:tcPr>
          <w:p w14:paraId="2C26BA33">
            <w:pPr>
              <w:pStyle w:val="54"/>
              <w:bidi w:val="0"/>
              <w:rPr>
                <w:rFonts w:hint="default" w:ascii="Times New Roman" w:hAnsi="Times New Roman" w:cs="Times New Roman"/>
                <w:b w:val="0"/>
              </w:rPr>
            </w:pPr>
            <w:r>
              <w:rPr>
                <w:rFonts w:hint="default" w:ascii="Times New Roman" w:hAnsi="Times New Roman" w:cs="Times New Roman"/>
                <w:b w:val="0"/>
              </w:rPr>
              <w:t>1</w:t>
            </w:r>
          </w:p>
        </w:tc>
        <w:tc>
          <w:tcPr>
            <w:tcW w:w="2769" w:type="dxa"/>
            <w:tcBorders>
              <w:top w:val="nil"/>
              <w:left w:val="nil"/>
              <w:bottom w:val="nil"/>
              <w:right w:val="nil"/>
            </w:tcBorders>
            <w:shd w:val="clear" w:color="auto" w:fill="FFFFFF"/>
          </w:tcPr>
          <w:p w14:paraId="15F9DF70">
            <w:pPr>
              <w:pStyle w:val="54"/>
              <w:bidi w:val="0"/>
              <w:rPr>
                <w:rFonts w:hint="default" w:ascii="Times New Roman" w:hAnsi="Times New Roman" w:cs="Times New Roman"/>
                <w:b w:val="0"/>
              </w:rPr>
            </w:pPr>
            <w:r>
              <w:rPr>
                <w:rFonts w:hint="default" w:ascii="Times New Roman" w:hAnsi="Times New Roman" w:cs="Times New Roman"/>
                <w:b w:val="0"/>
              </w:rPr>
              <w:t>1</w:t>
            </w:r>
          </w:p>
        </w:tc>
      </w:tr>
      <w:tr w14:paraId="70D1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single" w:color="000000" w:sz="12" w:space="0"/>
              <w:right w:val="nil"/>
            </w:tcBorders>
            <w:shd w:val="clear" w:color="auto" w:fill="FFFFFF"/>
            <w:vAlign w:val="top"/>
          </w:tcPr>
          <w:p w14:paraId="346B456F">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类别平衡</w:t>
            </w:r>
          </w:p>
        </w:tc>
        <w:tc>
          <w:tcPr>
            <w:tcW w:w="2769" w:type="dxa"/>
            <w:tcBorders>
              <w:top w:val="nil"/>
              <w:left w:val="nil"/>
              <w:bottom w:val="single" w:color="000000" w:sz="12" w:space="0"/>
              <w:right w:val="nil"/>
            </w:tcBorders>
            <w:shd w:val="clear" w:color="auto" w:fill="FFFFFF"/>
            <w:vAlign w:val="top"/>
          </w:tcPr>
          <w:p w14:paraId="05ED7D79">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w:t>
            </w:r>
          </w:p>
        </w:tc>
        <w:tc>
          <w:tcPr>
            <w:tcW w:w="2769" w:type="dxa"/>
            <w:tcBorders>
              <w:top w:val="nil"/>
              <w:left w:val="nil"/>
              <w:bottom w:val="single" w:color="000000" w:sz="12" w:space="0"/>
              <w:right w:val="nil"/>
            </w:tcBorders>
            <w:shd w:val="clear" w:color="auto" w:fill="FFFFFF"/>
            <w:vAlign w:val="top"/>
          </w:tcPr>
          <w:p w14:paraId="50343AF4">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平衡权重</w:t>
            </w:r>
          </w:p>
        </w:tc>
      </w:tr>
    </w:tbl>
    <w:p w14:paraId="597FA0D6">
      <w:pPr>
        <w:pStyle w:val="47"/>
        <w:widowControl w:val="0"/>
        <w:autoSpaceDE/>
        <w:autoSpaceDN/>
        <w:snapToGrid w:val="0"/>
        <w:spacing w:line="640" w:lineRule="exact"/>
        <w:ind w:firstLine="560"/>
        <w:jc w:val="left"/>
        <w:rPr>
          <w:rFonts w:hint="default" w:ascii="Times New Roman" w:hAnsi="Times New Roman" w:eastAsia="宋体" w:cs="Times New Roman"/>
          <w:color w:val="000000"/>
          <w:kern w:val="2"/>
          <w:sz w:val="24"/>
          <w:szCs w:val="24"/>
          <w:u w:val="none"/>
          <w:lang w:val="en-US" w:eastAsia="zh-CN" w:bidi="ar-SA"/>
        </w:rPr>
      </w:pPr>
      <w:r>
        <w:rPr>
          <w:rFonts w:hint="default" w:ascii="Times New Roman" w:hAnsi="Times New Roman" w:eastAsia="宋体" w:cs="Times New Roman"/>
          <w:color w:val="000000"/>
          <w:kern w:val="2"/>
          <w:sz w:val="24"/>
          <w:szCs w:val="24"/>
          <w:u w:val="none"/>
          <w:lang w:val="en-US" w:eastAsia="zh-CN" w:bidi="ar-SA"/>
        </w:rPr>
        <w:t>考虑到每个设施模型的输入特征为 11～23 列，树数试验范围设置为 10～100 棵。比较时保持数据划分、输入参数和分类准则一致，以五折等级准确率为主要指标，并结合独立测试结果和模型规模进行选择。</w:t>
      </w:r>
    </w:p>
    <w:p w14:paraId="1D3B6D5E">
      <w:pPr>
        <w:pStyle w:val="16"/>
        <w:bidi w:val="0"/>
        <w:rPr>
          <w:rFonts w:hint="default" w:ascii="Times New Roman" w:hAnsi="Times New Roman" w:cs="Times New Roman"/>
          <w:lang w:val="en-US" w:eastAsia="zh-CN"/>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rPr>
        <w:t xml:space="preserve"> </w:t>
      </w:r>
      <w:r>
        <w:rPr>
          <w:rFonts w:hint="default" w:ascii="Times New Roman" w:hAnsi="Times New Roman" w:cs="Times New Roman"/>
          <w:lang w:val="en-US" w:eastAsia="zh-CN"/>
        </w:rPr>
        <w:t>不同树数的模型表现</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777C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12" w:space="0"/>
              <w:left w:val="nil"/>
              <w:bottom w:val="single" w:color="000000" w:sz="4" w:space="0"/>
              <w:right w:val="nil"/>
              <w:tl2br w:val="nil"/>
            </w:tcBorders>
            <w:shd w:val="clear" w:color="auto" w:fill="FFFFFF"/>
          </w:tcPr>
          <w:p w14:paraId="3CE17D94">
            <w:pPr>
              <w:pStyle w:val="54"/>
              <w:bidi w:val="0"/>
              <w:rPr>
                <w:rFonts w:hint="default" w:ascii="Times New Roman" w:hAnsi="Times New Roman" w:cs="Times New Roman"/>
                <w:b w:val="0"/>
              </w:rPr>
            </w:pPr>
            <w:r>
              <w:rPr>
                <w:rFonts w:hint="default" w:ascii="Times New Roman" w:hAnsi="Times New Roman" w:cs="Times New Roman"/>
                <w:b w:val="0"/>
              </w:rPr>
              <w:t>每个任务的树数</w:t>
            </w:r>
          </w:p>
        </w:tc>
        <w:tc>
          <w:tcPr>
            <w:tcW w:w="2769" w:type="dxa"/>
            <w:tcBorders>
              <w:top w:val="single" w:color="000000" w:sz="12" w:space="0"/>
              <w:left w:val="nil"/>
              <w:bottom w:val="single" w:color="000000" w:sz="4" w:space="0"/>
              <w:right w:val="nil"/>
            </w:tcBorders>
            <w:shd w:val="clear" w:color="auto" w:fill="FFFFFF"/>
          </w:tcPr>
          <w:p w14:paraId="521927B8">
            <w:pPr>
              <w:pStyle w:val="54"/>
              <w:bidi w:val="0"/>
              <w:rPr>
                <w:rFonts w:hint="default" w:ascii="Times New Roman" w:hAnsi="Times New Roman" w:cs="Times New Roman"/>
                <w:b w:val="0"/>
              </w:rPr>
            </w:pPr>
            <w:r>
              <w:rPr>
                <w:rFonts w:hint="default" w:ascii="Times New Roman" w:hAnsi="Times New Roman" w:cs="Times New Roman"/>
                <w:b w:val="0"/>
              </w:rPr>
              <w:t>五折等级准确率</w:t>
            </w:r>
          </w:p>
        </w:tc>
        <w:tc>
          <w:tcPr>
            <w:tcW w:w="2769" w:type="dxa"/>
            <w:tcBorders>
              <w:top w:val="single" w:color="000000" w:sz="12" w:space="0"/>
              <w:left w:val="nil"/>
              <w:bottom w:val="single" w:color="000000" w:sz="4" w:space="0"/>
              <w:right w:val="nil"/>
            </w:tcBorders>
            <w:shd w:val="clear" w:color="auto" w:fill="FFFFFF"/>
          </w:tcPr>
          <w:p w14:paraId="7B6757D5">
            <w:pPr>
              <w:pStyle w:val="54"/>
              <w:bidi w:val="0"/>
              <w:rPr>
                <w:rFonts w:hint="default" w:ascii="Times New Roman" w:hAnsi="Times New Roman" w:cs="Times New Roman"/>
                <w:b w:val="0"/>
              </w:rPr>
            </w:pPr>
            <w:r>
              <w:rPr>
                <w:rFonts w:hint="default" w:ascii="Times New Roman" w:hAnsi="Times New Roman" w:cs="Times New Roman"/>
                <w:b w:val="0"/>
              </w:rPr>
              <w:t>独立测试等级准确率</w:t>
            </w:r>
          </w:p>
        </w:tc>
      </w:tr>
      <w:tr w14:paraId="7EF4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4" w:space="0"/>
              <w:left w:val="nil"/>
              <w:bottom w:val="nil"/>
              <w:right w:val="nil"/>
            </w:tcBorders>
            <w:shd w:val="clear" w:color="auto" w:fill="FFFFFF"/>
            <w:vAlign w:val="top"/>
          </w:tcPr>
          <w:p w14:paraId="10C4C14E">
            <w:pPr>
              <w:pStyle w:val="54"/>
              <w:bidi w:val="0"/>
              <w:rPr>
                <w:rFonts w:hint="default"/>
              </w:rPr>
            </w:pPr>
            <w:r>
              <w:t>10</w:t>
            </w:r>
          </w:p>
        </w:tc>
        <w:tc>
          <w:tcPr>
            <w:tcW w:w="2769" w:type="dxa"/>
            <w:tcBorders>
              <w:top w:val="single" w:color="000000" w:sz="4" w:space="0"/>
              <w:left w:val="nil"/>
              <w:bottom w:val="nil"/>
              <w:right w:val="nil"/>
            </w:tcBorders>
            <w:shd w:val="clear" w:color="auto" w:fill="FFFFFF"/>
            <w:vAlign w:val="top"/>
          </w:tcPr>
          <w:p>
            <w:r>
              <w:t>95.6389%</w:t>
            </w:r>
          </w:p>
        </w:tc>
        <w:tc>
          <w:tcPr>
            <w:tcW w:w="2769" w:type="dxa"/>
            <w:tcBorders>
              <w:top w:val="single" w:color="000000" w:sz="4" w:space="0"/>
              <w:left w:val="nil"/>
              <w:bottom w:val="nil"/>
              <w:right w:val="nil"/>
            </w:tcBorders>
            <w:shd w:val="clear" w:color="auto" w:fill="FFFFFF"/>
            <w:vAlign w:val="top"/>
          </w:tcPr>
          <w:p>
            <w:r>
              <w:t>96.7547%</w:t>
            </w:r>
          </w:p>
        </w:tc>
      </w:tr>
      <w:tr w14:paraId="6DAA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26A84E7A">
            <w:pPr>
              <w:pStyle w:val="54"/>
              <w:bidi w:val="0"/>
              <w:rPr>
                <w:rFonts w:hint="default"/>
              </w:rPr>
            </w:pPr>
            <w:r>
              <w:t>30</w:t>
            </w:r>
          </w:p>
        </w:tc>
        <w:tc>
          <w:tcPr>
            <w:tcW w:w="2769" w:type="dxa"/>
            <w:tcBorders>
              <w:top w:val="nil"/>
              <w:left w:val="nil"/>
              <w:bottom w:val="nil"/>
              <w:right w:val="nil"/>
            </w:tcBorders>
            <w:shd w:val="clear" w:color="auto" w:fill="FFFFFF"/>
            <w:vAlign w:val="top"/>
          </w:tcPr>
          <w:p>
            <w:r>
              <w:t>95.9591%</w:t>
            </w:r>
          </w:p>
        </w:tc>
        <w:tc>
          <w:tcPr>
            <w:tcW w:w="2769" w:type="dxa"/>
            <w:tcBorders>
              <w:top w:val="nil"/>
              <w:left w:val="nil"/>
              <w:bottom w:val="nil"/>
              <w:right w:val="nil"/>
            </w:tcBorders>
            <w:shd w:val="clear" w:color="auto" w:fill="FFFFFF"/>
            <w:vAlign w:val="top"/>
          </w:tcPr>
          <w:p>
            <w:r>
              <w:t>97.2075%</w:t>
            </w:r>
          </w:p>
        </w:tc>
      </w:tr>
      <w:tr w14:paraId="0432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nil"/>
              <w:right w:val="nil"/>
            </w:tcBorders>
            <w:shd w:val="clear" w:color="auto" w:fill="FFFFFF"/>
            <w:vAlign w:val="top"/>
          </w:tcPr>
          <w:p w14:paraId="4DEA4864">
            <w:pPr>
              <w:pStyle w:val="54"/>
              <w:bidi w:val="0"/>
              <w:rPr>
                <w:rFonts w:hint="default"/>
                <w:b/>
                <w:bCs w:val="0"/>
              </w:rPr>
            </w:pPr>
            <w:r>
              <w:rPr>
                <w:b/>
                <w:bCs w:val="0"/>
              </w:rPr>
              <w:t>50</w:t>
            </w:r>
          </w:p>
        </w:tc>
        <w:tc>
          <w:tcPr>
            <w:tcW w:w="2769" w:type="dxa"/>
            <w:tcBorders>
              <w:top w:val="nil"/>
              <w:left w:val="nil"/>
              <w:bottom w:val="nil"/>
              <w:right w:val="nil"/>
            </w:tcBorders>
            <w:shd w:val="clear" w:color="auto" w:fill="FFFFFF"/>
            <w:vAlign w:val="top"/>
          </w:tcPr>
          <w:p>
            <w:r>
              <w:t>95.9591%</w:t>
            </w:r>
          </w:p>
        </w:tc>
        <w:tc>
          <w:tcPr>
            <w:tcW w:w="2769" w:type="dxa"/>
            <w:tcBorders>
              <w:top w:val="nil"/>
              <w:left w:val="nil"/>
              <w:bottom w:val="nil"/>
              <w:right w:val="nil"/>
            </w:tcBorders>
            <w:shd w:val="clear" w:color="auto" w:fill="FFFFFF"/>
            <w:vAlign w:val="top"/>
          </w:tcPr>
          <w:p>
            <w:r>
              <w:t>97.2075%</w:t>
            </w:r>
          </w:p>
        </w:tc>
      </w:tr>
      <w:tr w14:paraId="616D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50CA9031">
            <w:pPr>
              <w:pStyle w:val="54"/>
              <w:bidi w:val="0"/>
              <w:rPr>
                <w:rFonts w:hint="default"/>
              </w:rPr>
            </w:pPr>
            <w:r>
              <w:t>60</w:t>
            </w:r>
          </w:p>
        </w:tc>
        <w:tc>
          <w:tcPr>
            <w:tcW w:w="2769" w:type="dxa"/>
            <w:tcBorders>
              <w:top w:val="nil"/>
              <w:left w:val="nil"/>
              <w:bottom w:val="nil"/>
              <w:right w:val="nil"/>
            </w:tcBorders>
            <w:shd w:val="clear" w:color="auto" w:fill="FFFFFF"/>
            <w:vAlign w:val="top"/>
          </w:tcPr>
          <w:p>
            <w:r>
              <w:t>95.9134%</w:t>
            </w:r>
          </w:p>
        </w:tc>
        <w:tc>
          <w:tcPr>
            <w:tcW w:w="2769" w:type="dxa"/>
            <w:tcBorders>
              <w:top w:val="nil"/>
              <w:left w:val="nil"/>
              <w:bottom w:val="nil"/>
              <w:right w:val="nil"/>
            </w:tcBorders>
            <w:shd w:val="clear" w:color="auto" w:fill="FFFFFF"/>
            <w:vAlign w:val="top"/>
          </w:tcPr>
          <w:p>
            <w:r>
              <w:t>97.1321%</w:t>
            </w:r>
          </w:p>
        </w:tc>
      </w:tr>
      <w:tr w14:paraId="08EF2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4C180B24">
            <w:pPr>
              <w:pStyle w:val="54"/>
              <w:bidi w:val="0"/>
              <w:rPr>
                <w:rFonts w:hint="default"/>
              </w:rPr>
            </w:pPr>
            <w:r>
              <w:t>75</w:t>
            </w:r>
          </w:p>
        </w:tc>
        <w:tc>
          <w:tcPr>
            <w:tcW w:w="2769" w:type="dxa"/>
            <w:tcBorders>
              <w:top w:val="nil"/>
              <w:left w:val="nil"/>
              <w:bottom w:val="nil"/>
              <w:right w:val="nil"/>
            </w:tcBorders>
            <w:shd w:val="clear" w:color="auto" w:fill="FFFFFF"/>
            <w:vAlign w:val="top"/>
          </w:tcPr>
          <w:p>
            <w:r>
              <w:t>95.9591%</w:t>
            </w:r>
          </w:p>
        </w:tc>
        <w:tc>
          <w:tcPr>
            <w:tcW w:w="2769" w:type="dxa"/>
            <w:tcBorders>
              <w:top w:val="nil"/>
              <w:left w:val="nil"/>
              <w:bottom w:val="nil"/>
              <w:right w:val="nil"/>
            </w:tcBorders>
            <w:shd w:val="clear" w:color="auto" w:fill="FFFFFF"/>
            <w:vAlign w:val="top"/>
          </w:tcPr>
          <w:p>
            <w:r>
              <w:t>97.1321%</w:t>
            </w:r>
          </w:p>
        </w:tc>
      </w:tr>
      <w:tr w14:paraId="2A98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2218D625">
            <w:pPr>
              <w:pStyle w:val="54"/>
              <w:bidi w:val="0"/>
              <w:rPr>
                <w:rFonts w:hint="default"/>
              </w:rPr>
            </w:pPr>
            <w:r>
              <w:t>90</w:t>
            </w:r>
          </w:p>
        </w:tc>
        <w:tc>
          <w:tcPr>
            <w:tcW w:w="2769" w:type="dxa"/>
            <w:tcBorders>
              <w:top w:val="nil"/>
              <w:left w:val="nil"/>
              <w:bottom w:val="nil"/>
              <w:right w:val="nil"/>
            </w:tcBorders>
            <w:shd w:val="clear" w:color="auto" w:fill="FFFFFF"/>
            <w:vAlign w:val="top"/>
          </w:tcPr>
          <w:p>
            <w:r>
              <w:t>95.8981%</w:t>
            </w:r>
          </w:p>
        </w:tc>
        <w:tc>
          <w:tcPr>
            <w:tcW w:w="2769" w:type="dxa"/>
            <w:tcBorders>
              <w:top w:val="nil"/>
              <w:left w:val="nil"/>
              <w:bottom w:val="nil"/>
              <w:right w:val="nil"/>
            </w:tcBorders>
            <w:shd w:val="clear" w:color="auto" w:fill="FFFFFF"/>
            <w:vAlign w:val="top"/>
          </w:tcPr>
          <w:p>
            <w:r>
              <w:t>97.2075%</w:t>
            </w:r>
          </w:p>
        </w:tc>
      </w:tr>
      <w:tr w14:paraId="113E7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single" w:color="000000" w:sz="12" w:space="0"/>
              <w:right w:val="nil"/>
            </w:tcBorders>
            <w:shd w:val="clear" w:color="auto" w:fill="FFFFFF"/>
            <w:vAlign w:val="top"/>
          </w:tcPr>
          <w:p w14:paraId="66F73F80">
            <w:pPr>
              <w:pStyle w:val="54"/>
              <w:bidi w:val="0"/>
              <w:rPr>
                <w:rFonts w:hint="default"/>
              </w:rPr>
            </w:pPr>
            <w:r>
              <w:t>99</w:t>
            </w:r>
          </w:p>
        </w:tc>
        <w:tc>
          <w:tcPr>
            <w:tcW w:w="2769" w:type="dxa"/>
            <w:tcBorders>
              <w:top w:val="nil"/>
              <w:left w:val="nil"/>
              <w:bottom w:val="single" w:color="000000" w:sz="12" w:space="0"/>
              <w:right w:val="nil"/>
            </w:tcBorders>
            <w:shd w:val="clear" w:color="auto" w:fill="FFFFFF"/>
            <w:vAlign w:val="top"/>
          </w:tcPr>
          <w:p>
            <w:r>
              <w:t>95.9134%</w:t>
            </w:r>
          </w:p>
        </w:tc>
        <w:tc>
          <w:tcPr>
            <w:tcW w:w="2769" w:type="dxa"/>
            <w:tcBorders>
              <w:top w:val="nil"/>
              <w:left w:val="nil"/>
              <w:bottom w:val="single" w:color="000000" w:sz="12" w:space="0"/>
              <w:right w:val="nil"/>
            </w:tcBorders>
            <w:shd w:val="clear" w:color="auto" w:fill="FFFFFF"/>
            <w:vAlign w:val="top"/>
          </w:tcPr>
          <w:p>
            <w:r>
              <w:t>97.0566%</w:t>
            </w:r>
          </w:p>
        </w:tc>
      </w:tr>
    </w:tbl>
    <w:p w14:paraId="50FA8C51">
      <w:pPr>
        <w:rPr>
          <w:rFonts w:hint="default" w:ascii="Times New Roman" w:hAnsi="Times New Roman" w:cs="Times New Roman"/>
          <w:lang w:val="en-US" w:eastAsia="zh-CN"/>
        </w:rPr>
      </w:pPr>
      <w:r>
        <w:rPr>
          <w:rFonts w:hint="default" w:ascii="Times New Roman" w:hAnsi="Times New Roman" w:cs="Times New Roman"/>
          <w:lang w:val="en-US" w:eastAsia="zh-CN"/>
        </w:rPr>
        <w:t>在逐设施训练口径下，50 棵方案的五折和独立测试等级准确率均达到最优水平，同时具有更紧凑的模型规模，因此最终确定回归森林和分类森林各采用 50 棵树。</w:t>
      </w:r>
    </w:p>
    <w:p w14:paraId="6E9B7EC6">
      <w:pPr>
        <w:pStyle w:val="47"/>
        <w:widowControl w:val="0"/>
        <w:autoSpaceDE/>
        <w:autoSpaceDN/>
        <w:snapToGrid w:val="0"/>
        <w:spacing w:line="640" w:lineRule="exact"/>
        <w:ind w:firstLine="560"/>
        <w:jc w:val="left"/>
        <w:rPr>
          <w:rFonts w:hint="default" w:ascii="Times New Roman" w:hAnsi="Times New Roman" w:eastAsia="宋体" w:cs="Times New Roman"/>
          <w:color w:val="000000"/>
          <w:kern w:val="2"/>
          <w:sz w:val="24"/>
          <w:szCs w:val="24"/>
          <w:u w:val="none"/>
          <w:lang w:val="en-US" w:eastAsia="zh-CN" w:bidi="ar-SA"/>
        </w:rPr>
      </w:pPr>
    </w:p>
    <w:p w14:paraId="2E43BF41">
      <w:pPr>
        <w:keepNext w:val="0"/>
        <w:keepLines w:val="0"/>
        <w:widowControl/>
        <w:suppressLineNumbers w:val="0"/>
        <w:ind w:left="0" w:leftChars="0" w:firstLine="0" w:firstLineChars="0"/>
        <w:jc w:val="left"/>
      </w:pPr>
      <w:r>
        <w:rPr>
          <w:rFonts w:ascii="宋体" w:hAnsi="宋体" w:eastAsia="宋体" w:cs="宋体"/>
          <w:color w:val="000000"/>
          <w:kern w:val="0"/>
          <w:sz w:val="24"/>
          <w:szCs w:val="24"/>
          <w:u w:val="none"/>
          <w:lang w:val="en-US" w:eastAsia="zh-CN" w:bidi="ar"/>
        </w:rPr>
        <w:drawing>
          <wp:inline distT="0" distB="0" distL="114300" distR="114300">
            <wp:extent cx="5361940" cy="1871345"/>
            <wp:effectExtent l="0" t="0" r="10160" b="1460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6"/>
                    <a:stretch>
                      <a:fillRect/>
                    </a:stretch>
                  </pic:blipFill>
                  <pic:spPr>
                    <a:xfrm>
                      <a:off x="0" y="0"/>
                      <a:ext cx="5361940" cy="1871345"/>
                    </a:xfrm>
                    <a:prstGeom prst="rect">
                      <a:avLst/>
                    </a:prstGeom>
                    <a:noFill/>
                    <a:ln w="9525">
                      <a:noFill/>
                    </a:ln>
                  </pic:spPr>
                </pic:pic>
              </a:graphicData>
            </a:graphic>
          </wp:inline>
        </w:drawing>
      </w:r>
    </w:p>
    <w:p w14:paraId="2A2080C7">
      <w:pPr>
        <w:pStyle w:val="16"/>
        <w:bidi w:val="0"/>
        <w:rPr>
          <w:rFonts w:hint="default" w:ascii="Times New Roman" w:hAnsi="Times New Roman" w:eastAsia="宋体" w:cs="Times New Roman"/>
          <w:sz w:val="28"/>
          <w:szCs w:val="28"/>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b/>
          <w:sz w:val="24"/>
        </w:rPr>
        <w:t>等级约束 ExtraTrees 双任务代理模型架构</w:t>
      </w:r>
    </w:p>
    <w:p w14:paraId="6B5F6B4C">
      <w:pPr>
        <w:pStyle w:val="2"/>
        <w:bidi w:val="0"/>
        <w:rPr>
          <w:rFonts w:hint="default" w:ascii="Times New Roman" w:hAnsi="Times New Roman" w:cs="Times New Roman"/>
        </w:rPr>
      </w:pPr>
      <w:r>
        <w:rPr>
          <w:rFonts w:hint="default" w:ascii="Times New Roman" w:hAnsi="Times New Roman" w:cs="Times New Roman"/>
        </w:rPr>
        <w:br w:type="page"/>
      </w:r>
      <w:bookmarkStart w:id="21" w:name="_Toc16831"/>
      <w:bookmarkStart w:id="22" w:name="_Toc25254"/>
      <w:r>
        <w:rPr>
          <w:rFonts w:hint="default" w:ascii="Times New Roman" w:hAnsi="Times New Roman" w:cs="Times New Roman"/>
          <w:lang w:val="en-US" w:eastAsia="zh-CN"/>
        </w:rPr>
        <w:t>模型训练与验证</w:t>
      </w:r>
      <w:bookmarkEnd w:id="21"/>
    </w:p>
    <w:p w14:paraId="2CEA12F5">
      <w:pPr>
        <w:pStyle w:val="3"/>
        <w:rPr>
          <w:rFonts w:hint="default" w:ascii="Times New Roman" w:hAnsi="Times New Roman" w:cs="Times New Roman"/>
        </w:rPr>
      </w:pPr>
      <w:bookmarkStart w:id="23" w:name="_Toc14103"/>
      <w:r>
        <w:rPr>
          <w:rFonts w:hint="default" w:ascii="Times New Roman" w:hAnsi="Times New Roman" w:cs="Times New Roman"/>
          <w:lang w:val="en-US" w:eastAsia="zh-CN"/>
        </w:rPr>
        <w:t>数据划分</w:t>
      </w:r>
      <w:bookmarkEnd w:id="23"/>
    </w:p>
    <w:p w14:paraId="49F7F877">
      <w:pPr>
        <w:rPr>
          <w:rFonts w:hint="default" w:ascii="Times New Roman" w:hAnsi="Times New Roman" w:cs="Times New Roman"/>
        </w:rPr>
      </w:pPr>
      <w:r>
        <w:rPr>
          <w:rFonts w:hint="default" w:ascii="Times New Roman" w:hAnsi="Times New Roman" w:cs="Times New Roman"/>
        </w:rPr>
        <w:t>6558 条合格工况按毁伤等级分层划分为训练集和独立测试集，其中独立测试集约占 20%，其余用于拟合模型参数；另以五折交叉验证评价模型在不同数据划分下的总体稳定性。训练集用于拟合模型参数，独立测试集仅用于最终性能评价。</w:t>
      </w:r>
    </w:p>
    <w:p w14:paraId="7A987DC4">
      <w:pPr>
        <w:rPr>
          <w:rFonts w:hint="default" w:ascii="Times New Roman" w:hAnsi="Times New Roman" w:cs="Times New Roman"/>
        </w:rPr>
      </w:pPr>
      <w:r>
        <w:rPr>
          <w:rFonts w:hint="default" w:ascii="Times New Roman" w:hAnsi="Times New Roman" w:cs="Times New Roman"/>
        </w:rPr>
        <w:t>五折交叉验证与独立测试具有不同作用。五折交叉验证将全部样本分为五个互斥子集，每次使用其中四折训练、一折验证，最终汇总五次未参与相应训练的预测结果，用于评价模型在不同数据划分下的总体稳定性。独立测试则在模型设置确定后，使用训练集拟合评估模型，并在固定的独立测试工况上评价，用于检验最终方案对未参与拟合工况的预测能力。</w:t>
      </w:r>
    </w:p>
    <w:p w14:paraId="6CF516F3">
      <w:pPr>
        <w:pStyle w:val="3"/>
        <w:rPr>
          <w:rFonts w:hint="default" w:ascii="Times New Roman" w:hAnsi="Times New Roman" w:cs="Times New Roman"/>
        </w:rPr>
      </w:pPr>
      <w:bookmarkStart w:id="24" w:name="_Toc15604"/>
      <w:r>
        <w:rPr>
          <w:rFonts w:hint="default" w:ascii="Times New Roman" w:hAnsi="Times New Roman" w:cs="Times New Roman"/>
          <w:lang w:val="en-US" w:eastAsia="zh-CN"/>
        </w:rPr>
        <w:t>评价指标</w:t>
      </w:r>
      <w:bookmarkEnd w:id="24"/>
    </w:p>
    <w:p w14:paraId="3EAA18BB">
      <w:pPr>
        <w:ind w:firstLine="480"/>
        <w:rPr>
          <w:rFonts w:hint="default" w:ascii="Times New Roman" w:hAnsi="Times New Roman" w:cs="Times New Roman"/>
        </w:rPr>
      </w:pPr>
      <w:r>
        <w:rPr>
          <w:rFonts w:hint="default" w:ascii="Times New Roman" w:hAnsi="Times New Roman" w:cs="Times New Roman"/>
        </w:rPr>
        <w:t>本报告</w:t>
      </w:r>
      <w:r>
        <w:rPr>
          <w:rFonts w:hint="default" w:ascii="Times New Roman" w:hAnsi="Times New Roman" w:cs="Times New Roman"/>
          <w:lang w:val="en-US" w:eastAsia="zh-CN"/>
        </w:rPr>
        <w:t>使用</w:t>
      </w:r>
      <w:r>
        <w:rPr>
          <w:rFonts w:hint="default" w:ascii="Times New Roman" w:hAnsi="Times New Roman" w:cs="Times New Roman"/>
        </w:rPr>
        <w:t xml:space="preserve"> MAE、RMSE 和等级准确率三个指标。</w:t>
      </w:r>
    </w:p>
    <w:p w14:paraId="674DCC99">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rPr>
        <w:t xml:space="preserve"> 模型评价指标说明</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0176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12" w:space="0"/>
              <w:left w:val="nil"/>
              <w:bottom w:val="single" w:color="000000" w:sz="4" w:space="0"/>
              <w:right w:val="nil"/>
              <w:tl2br w:val="nil"/>
            </w:tcBorders>
            <w:shd w:val="clear" w:color="auto" w:fill="FFFFFF"/>
          </w:tcPr>
          <w:p w14:paraId="26E48667">
            <w:pPr>
              <w:pStyle w:val="54"/>
              <w:bidi w:val="0"/>
              <w:rPr>
                <w:rFonts w:hint="default" w:ascii="Times New Roman" w:hAnsi="Times New Roman" w:cs="Times New Roman"/>
                <w:b w:val="0"/>
              </w:rPr>
            </w:pPr>
            <w:r>
              <w:rPr>
                <w:rFonts w:hint="default" w:ascii="Times New Roman" w:hAnsi="Times New Roman" w:cs="Times New Roman"/>
                <w:b w:val="0"/>
              </w:rPr>
              <w:t>指标</w:t>
            </w:r>
          </w:p>
        </w:tc>
        <w:tc>
          <w:tcPr>
            <w:tcW w:w="2769" w:type="dxa"/>
            <w:tcBorders>
              <w:top w:val="single" w:color="000000" w:sz="12" w:space="0"/>
              <w:left w:val="nil"/>
              <w:bottom w:val="single" w:color="000000" w:sz="4" w:space="0"/>
              <w:right w:val="nil"/>
            </w:tcBorders>
            <w:shd w:val="clear" w:color="auto" w:fill="FFFFFF"/>
          </w:tcPr>
          <w:p w14:paraId="2B3800E8">
            <w:pPr>
              <w:pStyle w:val="54"/>
              <w:bidi w:val="0"/>
              <w:rPr>
                <w:rFonts w:hint="default" w:ascii="Times New Roman" w:hAnsi="Times New Roman" w:cs="Times New Roman"/>
                <w:b w:val="0"/>
              </w:rPr>
            </w:pPr>
            <w:r>
              <w:rPr>
                <w:rFonts w:hint="default" w:ascii="Times New Roman" w:hAnsi="Times New Roman" w:cs="Times New Roman"/>
                <w:b w:val="0"/>
              </w:rPr>
              <w:t>定义</w:t>
            </w:r>
          </w:p>
        </w:tc>
        <w:tc>
          <w:tcPr>
            <w:tcW w:w="2769" w:type="dxa"/>
            <w:tcBorders>
              <w:top w:val="single" w:color="000000" w:sz="12" w:space="0"/>
              <w:left w:val="nil"/>
              <w:bottom w:val="single" w:color="000000" w:sz="4" w:space="0"/>
              <w:right w:val="nil"/>
            </w:tcBorders>
            <w:shd w:val="clear" w:color="auto" w:fill="FFFFFF"/>
          </w:tcPr>
          <w:p w14:paraId="7647BC2D">
            <w:pPr>
              <w:pStyle w:val="54"/>
              <w:bidi w:val="0"/>
              <w:rPr>
                <w:rFonts w:hint="default" w:ascii="Times New Roman" w:hAnsi="Times New Roman" w:cs="Times New Roman"/>
                <w:b w:val="0"/>
              </w:rPr>
            </w:pPr>
            <w:r>
              <w:rPr>
                <w:rFonts w:hint="default" w:ascii="Times New Roman" w:hAnsi="Times New Roman" w:cs="Times New Roman"/>
                <w:b w:val="0"/>
              </w:rPr>
              <w:t>工程含义</w:t>
            </w:r>
          </w:p>
        </w:tc>
      </w:tr>
      <w:tr w14:paraId="1E33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4" w:space="0"/>
              <w:left w:val="nil"/>
              <w:bottom w:val="nil"/>
              <w:right w:val="nil"/>
            </w:tcBorders>
            <w:shd w:val="clear" w:color="auto" w:fill="FFFFFF"/>
          </w:tcPr>
          <w:p w14:paraId="248C4B08">
            <w:pPr>
              <w:pStyle w:val="54"/>
              <w:bidi w:val="0"/>
              <w:rPr>
                <w:rFonts w:hint="default" w:ascii="Times New Roman" w:hAnsi="Times New Roman" w:cs="Times New Roman"/>
                <w:b w:val="0"/>
              </w:rPr>
            </w:pPr>
            <w:r>
              <w:rPr>
                <w:rFonts w:hint="default" w:ascii="Times New Roman" w:hAnsi="Times New Roman" w:cs="Times New Roman"/>
                <w:b w:val="0"/>
              </w:rPr>
              <w:t>MAE</w:t>
            </w:r>
          </w:p>
        </w:tc>
        <w:tc>
          <w:tcPr>
            <w:tcW w:w="2769" w:type="dxa"/>
            <w:tcBorders>
              <w:top w:val="single" w:color="000000" w:sz="4" w:space="0"/>
              <w:left w:val="nil"/>
              <w:bottom w:val="nil"/>
              <w:right w:val="nil"/>
            </w:tcBorders>
            <w:shd w:val="clear" w:color="auto" w:fill="FFFFFF"/>
          </w:tcPr>
          <w:p w14:paraId="7C30299D">
            <w:pPr>
              <w:pStyle w:val="54"/>
              <w:bidi w:val="0"/>
              <w:rPr>
                <w:rFonts w:hint="default" w:ascii="Times New Roman" w:hAnsi="Times New Roman" w:cs="Times New Roman"/>
                <w:b w:val="0"/>
                <w:i w:val="0"/>
              </w:rPr>
            </w:pPr>
            <m:oMathPara>
              <m:oMath>
                <m:f>
                  <m:fPr>
                    <m:ctrlPr>
                      <w:rPr>
                        <w:rFonts w:hint="default" w:ascii="Cambria Math" w:hAnsi="Cambria Math" w:cs="Times New Roman"/>
                        <w:i/>
                        <w:sz w:val="24"/>
                        <w:u w:val="none"/>
                      </w:rPr>
                    </m:ctrlPr>
                  </m:fPr>
                  <m:num>
                    <m:r>
                      <m:rPr>
                        <m:nor/>
                        <m:sty m:val="p"/>
                      </m:rPr>
                      <w:rPr>
                        <w:rFonts w:hint="default" w:ascii="Times New Roman" w:hAnsi="Times New Roman" w:cs="Times New Roman"/>
                        <w:b w:val="0"/>
                        <w:i w:val="0"/>
                        <w:sz w:val="24"/>
                        <w:u w:val="none"/>
                      </w:rPr>
                      <m:t>1</m:t>
                    </m:r>
                    <m:ctrlPr>
                      <w:rPr>
                        <w:rFonts w:hint="default" w:ascii="Cambria Math" w:hAnsi="Cambria Math" w:cs="Times New Roman"/>
                        <w:sz w:val="24"/>
                        <w:u w:val="none"/>
                      </w:rPr>
                    </m:ctrlPr>
                  </m:num>
                  <m:den>
                    <m:r>
                      <m:rPr>
                        <m:nor/>
                      </m:rPr>
                      <w:rPr>
                        <w:rFonts w:hint="default" w:ascii="Times New Roman" w:hAnsi="Times New Roman" w:cs="Times New Roman"/>
                        <w:i/>
                        <w:sz w:val="24"/>
                        <w:u w:val="none"/>
                      </w:rPr>
                      <m:t>n</m:t>
                    </m:r>
                    <m:ctrlPr>
                      <w:rPr>
                        <w:rFonts w:hint="default" w:ascii="Cambria Math" w:hAnsi="Cambria Math" w:cs="Times New Roman"/>
                        <w:sz w:val="24"/>
                        <w:u w:val="none"/>
                      </w:rPr>
                    </m:ctrlPr>
                  </m:den>
                </m:f>
                <m:nary>
                  <m:naryPr>
                    <m:chr m:val="∑"/>
                    <m:limLoc m:val="undOvr"/>
                    <m:subHide m:val="1"/>
                    <m:supHide m:val="1"/>
                    <m:ctrlPr>
                      <w:rPr>
                        <w:rFonts w:hint="default" w:ascii="Cambria Math" w:hAnsi="Cambria Math" w:cs="Times New Roman"/>
                        <w:i/>
                        <w:sz w:val="24"/>
                        <w:u w:val="none"/>
                      </w:rPr>
                    </m:ctrlPr>
                  </m:naryPr>
                  <m:sub>
                    <m:ctrlPr>
                      <w:rPr>
                        <w:rFonts w:hint="default" w:ascii="Cambria Math" w:hAnsi="Cambria Math" w:cs="Times New Roman"/>
                        <w:sz w:val="24"/>
                        <w:u w:val="none"/>
                      </w:rPr>
                    </m:ctrlPr>
                  </m:sub>
                  <m:sup>
                    <m:ctrlPr>
                      <w:rPr>
                        <w:rFonts w:hint="default" w:ascii="Cambria Math" w:hAnsi="Cambria Math" w:cs="Times New Roman"/>
                        <w:sz w:val="24"/>
                        <w:u w:val="none"/>
                      </w:rPr>
                    </m:ctrlPr>
                  </m:sup>
                  <m:e>
                    <m:d>
                      <m:dPr>
                        <m:begChr m:val="|"/>
                        <m:endChr m:val="|"/>
                        <m:ctrlPr>
                          <w:rPr>
                            <w:rFonts w:hint="default" w:ascii="Cambria Math" w:hAnsi="Cambria Math" w:cs="Times New Roman"/>
                            <w:sz w:val="24"/>
                            <w:u w:val="none"/>
                          </w:rPr>
                        </m:ctrlPr>
                      </m:dPr>
                      <m:e>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i</m:t>
                            </m:r>
                            <m:ctrlPr>
                              <w:rPr>
                                <w:rFonts w:hint="default" w:ascii="Cambria Math" w:hAnsi="Cambria Math" w:cs="Times New Roman"/>
                                <w:sz w:val="24"/>
                                <w:u w:val="none"/>
                              </w:rPr>
                            </m:ctrlPr>
                          </m:sub>
                        </m:sSub>
                        <m:r>
                          <m:rPr>
                            <m:sty m:val="p"/>
                          </m:rPr>
                          <w:rPr>
                            <w:rFonts w:hint="default" w:ascii="Times New Roman" w:hAnsi="Times New Roman" w:cs="Times New Roman"/>
                            <w:sz w:val="24"/>
                            <w:u w:val="none"/>
                          </w:rPr>
                          <m:t>−</m:t>
                        </m:r>
                        <m:sSub>
                          <m:sSubPr>
                            <m:ctrlPr>
                              <w:rPr>
                                <w:rFonts w:hint="default" w:ascii="Cambria Math" w:hAnsi="Cambria Math" w:cs="Times New Roman"/>
                                <w:sz w:val="24"/>
                                <w:u w:val="none"/>
                              </w:rPr>
                            </m:ctrlPr>
                          </m:sSubPr>
                          <m:e>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acc>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i</m:t>
                            </m:r>
                            <m:ctrlPr>
                              <w:rPr>
                                <w:rFonts w:hint="default" w:ascii="Cambria Math" w:hAnsi="Cambria Math" w:cs="Times New Roman"/>
                                <w:sz w:val="24"/>
                                <w:u w:val="none"/>
                              </w:rPr>
                            </m:ctrlPr>
                          </m:sub>
                        </m:sSub>
                        <m:ctrlPr>
                          <w:rPr>
                            <w:rFonts w:hint="default" w:ascii="Cambria Math" w:hAnsi="Cambria Math" w:cs="Times New Roman"/>
                            <w:sz w:val="24"/>
                            <w:u w:val="none"/>
                          </w:rPr>
                        </m:ctrlPr>
                      </m:e>
                    </m:d>
                    <m:ctrlPr>
                      <w:rPr>
                        <w:rFonts w:hint="default" w:ascii="Cambria Math" w:hAnsi="Cambria Math" w:cs="Times New Roman"/>
                        <w:sz w:val="24"/>
                        <w:u w:val="none"/>
                      </w:rPr>
                    </m:ctrlPr>
                  </m:e>
                </m:nary>
              </m:oMath>
            </m:oMathPara>
          </w:p>
        </w:tc>
        <w:tc>
          <w:tcPr>
            <w:tcW w:w="2769" w:type="dxa"/>
            <w:tcBorders>
              <w:top w:val="single" w:color="000000" w:sz="4" w:space="0"/>
              <w:left w:val="nil"/>
              <w:bottom w:val="nil"/>
              <w:right w:val="nil"/>
            </w:tcBorders>
            <w:shd w:val="clear" w:color="auto" w:fill="FFFFFF"/>
          </w:tcPr>
          <w:p w14:paraId="3D631643">
            <w:pPr>
              <w:pStyle w:val="54"/>
              <w:bidi w:val="0"/>
              <w:rPr>
                <w:rFonts w:hint="default" w:ascii="Times New Roman" w:hAnsi="Times New Roman" w:eastAsia="宋体" w:cs="Times New Roman"/>
                <w:b w:val="0"/>
                <w:lang w:val="en-US" w:eastAsia="zh-CN"/>
              </w:rPr>
            </w:pPr>
            <w:r>
              <w:rPr>
                <w:rFonts w:hint="default" w:ascii="Times New Roman" w:hAnsi="Times New Roman" w:cs="Times New Roman"/>
                <w:b w:val="0"/>
                <w:lang w:val="en-US" w:eastAsia="zh-CN"/>
              </w:rPr>
              <w:t>Dk 预测绝对误差的平均值，越小越好</w:t>
            </w:r>
          </w:p>
        </w:tc>
      </w:tr>
      <w:tr w14:paraId="2495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tcPr>
          <w:p w14:paraId="47ADFE35">
            <w:pPr>
              <w:pStyle w:val="54"/>
              <w:bidi w:val="0"/>
              <w:rPr>
                <w:rFonts w:hint="default" w:ascii="Times New Roman" w:hAnsi="Times New Roman" w:cs="Times New Roman"/>
                <w:b w:val="0"/>
              </w:rPr>
            </w:pPr>
            <w:r>
              <w:rPr>
                <w:rFonts w:hint="default" w:ascii="Times New Roman" w:hAnsi="Times New Roman" w:cs="Times New Roman"/>
                <w:b w:val="0"/>
              </w:rPr>
              <w:t>RMSE</w:t>
            </w:r>
          </w:p>
        </w:tc>
        <w:tc>
          <w:tcPr>
            <w:tcW w:w="2769" w:type="dxa"/>
            <w:tcBorders>
              <w:top w:val="nil"/>
              <w:left w:val="nil"/>
              <w:bottom w:val="nil"/>
              <w:right w:val="nil"/>
            </w:tcBorders>
            <w:shd w:val="clear" w:color="auto" w:fill="FFFFFF"/>
          </w:tcPr>
          <w:p w14:paraId="13A4A0C3">
            <w:pPr>
              <w:pStyle w:val="54"/>
              <w:bidi w:val="0"/>
              <w:rPr>
                <w:rFonts w:hint="default" w:ascii="Times New Roman" w:hAnsi="Times New Roman" w:cs="Times New Roman"/>
                <w:b w:val="0"/>
              </w:rPr>
            </w:pPr>
            <m:oMathPara>
              <m:oMath>
                <m:rad>
                  <m:radPr>
                    <m:degHide m:val="1"/>
                    <m:ctrlPr>
                      <w:rPr>
                        <w:rFonts w:hint="default" w:ascii="Cambria Math" w:hAnsi="Cambria Math" w:cs="Times New Roman"/>
                        <w:i/>
                        <w:sz w:val="24"/>
                        <w:u w:val="none"/>
                      </w:rPr>
                    </m:ctrlPr>
                  </m:radPr>
                  <m:deg>
                    <m:ctrlPr>
                      <w:rPr>
                        <w:rFonts w:hint="default" w:ascii="Cambria Math" w:hAnsi="Cambria Math" w:cs="Times New Roman"/>
                        <w:sz w:val="24"/>
                        <w:u w:val="none"/>
                      </w:rPr>
                    </m:ctrlPr>
                  </m:deg>
                  <m:e>
                    <m:f>
                      <m:fPr>
                        <m:ctrlPr>
                          <w:rPr>
                            <w:rFonts w:hint="default" w:ascii="Cambria Math" w:hAnsi="Cambria Math" w:cs="Times New Roman"/>
                            <w:i/>
                            <w:sz w:val="24"/>
                            <w:u w:val="none"/>
                          </w:rPr>
                        </m:ctrlPr>
                      </m:fPr>
                      <m:num>
                        <m:r>
                          <m:rPr>
                            <m:nor/>
                            <m:sty m:val="p"/>
                          </m:rPr>
                          <w:rPr>
                            <w:rFonts w:hint="default" w:ascii="Times New Roman" w:hAnsi="Times New Roman" w:cs="Times New Roman"/>
                            <w:b w:val="0"/>
                            <w:i w:val="0"/>
                            <w:sz w:val="24"/>
                            <w:u w:val="none"/>
                          </w:rPr>
                          <m:t>1</m:t>
                        </m:r>
                        <m:ctrlPr>
                          <w:rPr>
                            <w:rFonts w:hint="default" w:ascii="Cambria Math" w:hAnsi="Cambria Math" w:cs="Times New Roman"/>
                            <w:sz w:val="24"/>
                            <w:u w:val="none"/>
                          </w:rPr>
                        </m:ctrlPr>
                      </m:num>
                      <m:den>
                        <m:r>
                          <m:rPr>
                            <m:nor/>
                          </m:rPr>
                          <w:rPr>
                            <w:rFonts w:hint="default" w:ascii="Times New Roman" w:hAnsi="Times New Roman" w:cs="Times New Roman"/>
                            <w:i/>
                            <w:sz w:val="24"/>
                            <w:u w:val="none"/>
                          </w:rPr>
                          <m:t>n</m:t>
                        </m:r>
                        <m:ctrlPr>
                          <w:rPr>
                            <w:rFonts w:hint="default" w:ascii="Cambria Math" w:hAnsi="Cambria Math" w:cs="Times New Roman"/>
                            <w:sz w:val="24"/>
                            <w:u w:val="none"/>
                          </w:rPr>
                        </m:ctrlPr>
                      </m:den>
                    </m:f>
                    <m:nary>
                      <m:naryPr>
                        <m:chr m:val="∑"/>
                        <m:limLoc m:val="undOvr"/>
                        <m:subHide m:val="1"/>
                        <m:supHide m:val="1"/>
                        <m:ctrlPr>
                          <w:rPr>
                            <w:rFonts w:hint="default" w:ascii="Cambria Math" w:hAnsi="Cambria Math" w:cs="Times New Roman"/>
                            <w:i/>
                            <w:sz w:val="24"/>
                            <w:u w:val="none"/>
                          </w:rPr>
                        </m:ctrlPr>
                      </m:naryPr>
                      <m:sub>
                        <m:ctrlPr>
                          <w:rPr>
                            <w:rFonts w:hint="default" w:ascii="Cambria Math" w:hAnsi="Cambria Math" w:cs="Times New Roman"/>
                            <w:sz w:val="24"/>
                            <w:u w:val="none"/>
                          </w:rPr>
                        </m:ctrlPr>
                      </m:sub>
                      <m:sup>
                        <m:ctrlPr>
                          <w:rPr>
                            <w:rFonts w:hint="default" w:ascii="Cambria Math" w:hAnsi="Cambria Math" w:cs="Times New Roman"/>
                            <w:sz w:val="24"/>
                            <w:u w:val="none"/>
                          </w:rPr>
                        </m:ctrlPr>
                      </m:sup>
                      <m:e>
                        <m:r>
                          <m:rPr>
                            <m:nor/>
                            <m:sty m:val="p"/>
                          </m:rPr>
                          <w:rPr>
                            <w:rFonts w:hint="default" w:ascii="Times New Roman" w:hAnsi="Times New Roman" w:cs="Times New Roman"/>
                            <w:b w:val="0"/>
                            <w:i w:val="0"/>
                            <w:sz w:val="24"/>
                            <w:u w:val="none"/>
                          </w:rPr>
                          <m:t>(</m:t>
                        </m:r>
                        <m:ctrlPr>
                          <w:rPr>
                            <w:rFonts w:hint="default" w:ascii="Cambria Math" w:hAnsi="Cambria Math" w:cs="Times New Roman"/>
                            <w:sz w:val="24"/>
                            <w:u w:val="none"/>
                          </w:rPr>
                        </m:ctrlPr>
                      </m:e>
                    </m:nary>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i</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acc>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i</m:t>
                        </m:r>
                        <m:ctrlPr>
                          <w:rPr>
                            <w:rFonts w:hint="default" w:ascii="Cambria Math" w:hAnsi="Cambria Math" w:cs="Times New Roman"/>
                            <w:sz w:val="24"/>
                            <w:u w:val="none"/>
                          </w:rPr>
                        </m:ctrlPr>
                      </m:sub>
                    </m:sSub>
                    <m:sSup>
                      <m:sSupPr>
                        <m:ctrlPr>
                          <w:rPr>
                            <w:rFonts w:hint="default" w:ascii="Cambria Math" w:hAnsi="Cambria Math" w:cs="Times New Roman"/>
                            <w:sz w:val="24"/>
                            <w:u w:val="none"/>
                          </w:rPr>
                        </m:ctrlPr>
                      </m:sSupPr>
                      <m:e>
                        <m:r>
                          <m:rPr>
                            <m:nor/>
                            <m:sty m:val="p"/>
                          </m:rPr>
                          <w:rPr>
                            <w:rFonts w:hint="default" w:ascii="Times New Roman" w:hAnsi="Times New Roman" w:cs="Times New Roman"/>
                            <w:b w:val="0"/>
                            <w:i w:val="0"/>
                            <w:sz w:val="24"/>
                            <w:u w:val="none"/>
                          </w:rPr>
                          <m:t>)</m:t>
                        </m:r>
                        <m:ctrlPr>
                          <w:rPr>
                            <w:rFonts w:hint="default" w:ascii="Cambria Math" w:hAnsi="Cambria Math" w:cs="Times New Roman"/>
                            <w:sz w:val="24"/>
                            <w:u w:val="none"/>
                          </w:rPr>
                        </m:ctrlPr>
                      </m:e>
                      <m:sup>
                        <m:r>
                          <m:rPr>
                            <m:nor/>
                            <m:sty m:val="p"/>
                          </m:rPr>
                          <w:rPr>
                            <w:rFonts w:hint="default" w:ascii="Times New Roman" w:hAnsi="Times New Roman" w:cs="Times New Roman"/>
                            <w:b w:val="0"/>
                            <w:i w:val="0"/>
                            <w:sz w:val="24"/>
                            <w:u w:val="none"/>
                          </w:rPr>
                          <m:t>2</m:t>
                        </m:r>
                        <m:ctrlPr>
                          <w:rPr>
                            <w:rFonts w:hint="default" w:ascii="Cambria Math" w:hAnsi="Cambria Math" w:cs="Times New Roman"/>
                            <w:sz w:val="24"/>
                            <w:u w:val="none"/>
                          </w:rPr>
                        </m:ctrlPr>
                      </m:sup>
                    </m:sSup>
                    <m:ctrlPr>
                      <w:rPr>
                        <w:rFonts w:hint="default" w:ascii="Cambria Math" w:hAnsi="Cambria Math" w:cs="Times New Roman"/>
                        <w:sz w:val="24"/>
                        <w:u w:val="none"/>
                      </w:rPr>
                    </m:ctrlPr>
                  </m:e>
                </m:rad>
              </m:oMath>
            </m:oMathPara>
          </w:p>
        </w:tc>
        <w:tc>
          <w:tcPr>
            <w:tcW w:w="2769" w:type="dxa"/>
            <w:tcBorders>
              <w:top w:val="nil"/>
              <w:left w:val="nil"/>
              <w:bottom w:val="nil"/>
              <w:right w:val="nil"/>
            </w:tcBorders>
            <w:shd w:val="clear" w:color="auto" w:fill="FFFFFF"/>
          </w:tcPr>
          <w:p w14:paraId="11557093">
            <w:pPr>
              <w:pStyle w:val="54"/>
              <w:bidi w:val="0"/>
              <w:rPr>
                <w:rFonts w:hint="default" w:ascii="Times New Roman" w:hAnsi="Times New Roman" w:cs="Times New Roman"/>
                <w:b w:val="0"/>
              </w:rPr>
            </w:pPr>
            <w:r>
              <w:rPr>
                <w:rFonts w:hint="default" w:ascii="Times New Roman" w:hAnsi="Times New Roman" w:cs="Times New Roman"/>
                <w:b w:val="0"/>
              </w:rPr>
              <w:t>对较大 Dk 偏差更敏感，越小越好</w:t>
            </w:r>
          </w:p>
        </w:tc>
      </w:tr>
      <w:tr w14:paraId="59A2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single" w:color="000000" w:sz="12" w:space="0"/>
              <w:right w:val="nil"/>
            </w:tcBorders>
            <w:shd w:val="clear" w:color="auto" w:fill="FFFFFF"/>
          </w:tcPr>
          <w:p w14:paraId="7D015B47">
            <w:pPr>
              <w:pStyle w:val="54"/>
              <w:bidi w:val="0"/>
              <w:rPr>
                <w:rFonts w:hint="default" w:ascii="Times New Roman" w:hAnsi="Times New Roman" w:cs="Times New Roman"/>
                <w:b w:val="0"/>
              </w:rPr>
            </w:pPr>
            <w:r>
              <w:rPr>
                <w:rFonts w:hint="default" w:ascii="Times New Roman" w:hAnsi="Times New Roman" w:cs="Times New Roman"/>
                <w:b w:val="0"/>
              </w:rPr>
              <w:t>等级准确率</w:t>
            </w:r>
          </w:p>
        </w:tc>
        <w:tc>
          <w:tcPr>
            <w:tcW w:w="2769" w:type="dxa"/>
            <w:tcBorders>
              <w:top w:val="nil"/>
              <w:left w:val="nil"/>
              <w:bottom w:val="single" w:color="000000" w:sz="12" w:space="0"/>
              <w:right w:val="nil"/>
            </w:tcBorders>
            <w:shd w:val="clear" w:color="auto" w:fill="FFFFFF"/>
          </w:tcPr>
          <w:p w14:paraId="02AF53A6">
            <w:pPr>
              <w:pStyle w:val="54"/>
              <w:bidi w:val="0"/>
              <w:rPr>
                <w:rFonts w:hint="default" w:ascii="Times New Roman" w:hAnsi="Times New Roman" w:cs="Times New Roman"/>
                <w:b w:val="0"/>
              </w:rPr>
            </w:pPr>
            <w:r>
              <w:rPr>
                <w:rFonts w:hint="default" w:ascii="Times New Roman" w:hAnsi="Times New Roman" w:cs="Times New Roman"/>
                <w:b w:val="0"/>
              </w:rPr>
              <w:t>正确等级工况数 / 总工况数</w:t>
            </w:r>
          </w:p>
        </w:tc>
        <w:tc>
          <w:tcPr>
            <w:tcW w:w="2769" w:type="dxa"/>
            <w:tcBorders>
              <w:top w:val="nil"/>
              <w:left w:val="nil"/>
              <w:bottom w:val="single" w:color="000000" w:sz="12" w:space="0"/>
              <w:right w:val="nil"/>
            </w:tcBorders>
            <w:shd w:val="clear" w:color="auto" w:fill="FFFFFF"/>
          </w:tcPr>
          <w:p w14:paraId="167E4491">
            <w:pPr>
              <w:pStyle w:val="54"/>
              <w:bidi w:val="0"/>
              <w:rPr>
                <w:rFonts w:hint="default" w:ascii="Times New Roman" w:hAnsi="Times New Roman" w:cs="Times New Roman"/>
                <w:b w:val="0"/>
              </w:rPr>
            </w:pPr>
            <w:r>
              <w:rPr>
                <w:rFonts w:hint="default" w:ascii="Times New Roman" w:hAnsi="Times New Roman" w:cs="Times New Roman"/>
                <w:b w:val="0"/>
              </w:rPr>
              <w:t>四级</w:t>
            </w:r>
            <w:r>
              <w:rPr>
                <w:rFonts w:hint="default" w:ascii="Times New Roman" w:hAnsi="Times New Roman" w:cs="Times New Roman"/>
                <w:b w:val="0"/>
                <w:lang w:eastAsia="zh-CN"/>
              </w:rPr>
              <w:t>HS</w:t>
            </w:r>
            <w:r>
              <w:rPr>
                <w:rFonts w:hint="default" w:ascii="Times New Roman" w:hAnsi="Times New Roman" w:cs="Times New Roman"/>
                <w:b w:val="0"/>
              </w:rPr>
              <w:t>判定正确的比例，越高越好</w:t>
            </w:r>
          </w:p>
        </w:tc>
      </w:tr>
    </w:tbl>
    <w:p w14:paraId="640842B0">
      <w:pPr>
        <w:pStyle w:val="3"/>
        <w:rPr>
          <w:rFonts w:hint="default" w:ascii="Times New Roman" w:hAnsi="Times New Roman" w:cs="Times New Roman"/>
        </w:rPr>
      </w:pPr>
      <w:bookmarkStart w:id="25" w:name="_Toc17186"/>
      <w:r>
        <w:rPr>
          <w:rFonts w:hint="default" w:ascii="Times New Roman" w:hAnsi="Times New Roman" w:cs="Times New Roman"/>
          <w:lang w:val="en-US" w:eastAsia="zh-CN"/>
        </w:rPr>
        <w:t>综合模型评价结果</w:t>
      </w:r>
      <w:bookmarkEnd w:id="25"/>
    </w:p>
    <w:p w14:paraId="74245C69">
      <w:pPr>
        <w:ind w:firstLine="480"/>
        <w:rPr>
          <w:rFonts w:hint="default" w:ascii="Times New Roman" w:hAnsi="Times New Roman" w:cs="Times New Roman"/>
        </w:rPr>
      </w:pPr>
      <w:r>
        <w:rPr>
          <w:rFonts w:hint="default" w:ascii="Times New Roman" w:hAnsi="Times New Roman" w:cs="Times New Roman"/>
        </w:rPr>
        <w:t>四类设施专项复核采用相同模型和评价流程。为保持三类工程报告的性能口径统一，报告采用全部设施的综合评价结果作为模型精度指标。</w:t>
      </w:r>
    </w:p>
    <w:p w14:paraId="26799C86">
      <w:pPr>
        <w:pStyle w:val="16"/>
        <w:ind w:firstLine="480"/>
        <w:rPr>
          <w:rFonts w:hint="default" w:ascii="Times New Roman" w:hAnsi="Times New Roman" w:cs="Times New Roma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rPr>
        <w:t xml:space="preserve"> 综合模型评价结果</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7786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000000" w:sz="12" w:space="0"/>
              <w:left w:val="nil"/>
              <w:bottom w:val="single" w:color="000000" w:sz="4" w:space="0"/>
              <w:right w:val="nil"/>
              <w:tl2br w:val="nil"/>
            </w:tcBorders>
            <w:shd w:val="clear" w:color="auto" w:fill="FFFFFF"/>
          </w:tcPr>
          <w:p w14:paraId="17542E03">
            <w:pPr>
              <w:pStyle w:val="54"/>
              <w:bidi w:val="0"/>
              <w:rPr>
                <w:rFonts w:hint="default" w:ascii="Times New Roman" w:hAnsi="Times New Roman" w:cs="Times New Roman"/>
                <w:b w:val="0"/>
              </w:rPr>
            </w:pPr>
            <w:r>
              <w:rPr>
                <w:rFonts w:hint="default" w:ascii="Times New Roman" w:hAnsi="Times New Roman" w:cs="Times New Roman"/>
                <w:b w:val="0"/>
              </w:rPr>
              <w:t>评价方式</w:t>
            </w:r>
          </w:p>
        </w:tc>
        <w:tc>
          <w:tcPr>
            <w:tcW w:w="1661" w:type="dxa"/>
            <w:tcBorders>
              <w:top w:val="single" w:color="000000" w:sz="12" w:space="0"/>
              <w:left w:val="nil"/>
              <w:bottom w:val="single" w:color="000000" w:sz="4" w:space="0"/>
              <w:right w:val="nil"/>
            </w:tcBorders>
            <w:shd w:val="clear" w:color="auto" w:fill="FFFFFF"/>
          </w:tcPr>
          <w:p w14:paraId="6D636A2E">
            <w:pPr>
              <w:pStyle w:val="54"/>
              <w:bidi w:val="0"/>
              <w:rPr>
                <w:rFonts w:hint="default" w:ascii="Times New Roman" w:hAnsi="Times New Roman" w:cs="Times New Roman"/>
                <w:b w:val="0"/>
              </w:rPr>
            </w:pPr>
            <w:r>
              <w:rPr>
                <w:rFonts w:hint="default" w:ascii="Times New Roman" w:hAnsi="Times New Roman" w:cs="Times New Roman"/>
                <w:b w:val="0"/>
              </w:rPr>
              <w:t>工况数</w:t>
            </w:r>
          </w:p>
        </w:tc>
        <w:tc>
          <w:tcPr>
            <w:tcW w:w="1661" w:type="dxa"/>
            <w:tcBorders>
              <w:top w:val="single" w:color="000000" w:sz="12" w:space="0"/>
              <w:left w:val="nil"/>
              <w:bottom w:val="single" w:color="000000" w:sz="4" w:space="0"/>
              <w:right w:val="nil"/>
            </w:tcBorders>
            <w:shd w:val="clear" w:color="auto" w:fill="FFFFFF"/>
          </w:tcPr>
          <w:p w14:paraId="7ACBCB1D">
            <w:pPr>
              <w:pStyle w:val="54"/>
              <w:bidi w:val="0"/>
              <w:rPr>
                <w:rFonts w:hint="default" w:ascii="Times New Roman" w:hAnsi="Times New Roman" w:cs="Times New Roman"/>
                <w:b w:val="0"/>
              </w:rPr>
            </w:pPr>
            <w:r>
              <w:rPr>
                <w:rFonts w:hint="default" w:ascii="Times New Roman" w:hAnsi="Times New Roman" w:cs="Times New Roman"/>
                <w:b w:val="0"/>
              </w:rPr>
              <w:t>MAE</w:t>
            </w:r>
          </w:p>
        </w:tc>
        <w:tc>
          <w:tcPr>
            <w:tcW w:w="1661" w:type="dxa"/>
            <w:tcBorders>
              <w:top w:val="single" w:color="000000" w:sz="12" w:space="0"/>
              <w:left w:val="nil"/>
              <w:bottom w:val="single" w:color="000000" w:sz="4" w:space="0"/>
              <w:right w:val="nil"/>
            </w:tcBorders>
            <w:shd w:val="clear" w:color="auto" w:fill="FFFFFF"/>
          </w:tcPr>
          <w:p w14:paraId="72D2B370">
            <w:pPr>
              <w:pStyle w:val="54"/>
              <w:bidi w:val="0"/>
              <w:rPr>
                <w:rFonts w:hint="default" w:ascii="Times New Roman" w:hAnsi="Times New Roman" w:cs="Times New Roman"/>
                <w:b w:val="0"/>
              </w:rPr>
            </w:pPr>
            <w:r>
              <w:rPr>
                <w:rFonts w:hint="default" w:ascii="Times New Roman" w:hAnsi="Times New Roman" w:cs="Times New Roman"/>
                <w:b w:val="0"/>
              </w:rPr>
              <w:t>RMSE</w:t>
            </w:r>
          </w:p>
        </w:tc>
        <w:tc>
          <w:tcPr>
            <w:tcW w:w="1661" w:type="dxa"/>
            <w:tcBorders>
              <w:top w:val="single" w:color="000000" w:sz="12" w:space="0"/>
              <w:left w:val="nil"/>
              <w:bottom w:val="single" w:color="000000" w:sz="4" w:space="0"/>
              <w:right w:val="nil"/>
            </w:tcBorders>
            <w:shd w:val="clear" w:color="auto" w:fill="FFFFFF"/>
          </w:tcPr>
          <w:p w14:paraId="1423C02C">
            <w:pPr>
              <w:pStyle w:val="54"/>
              <w:bidi w:val="0"/>
              <w:rPr>
                <w:rFonts w:hint="default" w:ascii="Times New Roman" w:hAnsi="Times New Roman" w:cs="Times New Roman"/>
                <w:b w:val="0"/>
              </w:rPr>
            </w:pPr>
            <w:r>
              <w:rPr>
                <w:rFonts w:hint="default" w:ascii="Times New Roman" w:hAnsi="Times New Roman" w:cs="Times New Roman"/>
                <w:b w:val="0"/>
              </w:rPr>
              <w:t>等级准确率</w:t>
            </w:r>
          </w:p>
        </w:tc>
      </w:tr>
      <w:tr w14:paraId="404F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000000" w:sz="4" w:space="0"/>
              <w:left w:val="nil"/>
              <w:bottom w:val="nil"/>
              <w:right w:val="nil"/>
            </w:tcBorders>
            <w:shd w:val="clear" w:color="auto" w:fill="FFFFFF"/>
            <w:vAlign w:val="top"/>
          </w:tcPr>
          <w:p>
            <w:r>
              <w:t>五折交叉验证</w:t>
            </w:r>
          </w:p>
        </w:tc>
        <w:tc>
          <w:tcPr>
            <w:tcW w:w="1661" w:type="dxa"/>
            <w:tcBorders>
              <w:top w:val="single" w:color="000000" w:sz="4" w:space="0"/>
              <w:left w:val="nil"/>
              <w:bottom w:val="nil"/>
              <w:right w:val="nil"/>
            </w:tcBorders>
            <w:shd w:val="clear" w:color="auto" w:fill="FFFFFF"/>
            <w:vAlign w:val="top"/>
          </w:tcPr>
          <w:p>
            <w:r>
              <w:t>6558</w:t>
            </w:r>
          </w:p>
        </w:tc>
        <w:tc>
          <w:tcPr>
            <w:tcW w:w="1661" w:type="dxa"/>
            <w:tcBorders>
              <w:top w:val="single" w:color="000000" w:sz="4" w:space="0"/>
              <w:left w:val="nil"/>
              <w:bottom w:val="nil"/>
              <w:right w:val="nil"/>
            </w:tcBorders>
            <w:shd w:val="clear" w:color="auto" w:fill="FFFFFF"/>
            <w:vAlign w:val="top"/>
          </w:tcPr>
          <w:p>
            <w:r>
              <w:t>0.0102</w:t>
            </w:r>
          </w:p>
        </w:tc>
        <w:tc>
          <w:tcPr>
            <w:tcW w:w="1661" w:type="dxa"/>
            <w:tcBorders>
              <w:top w:val="single" w:color="000000" w:sz="4" w:space="0"/>
              <w:left w:val="nil"/>
              <w:bottom w:val="nil"/>
              <w:right w:val="nil"/>
            </w:tcBorders>
            <w:shd w:val="clear" w:color="auto" w:fill="FFFFFF"/>
            <w:vAlign w:val="top"/>
          </w:tcPr>
          <w:p>
            <w:r>
              <w:t>0.0462</w:t>
            </w:r>
          </w:p>
        </w:tc>
        <w:tc>
          <w:tcPr>
            <w:tcW w:w="1661" w:type="dxa"/>
            <w:tcBorders>
              <w:top w:val="single" w:color="000000" w:sz="4" w:space="0"/>
              <w:left w:val="nil"/>
              <w:bottom w:val="nil"/>
              <w:right w:val="nil"/>
            </w:tcBorders>
            <w:shd w:val="clear" w:color="auto" w:fill="FFFFFF"/>
            <w:vAlign w:val="top"/>
          </w:tcPr>
          <w:p>
            <w:r>
              <w:t>95.9591%</w:t>
            </w:r>
          </w:p>
        </w:tc>
      </w:tr>
      <w:tr w14:paraId="2F6B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nil"/>
              <w:left w:val="nil"/>
              <w:bottom w:val="single" w:color="000000" w:sz="12" w:space="0"/>
              <w:right w:val="nil"/>
            </w:tcBorders>
            <w:shd w:val="clear" w:color="auto" w:fill="FFFFFF"/>
            <w:vAlign w:val="top"/>
          </w:tcPr>
          <w:p>
            <w:r>
              <w:t>独立测试</w:t>
            </w:r>
          </w:p>
        </w:tc>
        <w:tc>
          <w:tcPr>
            <w:tcW w:w="1661" w:type="dxa"/>
            <w:tcBorders>
              <w:top w:val="nil"/>
              <w:left w:val="nil"/>
              <w:bottom w:val="single" w:color="000000" w:sz="12" w:space="0"/>
              <w:right w:val="nil"/>
            </w:tcBorders>
            <w:shd w:val="clear" w:color="auto" w:fill="FFFFFF"/>
            <w:vAlign w:val="top"/>
          </w:tcPr>
          <w:p>
            <w:r>
              <w:t>1325</w:t>
            </w:r>
          </w:p>
        </w:tc>
        <w:tc>
          <w:tcPr>
            <w:tcW w:w="1661" w:type="dxa"/>
            <w:tcBorders>
              <w:top w:val="nil"/>
              <w:left w:val="nil"/>
              <w:bottom w:val="single" w:color="000000" w:sz="12" w:space="0"/>
              <w:right w:val="nil"/>
            </w:tcBorders>
            <w:shd w:val="clear" w:color="auto" w:fill="FFFFFF"/>
            <w:vAlign w:val="top"/>
          </w:tcPr>
          <w:p>
            <w:r>
              <w:t>0.0084</w:t>
            </w:r>
          </w:p>
        </w:tc>
        <w:tc>
          <w:tcPr>
            <w:tcW w:w="1661" w:type="dxa"/>
            <w:tcBorders>
              <w:top w:val="nil"/>
              <w:left w:val="nil"/>
              <w:bottom w:val="single" w:color="000000" w:sz="12" w:space="0"/>
              <w:right w:val="nil"/>
            </w:tcBorders>
            <w:shd w:val="clear" w:color="auto" w:fill="FFFFFF"/>
            <w:vAlign w:val="top"/>
          </w:tcPr>
          <w:p>
            <w:r>
              <w:t>0.0372</w:t>
            </w:r>
          </w:p>
        </w:tc>
        <w:tc>
          <w:tcPr>
            <w:tcW w:w="1661" w:type="dxa"/>
            <w:tcBorders>
              <w:top w:val="nil"/>
              <w:left w:val="nil"/>
              <w:bottom w:val="single" w:color="000000" w:sz="12" w:space="0"/>
              <w:right w:val="nil"/>
            </w:tcBorders>
            <w:shd w:val="clear" w:color="auto" w:fill="FFFFFF"/>
            <w:vAlign w:val="top"/>
          </w:tcPr>
          <w:p>
            <w:r>
              <w:t>97.2075%</w:t>
            </w:r>
          </w:p>
        </w:tc>
      </w:tr>
    </w:tbl>
    <w:p w14:paraId="377E7EDA">
      <w:pPr>
        <w:ind w:firstLine="480"/>
        <w:rPr>
          <w:rFonts w:hint="default" w:ascii="Times New Roman" w:hAnsi="Times New Roman" w:cs="Times New Roman"/>
        </w:rPr>
      </w:pPr>
      <w:r>
        <w:rPr>
          <w:rFonts w:hint="default" w:ascii="Times New Roman" w:hAnsi="Times New Roman" w:cs="Times New Roman"/>
        </w:rPr>
        <w:t>五折和独立测试的等级准确率均超过 95%，且两者差异较小，表明模型在不同划分方式下保持了较稳定的四级毁伤判定能力。独立测试 MAE 为 0.0084，说明连续 Dk 的平均绝对偏差约为 0.009；RMSE 高于 MAE，反映少量工况存在相对较大的连续值偏差。</w:t>
      </w:r>
      <w:r>
        <w:rPr>
          <w:rFonts w:hint="default" w:ascii="Times New Roman" w:hAnsi="Times New Roman" w:cs="Times New Roman"/>
          <w:vertAlign w:val="subscript"/>
        </w:rPr>
      </w:r>
      <w:r>
        <w:rPr>
          <w:rFonts w:hint="default" w:ascii="Times New Roman" w:hAnsi="Times New Roman" w:cs="Times New Roman"/>
        </w:rPr>
      </w:r>
    </w:p>
    <w:p w14:paraId="5CEA857E">
      <w:pPr>
        <w:pStyle w:val="54"/>
        <w:bidi w:val="0"/>
        <w:rPr>
          <w:rFonts w:hint="default" w:ascii="Times New Roman" w:hAnsi="Times New Roman" w:cs="Times New Roman"/>
        </w:rPr>
      </w:pPr>
      <w:r>
        <w:drawing>
          <wp:inline distT="0" distB="0" distL="114300" distR="114300">
            <wp:extent cx="4709795" cy="4216400"/>
            <wp:effectExtent l="0" t="0" r="0" b="0"/>
            <wp:docPr id="84" name="Picture" descr="图 2 航空航天与机场机库五折交叉验证等级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descr="图 2 航空航天与机场机库五折交叉验证等级混淆矩阵"/>
                    <pic:cNvPicPr>
                      <a:picLocks noChangeAspect="1" noChangeArrowheads="1"/>
                    </pic:cNvPicPr>
                  </pic:nvPicPr>
                  <pic:blipFill>
                    <a:blip r:embed="rId17"/>
                    <a:srcRect l="10639"/>
                    <a:stretch>
                      <a:fillRect/>
                    </a:stretch>
                  </pic:blipFill>
                  <pic:spPr>
                    <a:xfrm>
                      <a:off x="0" y="0"/>
                      <a:ext cx="4709795" cy="4216400"/>
                    </a:xfrm>
                    <a:prstGeom prst="rect">
                      <a:avLst/>
                    </a:prstGeom>
                    <a:noFill/>
                    <a:ln w="9525">
                      <a:noFill/>
                    </a:ln>
                  </pic:spPr>
                </pic:pic>
              </a:graphicData>
            </a:graphic>
          </wp:inline>
        </w:drawing>
      </w:r>
    </w:p>
    <w:p w14:paraId="5CE8D93C">
      <w:pPr>
        <w:pStyle w:val="16"/>
        <w:ind w:firstLine="480"/>
        <w:rPr>
          <w:rFonts w:hint="default" w:ascii="Times New Roman" w:hAnsi="Times New Roman" w:cs="Times New Roman"/>
        </w:rP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default" w:ascii="Times New Roman" w:hAnsi="Times New Roman" w:cs="Times New Roman"/>
        </w:rPr>
        <w:t xml:space="preserve"> 五折交叉验证等级混淆矩阵</w:t>
      </w:r>
    </w:p>
    <w:p w14:paraId="33903E95">
      <w:pPr>
        <w:pStyle w:val="3"/>
        <w:rPr>
          <w:rFonts w:hint="default" w:ascii="Times New Roman" w:hAnsi="Times New Roman" w:cs="Times New Roman"/>
        </w:rPr>
      </w:pPr>
      <w:bookmarkStart w:id="26" w:name="_Toc19704"/>
      <w:r>
        <w:rPr>
          <w:rFonts w:hint="default" w:ascii="Times New Roman" w:hAnsi="Times New Roman" w:cs="Times New Roman"/>
        </w:rPr>
        <w:t>模型性能评估</w:t>
      </w:r>
      <w:bookmarkEnd w:id="26"/>
    </w:p>
    <w:p w14:paraId="3277C3A0">
      <w:pPr>
        <w:ind w:firstLine="480"/>
        <w:rPr>
          <w:rFonts w:hint="default" w:ascii="Times New Roman" w:hAnsi="Times New Roman" w:cs="Times New Roman"/>
        </w:rPr>
      </w:pPr>
      <w:r>
        <w:rPr>
          <w:rFonts w:hint="eastAsia" w:ascii="Times New Roman" w:hAnsi="Times New Roman" w:cs="Times New Roman"/>
          <w:lang w:val="en-US" w:eastAsia="zh-CN"/>
        </w:rPr>
        <w:t>航空航天与机场机库的功能、建筑开口和高价值目标组合更复杂，专项应用采用逐设施模型与 FDS 复核相结合的工程流程。模型直接输出连续 Dk 和四级毁伤结果；对于等级边界附近或方向响应不稳定的工况，程序提示转入 FDS 精细计算，避免低置信度边界工况被直接输出为确定等级。</w:t>
      </w:r>
    </w:p>
    <w:p w14:paraId="0D52A1EB">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default" w:ascii="Times New Roman" w:hAnsi="Times New Roman" w:cs="Times New Roman"/>
        </w:rPr>
        <w:t xml:space="preserve"> 测试结果</w:t>
      </w:r>
    </w:p>
    <w:tbl>
      <w:tblPr>
        <w:tblStyle w:val="2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14:paraId="4590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single" w:color="000000" w:sz="12" w:space="0"/>
              <w:left w:val="nil"/>
              <w:bottom w:val="single" w:color="000000" w:sz="4" w:space="0"/>
              <w:right w:val="nil"/>
              <w:tl2br w:val="nil"/>
            </w:tcBorders>
            <w:shd w:val="clear" w:color="auto" w:fill="FFFFFF"/>
          </w:tcPr>
          <w:p w14:paraId="1290FED7">
            <w:pPr>
              <w:pStyle w:val="54"/>
              <w:bidi w:val="0"/>
              <w:rPr>
                <w:rFonts w:hint="default"/>
              </w:rPr>
            </w:pPr>
            <w:r>
              <w:rPr>
                <w:rFonts w:hint="default"/>
              </w:rPr>
              <w:t>评价对象</w:t>
            </w:r>
          </w:p>
        </w:tc>
        <w:tc>
          <w:tcPr>
            <w:tcW w:w="1250" w:type="pct"/>
            <w:tcBorders>
              <w:top w:val="single" w:color="000000" w:sz="12" w:space="0"/>
              <w:left w:val="nil"/>
              <w:bottom w:val="single" w:color="000000" w:sz="4" w:space="0"/>
              <w:right w:val="nil"/>
            </w:tcBorders>
            <w:shd w:val="clear" w:color="auto" w:fill="FFFFFF"/>
          </w:tcPr>
          <w:p w14:paraId="46B08D46">
            <w:pPr>
              <w:pStyle w:val="54"/>
              <w:bidi w:val="0"/>
              <w:rPr>
                <w:rFonts w:hint="default"/>
              </w:rPr>
            </w:pPr>
            <w:r>
              <w:rPr>
                <w:rFonts w:hint="default"/>
              </w:rPr>
              <w:t>测试工况数</w:t>
            </w:r>
          </w:p>
        </w:tc>
        <w:tc>
          <w:tcPr>
            <w:tcW w:w="1250" w:type="pct"/>
            <w:tcBorders>
              <w:top w:val="single" w:color="000000" w:sz="12" w:space="0"/>
              <w:left w:val="nil"/>
              <w:bottom w:val="single" w:color="000000" w:sz="4" w:space="0"/>
              <w:right w:val="nil"/>
            </w:tcBorders>
            <w:shd w:val="clear" w:color="auto" w:fill="FFFFFF"/>
          </w:tcPr>
          <w:p w14:paraId="767DD359">
            <w:pPr>
              <w:pStyle w:val="54"/>
              <w:bidi w:val="0"/>
              <w:rPr>
                <w:rFonts w:hint="default"/>
              </w:rPr>
            </w:pPr>
            <w:r>
              <w:rPr>
                <w:rFonts w:hint="default"/>
              </w:rPr>
              <w:t>等级准确率</w:t>
            </w:r>
          </w:p>
        </w:tc>
        <w:tc>
          <w:tcPr>
            <w:tcW w:w="1250" w:type="pct"/>
            <w:tcBorders>
              <w:top w:val="single" w:color="000000" w:sz="12" w:space="0"/>
              <w:left w:val="nil"/>
              <w:bottom w:val="single" w:color="000000" w:sz="4" w:space="0"/>
              <w:right w:val="nil"/>
            </w:tcBorders>
            <w:shd w:val="clear" w:color="auto" w:fill="FFFFFF"/>
          </w:tcPr>
          <w:p w14:paraId="5C6A238E">
            <w:pPr>
              <w:pStyle w:val="54"/>
              <w:bidi w:val="0"/>
              <w:rPr>
                <w:rFonts w:hint="default"/>
              </w:rPr>
            </w:pPr>
            <w:r>
              <w:rPr>
                <w:rFonts w:hint="default"/>
              </w:rPr>
              <w:t>MAE</w:t>
            </w:r>
          </w:p>
        </w:tc>
      </w:tr>
      <w:tr w14:paraId="7A6C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000000" w:sz="4" w:space="0"/>
              <w:left w:val="nil"/>
              <w:bottom w:val="nil"/>
              <w:right w:val="nil"/>
            </w:tcBorders>
            <w:shd w:val="clear" w:color="auto" w:fill="FFFFFF"/>
            <w:vAlign w:val="top"/>
          </w:tcPr>
          <w:p>
            <w:r>
              <w:t>航空航天设施</w:t>
            </w:r>
          </w:p>
        </w:tc>
        <w:tc>
          <w:tcPr>
            <w:tcW w:w="2130" w:type="dxa"/>
            <w:tcBorders>
              <w:top w:val="single" w:color="000000" w:sz="4" w:space="0"/>
              <w:left w:val="nil"/>
              <w:bottom w:val="nil"/>
              <w:right w:val="nil"/>
            </w:tcBorders>
            <w:shd w:val="clear" w:color="auto" w:fill="FFFFFF"/>
            <w:vAlign w:val="top"/>
          </w:tcPr>
          <w:p>
            <w:r>
              <w:t>573</w:t>
            </w:r>
          </w:p>
        </w:tc>
        <w:tc>
          <w:tcPr>
            <w:tcW w:w="2130" w:type="dxa"/>
            <w:tcBorders>
              <w:top w:val="single" w:color="000000" w:sz="4" w:space="0"/>
              <w:left w:val="nil"/>
              <w:bottom w:val="nil"/>
              <w:right w:val="nil"/>
            </w:tcBorders>
            <w:shd w:val="clear" w:color="auto" w:fill="FFFFFF"/>
            <w:vAlign w:val="top"/>
          </w:tcPr>
          <w:p>
            <w:r>
              <w:t>96.6841%</w:t>
            </w:r>
          </w:p>
        </w:tc>
        <w:tc>
          <w:tcPr>
            <w:tcW w:w="2130" w:type="dxa"/>
            <w:tcBorders>
              <w:top w:val="single" w:color="000000" w:sz="4" w:space="0"/>
              <w:left w:val="nil"/>
              <w:bottom w:val="nil"/>
              <w:right w:val="nil"/>
            </w:tcBorders>
            <w:shd w:val="clear" w:color="auto" w:fill="FFFFFF"/>
            <w:vAlign w:val="top"/>
          </w:tcPr>
          <w:p>
            <w:r>
              <w:t>0.006149</w:t>
            </w:r>
          </w:p>
        </w:tc>
      </w:tr>
      <w:tr w14:paraId="4B22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shd w:val="clear" w:color="auto" w:fill="FFFFFF"/>
            <w:vAlign w:val="top"/>
          </w:tcPr>
          <w:p>
            <w:r>
              <w:t>机场机库设施</w:t>
            </w:r>
          </w:p>
        </w:tc>
        <w:tc>
          <w:tcPr>
            <w:tcW w:w="2130" w:type="dxa"/>
            <w:tcBorders>
              <w:top w:val="nil"/>
              <w:left w:val="nil"/>
              <w:bottom w:val="nil"/>
              <w:right w:val="nil"/>
            </w:tcBorders>
            <w:shd w:val="clear" w:color="auto" w:fill="FFFFFF"/>
            <w:vAlign w:val="top"/>
          </w:tcPr>
          <w:p>
            <w:r>
              <w:t>259</w:t>
            </w:r>
          </w:p>
        </w:tc>
        <w:tc>
          <w:tcPr>
            <w:tcW w:w="2130" w:type="dxa"/>
            <w:tcBorders>
              <w:top w:val="nil"/>
              <w:left w:val="nil"/>
              <w:bottom w:val="nil"/>
              <w:right w:val="nil"/>
            </w:tcBorders>
            <w:shd w:val="clear" w:color="auto" w:fill="FFFFFF"/>
            <w:vAlign w:val="top"/>
          </w:tcPr>
          <w:p>
            <w:r>
              <w:t>97.6834%</w:t>
            </w:r>
          </w:p>
        </w:tc>
        <w:tc>
          <w:tcPr>
            <w:tcW w:w="2130" w:type="dxa"/>
            <w:tcBorders>
              <w:top w:val="nil"/>
              <w:left w:val="nil"/>
              <w:bottom w:val="nil"/>
              <w:right w:val="nil"/>
            </w:tcBorders>
            <w:shd w:val="clear" w:color="auto" w:fill="FFFFFF"/>
            <w:vAlign w:val="top"/>
          </w:tcPr>
          <w:p>
            <w:r>
              <w:t>0.021730</w:t>
            </w:r>
          </w:p>
        </w:tc>
      </w:tr>
      <w:tr w14:paraId="06D5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tcBorders>
              <w:top w:val="nil"/>
              <w:left w:val="nil"/>
              <w:bottom w:val="single" w:color="000000" w:sz="12" w:space="0"/>
              <w:right w:val="nil"/>
            </w:tcBorders>
            <w:shd w:val="clear" w:color="auto" w:fill="FFFFFF"/>
            <w:vAlign w:val="top"/>
          </w:tcPr>
          <w:p>
            <w:r>
              <w:t>合计</w:t>
            </w:r>
          </w:p>
        </w:tc>
        <w:tc>
          <w:tcPr>
            <w:tcW w:w="2130" w:type="dxa"/>
            <w:tcBorders>
              <w:top w:val="nil"/>
              <w:left w:val="nil"/>
              <w:bottom w:val="single" w:color="000000" w:sz="12" w:space="0"/>
              <w:right w:val="nil"/>
            </w:tcBorders>
            <w:shd w:val="clear" w:color="auto" w:fill="FFFFFF"/>
            <w:vAlign w:val="top"/>
          </w:tcPr>
          <w:p>
            <w:r>
              <w:t>832</w:t>
            </w:r>
          </w:p>
        </w:tc>
        <w:tc>
          <w:tcPr>
            <w:tcW w:w="2130" w:type="dxa"/>
            <w:tcBorders>
              <w:top w:val="nil"/>
              <w:left w:val="nil"/>
              <w:bottom w:val="single" w:color="000000" w:sz="12" w:space="0"/>
              <w:right w:val="nil"/>
            </w:tcBorders>
            <w:shd w:val="clear" w:color="auto" w:fill="FFFFFF"/>
            <w:vAlign w:val="top"/>
          </w:tcPr>
          <w:p>
            <w:r>
              <w:t>96.9952%</w:t>
            </w:r>
          </w:p>
        </w:tc>
        <w:tc>
          <w:tcPr>
            <w:tcW w:w="2130" w:type="dxa"/>
            <w:tcBorders>
              <w:top w:val="nil"/>
              <w:left w:val="nil"/>
              <w:bottom w:val="single" w:color="000000" w:sz="12" w:space="0"/>
              <w:right w:val="nil"/>
            </w:tcBorders>
            <w:shd w:val="clear" w:color="auto" w:fill="FFFFFF"/>
            <w:vAlign w:val="top"/>
          </w:tcPr>
          <w:p>
            <w:r>
              <w:t>0.010999</w:t>
            </w:r>
          </w:p>
        </w:tc>
      </w:tr>
    </w:tbl>
    <w:p w14:paraId="5662D1E4">
      <w:pPr>
        <w:rPr>
          <w:rFonts w:hint="default" w:ascii="Times New Roman" w:hAnsi="Times New Roman" w:cs="Times New Roman"/>
          <w:lang w:val="en-US" w:eastAsia="zh-CN"/>
        </w:rPr>
      </w:pPr>
      <w:r>
        <w:rPr>
          <w:rFonts w:hint="default" w:ascii="Times New Roman" w:hAnsi="Times New Roman" w:cs="Times New Roman"/>
          <w:lang w:val="en-US" w:eastAsia="zh-CN"/>
        </w:rPr>
        <w:t>在同一评价口径下，独立测试合计准确率为 96.9952%，高于 95% 目标。两个子类的独立测试准确率分别为 96.6841%和 97.6834%，说明逐设施模型同时适用于航空航天设施和机场机库设施。</w:t>
      </w:r>
    </w:p>
    <w:p w14:paraId="082F665A">
      <w:pPr>
        <w:rPr>
          <w:rFonts w:hint="default" w:ascii="Times New Roman" w:hAnsi="Times New Roman" w:cs="Times New Roman"/>
        </w:rPr>
      </w:pPr>
      <w:r>
        <w:rPr>
          <w:rFonts w:hint="default" w:ascii="Times New Roman" w:hAnsi="Times New Roman" w:cs="Times New Roman"/>
        </w:rPr>
        <w:br w:type="page"/>
      </w:r>
    </w:p>
    <w:p w14:paraId="5B9CF09A">
      <w:pPr>
        <w:pStyle w:val="2"/>
        <w:rPr>
          <w:rFonts w:hint="default" w:ascii="Times New Roman" w:hAnsi="Times New Roman" w:cs="Times New Roman"/>
        </w:rPr>
      </w:pPr>
      <w:bookmarkStart w:id="27" w:name="_Toc28485"/>
      <w:r>
        <w:rPr>
          <w:rFonts w:hint="default" w:ascii="Times New Roman" w:hAnsi="Times New Roman" w:cs="Times New Roman"/>
        </w:rPr>
        <w:t>仿真程序集成与界面展示</w:t>
      </w:r>
      <w:bookmarkEnd w:id="27"/>
    </w:p>
    <w:p w14:paraId="6F8425C0">
      <w:pPr>
        <w:rPr>
          <w:rFonts w:hint="default" w:ascii="Times New Roman" w:hAnsi="Times New Roman" w:cs="Times New Roman"/>
        </w:rPr>
      </w:pPr>
      <w:r>
        <w:rPr>
          <w:rFonts w:hint="default" w:ascii="Times New Roman" w:hAnsi="Times New Roman" w:cs="Times New Roman"/>
        </w:rPr>
        <w:t>代理模型已完整集成至仿真程序系统中，实现了从热辐射参数输入到</w:t>
      </w:r>
      <w:r>
        <w:rPr>
          <w:rFonts w:hint="default" w:ascii="Times New Roman" w:hAnsi="Times New Roman" w:cs="Times New Roman"/>
          <w:lang w:eastAsia="zh-CN"/>
        </w:rPr>
        <w:t>HS</w:t>
      </w:r>
      <w:r>
        <w:rPr>
          <w:rFonts w:hint="default" w:ascii="Times New Roman" w:hAnsi="Times New Roman" w:cs="Times New Roman"/>
        </w:rPr>
        <w:t>评估结果输出的全流程自动化。本章介绍系统集成架构、快速计算仿真链路和工程预测界面说明。</w:t>
      </w:r>
    </w:p>
    <w:p w14:paraId="08829230">
      <w:pPr>
        <w:pStyle w:val="3"/>
        <w:rPr>
          <w:rFonts w:hint="default" w:ascii="Times New Roman" w:hAnsi="Times New Roman" w:cs="Times New Roman"/>
        </w:rPr>
      </w:pPr>
      <w:bookmarkStart w:id="28" w:name="_Toc18977"/>
      <w:r>
        <w:rPr>
          <w:rFonts w:hint="default" w:ascii="Times New Roman" w:hAnsi="Times New Roman" w:cs="Times New Roman"/>
        </w:rPr>
        <w:t>系统集成架构</w:t>
      </w:r>
      <w:bookmarkEnd w:id="28"/>
    </w:p>
    <w:p w14:paraId="5D71D1D1">
      <w:pPr>
        <w:rPr>
          <w:rFonts w:hint="default" w:ascii="Times New Roman" w:hAnsi="Times New Roman" w:cs="Times New Roman"/>
        </w:rPr>
      </w:pPr>
      <w:r>
        <w:rPr>
          <w:rFonts w:hint="default" w:ascii="Times New Roman" w:hAnsi="Times New Roman" w:cs="Times New Roman"/>
        </w:rPr>
        <w:t>代理模型已经集成到仿真程序的工程快速预测功能中。用户完成设施选择并设置热辐射方位角、俯仰角、热通量和持续时间后，程序自动读取当前设施的建筑、开口、可燃物与敏感目标信息，形成模型输入，并完成连续 Dk 与四级HS结果计算。</w:t>
      </w:r>
    </w:p>
    <w:p w14:paraId="44A74466">
      <w:pPr>
        <w:rPr>
          <w:rFonts w:hint="default" w:ascii="Times New Roman" w:hAnsi="Times New Roman" w:cs="Times New Roman"/>
        </w:rPr>
      </w:pPr>
      <w:r>
        <w:rPr>
          <w:rFonts w:hint="default" w:ascii="Times New Roman" w:hAnsi="Times New Roman" w:cs="Times New Roman"/>
        </w:rPr>
        <w:t>预测结果界面以设施名称和本次热源工况为基础信息，突出显示设施整体毁伤等级，同时显示本次模型加载和推理耗时。热源参数区分别显示方位角、俯仰角、目标热通量和持续时间。程序在预测过程中显示加载状态；首次模型加载通常为数秒，后续预测受缓存影响会明显加快。</w:t>
      </w:r>
      <w:r/>
    </w:p>
    <w:p w14:paraId="4C53DD50">
      <w:pPr>
        <w:rPr>
          <w:rFonts w:hint="default" w:ascii="Times New Roman" w:hAnsi="Times New Roman" w:cs="Times New Roman"/>
        </w:rPr>
      </w:pPr>
    </w:p>
    <w:p w14:paraId="7EA19CC6">
      <w:pPr>
        <w:pStyle w:val="3"/>
        <w:rPr>
          <w:rFonts w:hint="default" w:ascii="Times New Roman" w:hAnsi="Times New Roman" w:cs="Times New Roman"/>
        </w:rPr>
      </w:pPr>
      <w:bookmarkStart w:id="29" w:name="_Toc12465"/>
      <w:r>
        <w:rPr>
          <w:rFonts w:hint="default" w:ascii="Times New Roman" w:hAnsi="Times New Roman" w:cs="Times New Roman"/>
          <w:lang w:val="en-US" w:eastAsia="zh-CN"/>
        </w:rPr>
        <w:t>程序操作流程</w:t>
      </w:r>
      <w:bookmarkEnd w:id="29"/>
    </w:p>
    <w:p w14:paraId="13CC3715">
      <w:pPr>
        <w:pStyle w:val="16"/>
        <w:rPr>
          <w:rFonts w:hint="default" w:ascii="Times New Roman" w:hAnsi="Times New Roman" w:eastAsia="宋体" w:cs="Times New Roman"/>
          <w:lang w:val="en-US"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rPr>
        <w:t>工程快速预测操作流程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3228"/>
        <w:gridCol w:w="3570"/>
      </w:tblGrid>
      <w:tr w14:paraId="4FEA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single" w:color="000000" w:sz="12" w:space="0"/>
              <w:left w:val="nil"/>
              <w:bottom w:val="single" w:color="000000" w:sz="4" w:space="0"/>
              <w:right w:val="nil"/>
              <w:tl2br w:val="nil"/>
            </w:tcBorders>
            <w:shd w:val="clear" w:color="auto" w:fill="FFFFFF"/>
          </w:tcPr>
          <w:p w14:paraId="4443D8BD">
            <w:pPr>
              <w:pStyle w:val="54"/>
              <w:bidi w:val="0"/>
              <w:rPr>
                <w:rFonts w:hint="default" w:ascii="Times New Roman" w:hAnsi="Times New Roman" w:cs="Times New Roman"/>
                <w:b w:val="0"/>
              </w:rPr>
            </w:pPr>
            <w:r>
              <w:rPr>
                <w:rFonts w:hint="default" w:ascii="Times New Roman" w:hAnsi="Times New Roman" w:cs="Times New Roman"/>
                <w:b w:val="0"/>
              </w:rPr>
              <w:t>阶段</w:t>
            </w:r>
          </w:p>
        </w:tc>
        <w:tc>
          <w:tcPr>
            <w:tcW w:w="3228" w:type="dxa"/>
            <w:tcBorders>
              <w:top w:val="single" w:color="000000" w:sz="12" w:space="0"/>
              <w:left w:val="nil"/>
              <w:bottom w:val="single" w:color="000000" w:sz="4" w:space="0"/>
              <w:right w:val="nil"/>
            </w:tcBorders>
            <w:shd w:val="clear" w:color="auto" w:fill="FFFFFF"/>
          </w:tcPr>
          <w:p w14:paraId="431F84D3">
            <w:pPr>
              <w:pStyle w:val="54"/>
              <w:bidi w:val="0"/>
              <w:rPr>
                <w:rFonts w:hint="default" w:ascii="Times New Roman" w:hAnsi="Times New Roman" w:cs="Times New Roman"/>
                <w:b w:val="0"/>
              </w:rPr>
            </w:pPr>
            <w:r>
              <w:rPr>
                <w:rFonts w:hint="default" w:ascii="Times New Roman" w:hAnsi="Times New Roman" w:cs="Times New Roman"/>
                <w:b w:val="0"/>
              </w:rPr>
              <w:t>程序操作</w:t>
            </w:r>
          </w:p>
        </w:tc>
        <w:tc>
          <w:tcPr>
            <w:tcW w:w="3570" w:type="dxa"/>
            <w:tcBorders>
              <w:top w:val="single" w:color="000000" w:sz="12" w:space="0"/>
              <w:left w:val="nil"/>
              <w:bottom w:val="single" w:color="000000" w:sz="4" w:space="0"/>
              <w:right w:val="nil"/>
            </w:tcBorders>
            <w:shd w:val="clear" w:color="auto" w:fill="FFFFFF"/>
          </w:tcPr>
          <w:p w14:paraId="7865B672">
            <w:pPr>
              <w:pStyle w:val="54"/>
              <w:bidi w:val="0"/>
              <w:rPr>
                <w:rFonts w:hint="default" w:ascii="Times New Roman" w:hAnsi="Times New Roman" w:cs="Times New Roman"/>
                <w:b w:val="0"/>
              </w:rPr>
            </w:pPr>
            <w:r>
              <w:rPr>
                <w:rFonts w:hint="default" w:ascii="Times New Roman" w:hAnsi="Times New Roman" w:cs="Times New Roman"/>
                <w:b w:val="0"/>
              </w:rPr>
              <w:t>输出内容</w:t>
            </w:r>
          </w:p>
        </w:tc>
      </w:tr>
      <w:tr w14:paraId="2E85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single" w:color="000000" w:sz="4" w:space="0"/>
              <w:left w:val="nil"/>
              <w:bottom w:val="nil"/>
              <w:right w:val="nil"/>
            </w:tcBorders>
            <w:shd w:val="clear" w:color="auto" w:fill="FFFFFF"/>
          </w:tcPr>
          <w:p w14:paraId="7297D0C5">
            <w:pPr>
              <w:pStyle w:val="54"/>
              <w:bidi w:val="0"/>
              <w:rPr>
                <w:rFonts w:hint="default" w:ascii="Times New Roman" w:hAnsi="Times New Roman" w:cs="Times New Roman"/>
                <w:b w:val="0"/>
              </w:rPr>
            </w:pPr>
            <w:r>
              <w:rPr>
                <w:rFonts w:hint="default" w:ascii="Times New Roman" w:hAnsi="Times New Roman" w:cs="Times New Roman"/>
                <w:b w:val="0"/>
              </w:rPr>
              <w:t>1</w:t>
            </w:r>
          </w:p>
        </w:tc>
        <w:tc>
          <w:tcPr>
            <w:tcW w:w="3228" w:type="dxa"/>
            <w:tcBorders>
              <w:top w:val="single" w:color="000000" w:sz="4" w:space="0"/>
              <w:left w:val="nil"/>
              <w:bottom w:val="nil"/>
              <w:right w:val="nil"/>
            </w:tcBorders>
            <w:shd w:val="clear" w:color="auto" w:fill="FFFFFF"/>
          </w:tcPr>
          <w:p w14:paraId="0A5DE214">
            <w:pPr>
              <w:pStyle w:val="54"/>
              <w:bidi w:val="0"/>
              <w:rPr>
                <w:rFonts w:hint="default" w:ascii="Times New Roman" w:hAnsi="Times New Roman" w:cs="Times New Roman"/>
                <w:b w:val="0"/>
              </w:rPr>
            </w:pPr>
            <w:r>
              <w:rPr>
                <w:rFonts w:hint="default" w:ascii="Times New Roman" w:hAnsi="Times New Roman" w:cs="Times New Roman"/>
                <w:b w:val="0"/>
              </w:rPr>
              <w:t>选择航空航天设施或机场机库及规模</w:t>
            </w:r>
          </w:p>
        </w:tc>
        <w:tc>
          <w:tcPr>
            <w:tcW w:w="3570" w:type="dxa"/>
            <w:tcBorders>
              <w:top w:val="single" w:color="000000" w:sz="4" w:space="0"/>
              <w:left w:val="nil"/>
              <w:bottom w:val="nil"/>
              <w:right w:val="nil"/>
            </w:tcBorders>
            <w:shd w:val="clear" w:color="auto" w:fill="FFFFFF"/>
          </w:tcPr>
          <w:p w14:paraId="2F82A5B4">
            <w:pPr>
              <w:pStyle w:val="54"/>
              <w:bidi w:val="0"/>
              <w:rPr>
                <w:rFonts w:hint="default" w:ascii="Times New Roman" w:hAnsi="Times New Roman" w:cs="Times New Roman"/>
                <w:b w:val="0"/>
              </w:rPr>
            </w:pPr>
            <w:r>
              <w:rPr>
                <w:rFonts w:hint="default" w:ascii="Times New Roman" w:hAnsi="Times New Roman" w:cs="Times New Roman"/>
                <w:b w:val="0"/>
              </w:rPr>
              <w:t>确定设施类别、建筑和目标参数</w:t>
            </w:r>
          </w:p>
        </w:tc>
      </w:tr>
      <w:tr w14:paraId="2126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nil"/>
              <w:right w:val="nil"/>
            </w:tcBorders>
            <w:shd w:val="clear" w:color="auto" w:fill="FFFFFF"/>
          </w:tcPr>
          <w:p w14:paraId="0DE3487A">
            <w:pPr>
              <w:pStyle w:val="54"/>
              <w:bidi w:val="0"/>
              <w:rPr>
                <w:rFonts w:hint="default" w:ascii="Times New Roman" w:hAnsi="Times New Roman" w:cs="Times New Roman"/>
                <w:b w:val="0"/>
              </w:rPr>
            </w:pPr>
            <w:r>
              <w:rPr>
                <w:rFonts w:hint="default" w:ascii="Times New Roman" w:hAnsi="Times New Roman" w:cs="Times New Roman"/>
                <w:b w:val="0"/>
              </w:rPr>
              <w:t>2</w:t>
            </w:r>
          </w:p>
        </w:tc>
        <w:tc>
          <w:tcPr>
            <w:tcW w:w="3228" w:type="dxa"/>
            <w:tcBorders>
              <w:top w:val="nil"/>
              <w:left w:val="nil"/>
              <w:bottom w:val="nil"/>
              <w:right w:val="nil"/>
            </w:tcBorders>
            <w:shd w:val="clear" w:color="auto" w:fill="FFFFFF"/>
          </w:tcPr>
          <w:p w14:paraId="6700674B">
            <w:pPr>
              <w:pStyle w:val="54"/>
              <w:bidi w:val="0"/>
              <w:rPr>
                <w:rFonts w:hint="default" w:ascii="Times New Roman" w:hAnsi="Times New Roman" w:cs="Times New Roman"/>
                <w:b w:val="0"/>
              </w:rPr>
            </w:pPr>
            <w:r>
              <w:rPr>
                <w:rFonts w:hint="default" w:ascii="Times New Roman" w:hAnsi="Times New Roman" w:cs="Times New Roman"/>
                <w:b w:val="0"/>
              </w:rPr>
              <w:t>输入热辐射参数</w:t>
            </w:r>
          </w:p>
        </w:tc>
        <w:tc>
          <w:tcPr>
            <w:tcW w:w="3570" w:type="dxa"/>
            <w:tcBorders>
              <w:top w:val="nil"/>
              <w:left w:val="nil"/>
              <w:bottom w:val="nil"/>
              <w:right w:val="nil"/>
            </w:tcBorders>
            <w:shd w:val="clear" w:color="auto" w:fill="FFFFFF"/>
          </w:tcPr>
          <w:p w14:paraId="6BE70E0F">
            <w:pPr>
              <w:pStyle w:val="54"/>
              <w:bidi w:val="0"/>
              <w:rPr>
                <w:rFonts w:hint="default" w:ascii="Times New Roman" w:hAnsi="Times New Roman" w:cs="Times New Roman"/>
                <w:b w:val="0"/>
              </w:rPr>
            </w:pPr>
            <w:r>
              <w:rPr>
                <w:rFonts w:hint="default" w:ascii="Times New Roman" w:hAnsi="Times New Roman" w:cs="Times New Roman"/>
                <w:b w:val="0"/>
              </w:rPr>
              <w:t>方位角、俯仰角、热通量、持续时间</w:t>
            </w:r>
          </w:p>
        </w:tc>
      </w:tr>
      <w:tr w14:paraId="03B0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9" w:type="dxa"/>
            <w:tcBorders>
              <w:top w:val="nil"/>
              <w:left w:val="nil"/>
              <w:bottom w:val="nil"/>
              <w:right w:val="nil"/>
            </w:tcBorders>
            <w:shd w:val="clear" w:color="auto" w:fill="FFFFFF"/>
          </w:tcPr>
          <w:p w14:paraId="6905920F">
            <w:pPr>
              <w:pStyle w:val="54"/>
              <w:bidi w:val="0"/>
              <w:rPr>
                <w:rFonts w:hint="default" w:ascii="Times New Roman" w:hAnsi="Times New Roman" w:cs="Times New Roman"/>
                <w:b w:val="0"/>
              </w:rPr>
            </w:pPr>
            <w:r>
              <w:rPr>
                <w:rFonts w:hint="default" w:ascii="Times New Roman" w:hAnsi="Times New Roman" w:cs="Times New Roman"/>
                <w:b w:val="0"/>
              </w:rPr>
              <w:t>3</w:t>
            </w:r>
          </w:p>
        </w:tc>
        <w:tc>
          <w:tcPr>
            <w:tcW w:w="3228" w:type="dxa"/>
            <w:tcBorders>
              <w:top w:val="nil"/>
              <w:left w:val="nil"/>
              <w:bottom w:val="nil"/>
              <w:right w:val="nil"/>
            </w:tcBorders>
            <w:shd w:val="clear" w:color="auto" w:fill="FFFFFF"/>
            <w:vAlign w:val="top"/>
          </w:tcPr>
          <w:p w14:paraId="07DD163A">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自动生成模型参数</w:t>
            </w:r>
          </w:p>
        </w:tc>
        <w:tc>
          <w:tcPr>
            <w:tcW w:w="3570" w:type="dxa"/>
            <w:tcBorders>
              <w:top w:val="nil"/>
              <w:left w:val="nil"/>
              <w:bottom w:val="nil"/>
              <w:right w:val="nil"/>
            </w:tcBorders>
            <w:shd w:val="clear" w:color="auto" w:fill="FFFFFF"/>
            <w:vAlign w:val="top"/>
          </w:tcPr>
          <w:p w14:paraId="7212CF1B">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热源、建筑（含设施类别）、可燃物与敏感目标特征</w:t>
            </w:r>
          </w:p>
        </w:tc>
      </w:tr>
      <w:tr w14:paraId="4CFA2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nil"/>
              <w:right w:val="nil"/>
            </w:tcBorders>
            <w:shd w:val="clear" w:color="auto" w:fill="FFFFFF"/>
          </w:tcPr>
          <w:p w14:paraId="3EFDB448">
            <w:pPr>
              <w:pStyle w:val="54"/>
              <w:bidi w:val="0"/>
              <w:rPr>
                <w:rFonts w:hint="default" w:ascii="Times New Roman" w:hAnsi="Times New Roman" w:cs="Times New Roman"/>
                <w:b w:val="0"/>
              </w:rPr>
            </w:pPr>
            <w:r>
              <w:rPr>
                <w:rFonts w:hint="default" w:ascii="Times New Roman" w:hAnsi="Times New Roman" w:cs="Times New Roman"/>
                <w:b w:val="0"/>
              </w:rPr>
              <w:t>4</w:t>
            </w:r>
          </w:p>
        </w:tc>
        <w:tc>
          <w:tcPr>
            <w:tcW w:w="3228" w:type="dxa"/>
            <w:tcBorders>
              <w:top w:val="nil"/>
              <w:left w:val="nil"/>
              <w:bottom w:val="nil"/>
              <w:right w:val="nil"/>
            </w:tcBorders>
            <w:shd w:val="clear" w:color="auto" w:fill="FFFFFF"/>
            <w:vAlign w:val="top"/>
          </w:tcPr>
          <w:p w14:paraId="553D0E48">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执行代理模型</w:t>
            </w:r>
            <w:r>
              <w:rPr>
                <w:rFonts w:hint="eastAsia" w:ascii="Times New Roman" w:hAnsi="Times New Roman" w:cs="Times New Roman"/>
                <w:b w:val="0"/>
                <w:lang w:val="en-US" w:eastAsia="zh-CN"/>
              </w:rPr>
              <w:t>计算</w:t>
            </w:r>
          </w:p>
        </w:tc>
        <w:tc>
          <w:tcPr>
            <w:tcW w:w="3570" w:type="dxa"/>
            <w:tcBorders>
              <w:top w:val="nil"/>
              <w:left w:val="nil"/>
              <w:bottom w:val="nil"/>
              <w:right w:val="nil"/>
            </w:tcBorders>
            <w:shd w:val="clear" w:color="auto" w:fill="FFFFFF"/>
            <w:vAlign w:val="top"/>
          </w:tcPr>
          <w:p w14:paraId="1747060B">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输出 Dk 和等级</w:t>
            </w:r>
          </w:p>
        </w:tc>
      </w:tr>
      <w:tr w14:paraId="42FF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single" w:color="000000" w:sz="12" w:space="0"/>
              <w:right w:val="nil"/>
            </w:tcBorders>
            <w:shd w:val="clear" w:color="auto" w:fill="FFFFFF"/>
          </w:tcPr>
          <w:p w14:paraId="750424C5">
            <w:pPr>
              <w:pStyle w:val="54"/>
              <w:bidi w:val="0"/>
              <w:rPr>
                <w:rFonts w:hint="default" w:ascii="Times New Roman" w:hAnsi="Times New Roman" w:cs="Times New Roman"/>
                <w:b w:val="0"/>
              </w:rPr>
            </w:pPr>
            <w:r>
              <w:rPr>
                <w:rFonts w:hint="default" w:ascii="Times New Roman" w:hAnsi="Times New Roman" w:cs="Times New Roman"/>
                <w:b w:val="0"/>
              </w:rPr>
              <w:t>5</w:t>
            </w:r>
          </w:p>
        </w:tc>
        <w:tc>
          <w:tcPr>
            <w:tcW w:w="3228" w:type="dxa"/>
            <w:tcBorders>
              <w:top w:val="nil"/>
              <w:left w:val="nil"/>
              <w:bottom w:val="single" w:color="000000" w:sz="12" w:space="0"/>
              <w:right w:val="nil"/>
            </w:tcBorders>
            <w:shd w:val="clear" w:color="auto" w:fill="FFFFFF"/>
            <w:vAlign w:val="top"/>
          </w:tcPr>
          <w:p w14:paraId="549E7406">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展示并保存结果</w:t>
            </w:r>
          </w:p>
        </w:tc>
        <w:tc>
          <w:tcPr>
            <w:tcW w:w="3570" w:type="dxa"/>
            <w:tcBorders>
              <w:top w:val="nil"/>
              <w:left w:val="nil"/>
              <w:bottom w:val="single" w:color="000000" w:sz="12" w:space="0"/>
              <w:right w:val="nil"/>
            </w:tcBorders>
            <w:shd w:val="clear" w:color="auto" w:fill="FFFFFF"/>
            <w:vAlign w:val="top"/>
          </w:tcPr>
          <w:p w14:paraId="08B5A794">
            <w:pPr>
              <w:pStyle w:val="54"/>
              <w:bidi w:val="0"/>
              <w:ind w:firstLine="0" w:firstLineChars="0"/>
              <w:rPr>
                <w:rFonts w:hint="default" w:ascii="Times New Roman" w:hAnsi="Times New Roman" w:cs="Times New Roman"/>
                <w:b w:val="0"/>
              </w:rPr>
            </w:pPr>
            <w:r>
              <w:rPr>
                <w:rFonts w:hint="default" w:ascii="Times New Roman" w:hAnsi="Times New Roman" w:cs="Times New Roman"/>
                <w:b w:val="0"/>
                <w:lang w:eastAsia="zh-CN"/>
              </w:rPr>
              <w:t>HS</w:t>
            </w:r>
            <w:r>
              <w:rPr>
                <w:rFonts w:hint="default" w:ascii="Times New Roman" w:hAnsi="Times New Roman" w:cs="Times New Roman"/>
                <w:b w:val="0"/>
              </w:rPr>
              <w:t>等级、Dk、工况参数和计算信息</w:t>
            </w:r>
          </w:p>
        </w:tc>
      </w:tr>
    </w:tbl>
    <w:p w14:paraId="21C239FE">
      <w:pPr>
        <w:rPr>
          <w:rFonts w:hint="default" w:ascii="Times New Roman" w:hAnsi="Times New Roman" w:cs="Times New Roman"/>
        </w:rPr>
      </w:pPr>
      <w:r>
        <w:rPr>
          <w:rFonts w:hint="default" w:ascii="Times New Roman" w:hAnsi="Times New Roman" w:cs="Times New Roman"/>
        </w:rPr>
        <w:t>程序集成使单个热辐射工况能够快速完成设施级HS判断，并保持与离线模型评价和阈值图谱相同的参数定义。该功能适合用于批量工况初筛、重点方向识别和精细仿真方案准备。</w:t>
      </w:r>
    </w:p>
    <w:p w14:paraId="378E76CB">
      <w:pPr>
        <w:pStyle w:val="54"/>
        <w:bidi w:val="0"/>
        <w:rPr>
          <w:rFonts w:hint="default"/>
        </w:rPr>
      </w:pPr>
      <w:r>
        <w:drawing>
          <wp:inline distT="0" distB="0" distL="114300" distR="114300">
            <wp:extent cx="2512695" cy="2160270"/>
            <wp:effectExtent l="0" t="0" r="190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2512695" cy="2160270"/>
                    </a:xfrm>
                    <a:prstGeom prst="rect">
                      <a:avLst/>
                    </a:prstGeom>
                    <a:noFill/>
                    <a:ln>
                      <a:noFill/>
                    </a:ln>
                  </pic:spPr>
                </pic:pic>
              </a:graphicData>
            </a:graphic>
          </wp:inline>
        </w:drawing>
      </w:r>
      <w:r>
        <w:drawing>
          <wp:inline distT="0" distB="0" distL="114300" distR="114300">
            <wp:extent cx="2475865" cy="2160270"/>
            <wp:effectExtent l="0" t="0" r="635" b="1143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9"/>
                    <a:stretch>
                      <a:fillRect/>
                    </a:stretch>
                  </pic:blipFill>
                  <pic:spPr>
                    <a:xfrm>
                      <a:off x="0" y="0"/>
                      <a:ext cx="2475865" cy="2160270"/>
                    </a:xfrm>
                    <a:prstGeom prst="rect">
                      <a:avLst/>
                    </a:prstGeom>
                    <a:noFill/>
                    <a:ln>
                      <a:noFill/>
                    </a:ln>
                  </pic:spPr>
                </pic:pic>
              </a:graphicData>
            </a:graphic>
          </wp:inline>
        </w:drawing>
      </w:r>
    </w:p>
    <w:p w14:paraId="3D30E34A">
      <w:pPr>
        <w:pStyle w:val="16"/>
        <w:bidi w:val="0"/>
        <w:rPr>
          <w:rFonts w:hint="default" w:ascii="Times New Roman" w:hAnsi="Times New Roman" w:cs="Times New Roma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rPr>
        <w:t>工程预测结果界面截图</w:t>
      </w:r>
    </w:p>
    <w:p w14:paraId="07EBB1BC">
      <w:pPr>
        <w:rPr>
          <w:rFonts w:hint="default" w:ascii="Times New Roman" w:hAnsi="Times New Roman" w:cs="Times New Roman"/>
        </w:rPr>
      </w:pPr>
    </w:p>
    <w:p w14:paraId="6F285223">
      <w:pPr>
        <w:rPr>
          <w:rFonts w:hint="default" w:ascii="Times New Roman" w:hAnsi="Times New Roman" w:cs="Times New Roman"/>
        </w:rPr>
      </w:pPr>
      <w:r>
        <w:rPr>
          <w:rFonts w:hint="default" w:ascii="Times New Roman" w:hAnsi="Times New Roman" w:cs="Times New Roman"/>
        </w:rPr>
        <w:br w:type="page"/>
      </w:r>
    </w:p>
    <w:p w14:paraId="355DE51E">
      <w:pPr>
        <w:pStyle w:val="2"/>
        <w:rPr>
          <w:rFonts w:hint="default" w:ascii="Times New Roman" w:hAnsi="Times New Roman" w:cs="Times New Roman"/>
        </w:rPr>
      </w:pPr>
      <w:bookmarkStart w:id="30" w:name="_Toc8777"/>
      <w:r>
        <w:rPr>
          <w:rFonts w:hint="default" w:ascii="Times New Roman" w:hAnsi="Times New Roman" w:cs="Times New Roman"/>
        </w:rPr>
        <w:t>总结</w:t>
      </w:r>
      <w:bookmarkEnd w:id="30"/>
    </w:p>
    <w:p w14:paraId="70FBA5AB">
      <w:pPr>
        <w:rPr>
          <w:rFonts w:hint="default" w:ascii="Times New Roman" w:hAnsi="Times New Roman" w:cs="Times New Roman"/>
        </w:rPr>
      </w:pPr>
      <w:r>
        <w:rPr>
          <w:rFonts w:hint="default" w:ascii="Times New Roman" w:hAnsi="Times New Roman" w:cs="Times New Roman"/>
        </w:rPr>
        <w:t>本研究建立了覆盖航空航天设施与机场机库设施的 FDS 数据驱动工程预测方法。合格数据覆盖 21 个设施、4123 条热辐射工况，其中航空航天设施 15 个、2838 条，机场机库设施 6 个、1285 条，并与其他设施数据共同构成 6558 条合格训练样本。模型以热源工况特征与设施构型及目标特征为输入，能够综合表达热通量、持续时间、受热方向、建筑尺度、开口条件和高价值目标分布对设施级 Dk 的影响。</w:t>
      </w:r>
    </w:p>
    <w:p w14:paraId="6BB34CF7">
      <w:pPr>
        <w:rPr>
          <w:rFonts w:hint="default" w:ascii="Times New Roman" w:hAnsi="Times New Roman" w:cs="Times New Roman"/>
        </w:rPr>
      </w:pPr>
      <w:r>
        <w:rPr>
          <w:rFonts w:hint="default" w:ascii="Times New Roman" w:hAnsi="Times New Roman" w:cs="Times New Roman"/>
        </w:rPr>
        <w:t>等级约束 ExtraTrees 模型采用 50 棵回归树和 50 棵分类树，同时输出连续 Dk 和四级毁伤结果。综合五折等级准确率为 95.9591%，独立测试等级准确率为 97.2075%。航空航天与机场机库子集独立测试准确率为 96.9952%；航空航天子类和机场机库子类独立测试准确率分别为 96.6841%和 97.6834%，均高于 95% 目标。</w:t>
      </w:r>
    </w:p>
    <w:p w14:paraId="785C3A47">
      <w:pPr>
        <w:rPr>
          <w:rFonts w:hint="default" w:ascii="Times New Roman" w:hAnsi="Times New Roman" w:cs="Times New Roman"/>
        </w:rPr>
      </w:pPr>
      <w:r>
        <w:rPr>
          <w:rFonts w:hint="default" w:ascii="Times New Roman" w:hAnsi="Times New Roman" w:cs="Times New Roman"/>
        </w:rPr>
        <w:t>专项因素分析表明，方位角与热通量、俯仰角、热剂量和迎火侧开口条件共同决定等级响应的总体位置与方向差异。机场机库大跨度空间、机库门和航空器目标集中布置形成了区别于发射、控制、处理和总装设施的方向响应。不同设施在不同方向和工况下的毁伤差异，能够支持重点方向识别和代表性 FDS 工况选择。</w:t>
      </w:r>
    </w:p>
    <w:p w14:paraId="661C7124">
      <w:pPr>
        <w:rPr>
          <w:rFonts w:hint="default" w:ascii="Times New Roman" w:hAnsi="Times New Roman" w:cs="Times New Roman"/>
        </w:rPr>
      </w:pPr>
      <w:r>
        <w:rPr>
          <w:rFonts w:hint="default" w:ascii="Times New Roman" w:hAnsi="Times New Roman" w:cs="Times New Roman"/>
        </w:rPr>
        <w:br w:type="page"/>
      </w:r>
    </w:p>
    <w:p w14:paraId="6E288D13">
      <w:pPr>
        <w:rPr>
          <w:rFonts w:hint="default" w:ascii="Times New Roman" w:hAnsi="Times New Roman" w:cs="Times New Roman"/>
        </w:rPr>
      </w:pPr>
    </w:p>
    <w:p w14:paraId="78D2F8F3">
      <w:pPr>
        <w:pStyle w:val="28"/>
        <w:tabs>
          <w:tab w:val="right" w:leader="dot" w:pos="8296"/>
        </w:tabs>
        <w:ind w:left="566" w:leftChars="-1" w:hanging="568" w:hangingChars="202"/>
        <w:jc w:val="center"/>
        <w:outlineLvl w:val="0"/>
        <w:rPr>
          <w:rFonts w:hint="default" w:ascii="Times New Roman" w:hAnsi="Times New Roman" w:eastAsia="仿宋" w:cs="Times New Roman"/>
          <w:sz w:val="28"/>
          <w:szCs w:val="28"/>
        </w:rPr>
      </w:pPr>
      <w:bookmarkStart w:id="31" w:name="_Toc32156"/>
      <w:r>
        <w:rPr>
          <w:rStyle w:val="23"/>
          <w:rFonts w:hint="default" w:ascii="Times New Roman" w:hAnsi="Times New Roman" w:eastAsia="宋体" w:cs="Times New Roman"/>
          <w:b/>
          <w:sz w:val="28"/>
          <w:szCs w:val="28"/>
          <w:lang w:val="en-US" w:eastAsia="zh-CN"/>
        </w:rPr>
        <w:t>参考文献</w:t>
      </w:r>
      <w:bookmarkEnd w:id="22"/>
      <w:bookmarkEnd w:id="31"/>
    </w:p>
    <w:p w14:paraId="30B3EC59">
      <w:pPr>
        <w:pStyle w:val="56"/>
        <w:bidi w:val="0"/>
        <w:rPr>
          <w:rFonts w:hint="default" w:ascii="Times New Roman" w:hAnsi="Times New Roman" w:cs="Times New Roman"/>
        </w:rPr>
      </w:pPr>
      <w:r>
        <w:rPr>
          <w:rFonts w:hint="default" w:ascii="Times New Roman" w:hAnsi="Times New Roman" w:cs="Times New Roman"/>
        </w:rPr>
        <w:t>NASA. NASA-STD-6001B: Flammability, Odor, and Offgassing Requirements. NASA Technical Standard, 2016.</w:t>
      </w:r>
    </w:p>
    <w:p w14:paraId="08332493">
      <w:pPr>
        <w:pStyle w:val="56"/>
        <w:bidi w:val="0"/>
        <w:rPr>
          <w:rFonts w:hint="default" w:ascii="Times New Roman" w:hAnsi="Times New Roman" w:cs="Times New Roman"/>
        </w:rPr>
      </w:pPr>
      <w:r>
        <w:rPr>
          <w:rFonts w:hint="default" w:ascii="Times New Roman" w:hAnsi="Times New Roman" w:cs="Times New Roman"/>
        </w:rPr>
        <w:t>NASA. KSC Ground Systems Fire Protection Design Manual. Kennedy Space Center, 2020.</w:t>
      </w:r>
    </w:p>
    <w:p w14:paraId="439C4190">
      <w:pPr>
        <w:pStyle w:val="56"/>
        <w:bidi w:val="0"/>
        <w:rPr>
          <w:rFonts w:hint="default" w:ascii="Times New Roman" w:hAnsi="Times New Roman" w:cs="Times New Roman"/>
        </w:rPr>
      </w:pPr>
      <w:r>
        <w:rPr>
          <w:rFonts w:hint="default" w:ascii="Times New Roman" w:hAnsi="Times New Roman" w:cs="Times New Roman"/>
        </w:rPr>
        <w:t>NFPA 410. Standard on Aircraft Maintenance. National Fire Protection Association, 2021.</w:t>
      </w:r>
    </w:p>
    <w:p w14:paraId="145DEE18">
      <w:pPr>
        <w:pStyle w:val="56"/>
        <w:bidi w:val="0"/>
        <w:rPr>
          <w:rFonts w:hint="default" w:ascii="Times New Roman" w:hAnsi="Times New Roman" w:cs="Times New Roman"/>
        </w:rPr>
      </w:pPr>
      <w:r>
        <w:rPr>
          <w:rFonts w:hint="default" w:ascii="Times New Roman" w:hAnsi="Times New Roman" w:cs="Times New Roman"/>
        </w:rPr>
        <w:t>NFPA 75. Standard for the Fire Protection of Information Technology Equipment, 2020.</w:t>
      </w:r>
    </w:p>
    <w:p w14:paraId="40917673">
      <w:pPr>
        <w:pStyle w:val="56"/>
        <w:bidi w:val="0"/>
        <w:rPr>
          <w:rFonts w:hint="default" w:ascii="Times New Roman" w:hAnsi="Times New Roman" w:cs="Times New Roman"/>
        </w:rPr>
      </w:pPr>
      <w:r>
        <w:rPr>
          <w:rFonts w:hint="default" w:ascii="Times New Roman" w:hAnsi="Times New Roman" w:cs="Times New Roman"/>
        </w:rPr>
        <w:t>NFPA 30. Flammable and Combustible Liquids Code, 2021.</w:t>
      </w:r>
    </w:p>
    <w:p w14:paraId="76C71DCE">
      <w:pPr>
        <w:pStyle w:val="56"/>
        <w:bidi w:val="0"/>
        <w:rPr>
          <w:rFonts w:hint="default" w:ascii="Times New Roman" w:hAnsi="Times New Roman" w:cs="Times New Roman"/>
        </w:rPr>
      </w:pPr>
      <w:r>
        <w:rPr>
          <w:rFonts w:hint="default" w:ascii="Times New Roman" w:hAnsi="Times New Roman" w:cs="Times New Roman"/>
        </w:rPr>
        <w:t>Mouritz, A. &amp; Gibson, A. Fire Properties of Polymer Composite Materials. Springer, 2007.</w:t>
      </w:r>
    </w:p>
    <w:p w14:paraId="611A14AD">
      <w:pPr>
        <w:pStyle w:val="56"/>
        <w:bidi w:val="0"/>
        <w:rPr>
          <w:rFonts w:hint="default" w:ascii="Times New Roman" w:hAnsi="Times New Roman" w:cs="Times New Roman"/>
        </w:rPr>
      </w:pPr>
      <w:r>
        <w:rPr>
          <w:rFonts w:hint="default" w:ascii="Times New Roman" w:hAnsi="Times New Roman" w:cs="Times New Roman"/>
        </w:rPr>
        <w:t>Lyon, R. &amp; Walters, R. Flammability of Aircraft and Spacecraft Materials. FAA Technical Report, 2019.</w:t>
      </w:r>
    </w:p>
    <w:p w14:paraId="2B6097C6">
      <w:pPr>
        <w:pStyle w:val="56"/>
        <w:bidi w:val="0"/>
        <w:rPr>
          <w:rFonts w:hint="default" w:ascii="Times New Roman" w:hAnsi="Times New Roman" w:cs="Times New Roman"/>
        </w:rPr>
      </w:pPr>
      <w:r>
        <w:rPr>
          <w:rFonts w:hint="default" w:ascii="Times New Roman" w:hAnsi="Times New Roman" w:cs="Times New Roman"/>
        </w:rPr>
        <w:t>Babrauskas, V. Heat Release Rates. SFPE Handbook, 2016.</w:t>
      </w:r>
    </w:p>
    <w:p w14:paraId="4E962C18">
      <w:pPr>
        <w:pStyle w:val="56"/>
        <w:bidi w:val="0"/>
        <w:rPr>
          <w:rFonts w:hint="default" w:ascii="Times New Roman" w:hAnsi="Times New Roman" w:cs="Times New Roman"/>
        </w:rPr>
      </w:pPr>
      <w:r>
        <w:rPr>
          <w:rFonts w:hint="default" w:ascii="Times New Roman" w:hAnsi="Times New Roman" w:cs="Times New Roman"/>
        </w:rPr>
        <w:t>Heskestad, G. Fire Plumes, Flame Height, and Air Entrainment. SFPE Handbook, 2016.</w:t>
      </w:r>
    </w:p>
    <w:p w14:paraId="16E318BB">
      <w:pPr>
        <w:pStyle w:val="56"/>
        <w:bidi w:val="0"/>
        <w:rPr>
          <w:rFonts w:hint="default" w:ascii="Times New Roman" w:hAnsi="Times New Roman" w:cs="Times New Roman"/>
        </w:rPr>
      </w:pPr>
      <w:r>
        <w:rPr>
          <w:rFonts w:hint="default" w:ascii="Times New Roman" w:hAnsi="Times New Roman" w:cs="Times New Roman"/>
        </w:rPr>
        <w:t>GAO. NASA: Fire Safety and Risk Management Review. US Government Accountability Office, 2018.</w:t>
      </w:r>
    </w:p>
    <w:p w14:paraId="5E47CFAB">
      <w:pPr>
        <w:pStyle w:val="56"/>
        <w:bidi w:val="0"/>
        <w:rPr>
          <w:rFonts w:hint="default" w:ascii="Times New Roman" w:hAnsi="Times New Roman" w:cs="Times New Roman"/>
        </w:rPr>
      </w:pPr>
      <w:r>
        <w:rPr>
          <w:rFonts w:hint="default" w:ascii="Times New Roman" w:hAnsi="Times New Roman" w:cs="Times New Roman"/>
        </w:rPr>
        <w:t>NIST. Fire Hazards of Electronic Equipment. NIST SP-500 Series, 2012.</w:t>
      </w:r>
    </w:p>
    <w:p w14:paraId="3F173E39">
      <w:pPr>
        <w:pStyle w:val="56"/>
        <w:bidi w:val="0"/>
        <w:rPr>
          <w:rFonts w:hint="default" w:ascii="Times New Roman" w:hAnsi="Times New Roman" w:cs="Times New Roman"/>
        </w:rPr>
      </w:pPr>
      <w:r>
        <w:rPr>
          <w:rFonts w:hint="default" w:ascii="Times New Roman" w:hAnsi="Times New Roman" w:cs="Times New Roman"/>
        </w:rPr>
        <w:t>ESA. Clean Room and Spacecraft Assembly Fire Safety Guidelines. European Space Agency, 2019.</w:t>
      </w:r>
    </w:p>
    <w:p w14:paraId="2B79BDC8">
      <w:pPr>
        <w:pStyle w:val="47"/>
        <w:autoSpaceDN/>
        <w:snapToGrid w:val="0"/>
        <w:spacing w:line="360" w:lineRule="auto"/>
        <w:ind w:left="0" w:leftChars="0" w:firstLine="0" w:firstLineChars="0"/>
        <w:jc w:val="both"/>
        <w:rPr>
          <w:rFonts w:hint="default" w:ascii="Times New Roman" w:hAnsi="Times New Roman" w:eastAsia="仿宋_GB2312" w:cs="Times New Roman"/>
          <w:sz w:val="30"/>
          <w:lang w:val="en-US" w:eastAsia="zh-CN"/>
        </w:rPr>
      </w:pPr>
    </w:p>
    <w:sectPr>
      <w:pgSz w:w="11906" w:h="16838"/>
      <w:pgMar w:top="1440" w:right="1800" w:bottom="1440" w:left="1800" w:header="851" w:footer="992" w:gutter="0"/>
      <w:pgNumType w:fmt="decimal"/>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panose1 w:val="02010600030101010101"/>
    <w:charset w:val="7A"/>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0F3C52" w:usb2="00000016" w:usb3="00000000" w:csb0="0004001F" w:csb1="00000000"/>
  </w:font>
  <w:font w:name="Arial">
    <w:panose1 w:val="020B0604020202020204"/>
    <w:charset w:val="01"/>
    <w:family w:val="swiss"/>
    <w:pitch w:val="default"/>
    <w:sig w:usb0="00007A87" w:usb1="80000000" w:usb2="00000008" w:usb3="00000000" w:csb0="400001FF" w:csb1="FFFF0000"/>
  </w:font>
  <w:font w:name="Courier New">
    <w:panose1 w:val="02070309020205020404"/>
    <w:charset w:val="01"/>
    <w:family w:val="modern"/>
    <w:pitch w:val="default"/>
    <w:sig w:usb0="E0002AFF" w:usb1="C0007843" w:usb2="00000009" w:usb3="00000000" w:csb0="400001FF" w:csb1="FFFF0000"/>
  </w:font>
  <w:font w:name="等线 Light">
    <w:altName w:val="SimSun"/>
    <w:panose1 w:val="02010600030101010101"/>
    <w:charset w:val="86"/>
    <w:family w:val="auto"/>
    <w:pitch w:val="default"/>
    <w:sig w:usb0="00000000" w:usb1="00000000" w:usb2="00000016" w:usb3="00000000" w:csb0="0004000F" w:csb1="00000000"/>
  </w:font>
  <w:font w:name="SimSun">
    <w:panose1 w:val="02010600030101010101"/>
    <w:charset w:val="86"/>
    <w:family w:val="auto"/>
    <w:pitch w:val="default"/>
    <w:sig w:usb0="00000003" w:usb1="080E0000" w:usb2="00000000"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仿宋">
    <w:altName w:val="宋体"/>
    <w:panose1 w:val="02010609060101010101"/>
    <w:charset w:val="86"/>
    <w:family w:val="modern"/>
    <w:pitch w:val="default"/>
    <w:sig w:usb0="00000000" w:usb1="00000000" w:usb2="00000016" w:usb3="00000000" w:csb0="00040001" w:csb1="00000000"/>
  </w:font>
  <w:font w:name="仿宋_GB2312">
    <w:altName w:val="宋体"/>
    <w:panose1 w:val="02010609030101010101"/>
    <w:charset w:val="86"/>
    <w:family w:val="modern"/>
    <w:pitch w:val="default"/>
    <w:sig w:usb0="00000000" w:usb1="00000000" w:usb2="00000000" w:usb3="00000000" w:csb0="00040000" w:csb1="0000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A00F9EE" w:usb2="02000008" w:usb3="00000000" w:csb0="60000193" w:csb1="0DD40000"/>
  </w:font>
  <w:font w:name="Noto Sans CJK SC">
    <w:panose1 w:val="020B0500000000000000"/>
    <w:charset w:val="86"/>
    <w:family w:val="auto"/>
    <w:pitch w:val="default"/>
    <w:sig w:usb0="30000083" w:usb1="2BDF3C10" w:usb2="00000016" w:usb3="00000000" w:csb0="602E0107" w:csb1="00000000"/>
  </w:font>
  <w:font w:name="Tahoma">
    <w:altName w:val="noto sans thai"/>
    <w:panose1 w:val="00000000000000000000"/>
    <w:charset w:val="00"/>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8C3B7">
    <w:pPr>
      <w:pStyle w:val="21"/>
      <w:framePr w:wrap="around" w:vAnchor="text" w:hAnchor="margin" w:xAlign="outside" w:y="1"/>
      <w:rPr>
        <w:rStyle w:val="25"/>
      </w:rPr>
    </w:pPr>
    <w:r>
      <w:fldChar w:fldCharType="begin"/>
    </w:r>
    <w:r>
      <w:rPr>
        <w:rStyle w:val="25"/>
      </w:rPr>
      <w:instrText xml:space="preserve">PAGE  </w:instrText>
    </w:r>
    <w:r>
      <w:fldChar w:fldCharType="end"/>
    </w:r>
  </w:p>
  <w:p w14:paraId="73FEBE70">
    <w:pPr>
      <w:pStyle w:val="21"/>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20645">
    <w:pPr>
      <w:pStyle w:val="21"/>
      <w:framePr w:wrap="around" w:vAnchor="text" w:hAnchor="margin" w:xAlign="outside" w:y="1"/>
      <w:rPr>
        <w:rStyle w:val="25"/>
      </w:rPr>
    </w:pPr>
    <w:r>
      <w:fldChar w:fldCharType="begin"/>
    </w:r>
    <w:r>
      <w:rPr>
        <w:rStyle w:val="25"/>
      </w:rPr>
      <w:instrText xml:space="preserve">PAGE  </w:instrText>
    </w:r>
    <w:r>
      <w:fldChar w:fldCharType="separate"/>
    </w:r>
    <w:r>
      <w:rPr>
        <w:rStyle w:val="25"/>
        <w:lang w:val="en-US" w:eastAsia="zh-CN"/>
      </w:rPr>
      <w:t>- 25 -</w:t>
    </w:r>
    <w:r>
      <w:fldChar w:fldCharType="end"/>
    </w:r>
  </w:p>
  <w:p w14:paraId="171A5E5F">
    <w:pPr>
      <w:pStyle w:val="21"/>
      <w:ind w:right="360" w:firstLine="360"/>
      <w:jc w:val="center"/>
    </w:pPr>
  </w:p>
  <w:p w14:paraId="6262CB32">
    <w:pPr>
      <w:pStyle w:val="2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FC2BA">
    <w:pPr>
      <w:pStyle w:val="21"/>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AD3FB">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45AD3FB">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6AB5B">
    <w:pPr>
      <w:pStyle w:val="21"/>
      <w:framePr w:wrap="around" w:vAnchor="text" w:hAnchor="margin" w:xAlign="outside" w:y="1"/>
      <w:rPr>
        <w:rStyle w:val="25"/>
      </w:rPr>
    </w:pPr>
    <w:r>
      <w:fldChar w:fldCharType="begin"/>
    </w:r>
    <w:r>
      <w:rPr>
        <w:rStyle w:val="25"/>
      </w:rPr>
      <w:instrText xml:space="preserve">PAGE  </w:instrText>
    </w:r>
    <w:r>
      <w:fldChar w:fldCharType="end"/>
    </w:r>
  </w:p>
  <w:p w14:paraId="43305302">
    <w:pPr>
      <w:pStyle w:val="21"/>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E1AED">
    <w:pPr>
      <w:pStyle w:val="21"/>
      <w:jc w:val="center"/>
    </w:pPr>
    <w:r>
      <w:fldChar w:fldCharType="begin"/>
    </w:r>
    <w:r>
      <w:instrText xml:space="preserve"> PAGE   \* MERGEFORMAT </w:instrText>
    </w:r>
    <w:r>
      <w:fldChar w:fldCharType="separate"/>
    </w:r>
    <w:r>
      <w:rPr>
        <w:lang w:val="zh-CN" w:eastAsia="zh-CN"/>
      </w:rPr>
      <w:t>I</w:t>
    </w:r>
    <w:r>
      <w:fldChar w:fldCharType="end"/>
    </w:r>
  </w:p>
  <w:p w14:paraId="5EDA7356">
    <w:pPr>
      <w:pStyle w:val="21"/>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75B21">
    <w:pPr>
      <w:pStyle w:val="21"/>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7BB65A">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57BB65A">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68977">
    <w:pPr>
      <w:pStyle w:val="21"/>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21517">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6D721517">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E857B">
    <w:pPr>
      <w:pStyle w:val="2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DEF28">
    <w:pPr>
      <w:pStyle w:val="2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C24E67"/>
    <w:multiLevelType w:val="multilevel"/>
    <w:tmpl w:val="31C24E67"/>
    <w:lvl w:ilvl="0" w:tentative="0">
      <w:start w:val="1"/>
      <w:numFmt w:val="decimal"/>
      <w:pStyle w:val="56"/>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3A9678D"/>
    <w:multiLevelType w:val="multilevel"/>
    <w:tmpl w:val="63A9678D"/>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dlZDZiNDNiNWM1NWFiMTM2ZTY0ODJhNzA5MDBmYmYifQ=="/>
  </w:docVars>
  <w:rsids>
    <w:rsidRoot w:val="00172A27"/>
    <w:rsid w:val="000037B7"/>
    <w:rsid w:val="000046DB"/>
    <w:rsid w:val="0003369C"/>
    <w:rsid w:val="00050683"/>
    <w:rsid w:val="00073CA5"/>
    <w:rsid w:val="000A17B4"/>
    <w:rsid w:val="000A63CD"/>
    <w:rsid w:val="000A7EFE"/>
    <w:rsid w:val="00112CE7"/>
    <w:rsid w:val="00117D12"/>
    <w:rsid w:val="00131460"/>
    <w:rsid w:val="00157FA7"/>
    <w:rsid w:val="0016476A"/>
    <w:rsid w:val="001F7C08"/>
    <w:rsid w:val="002147EA"/>
    <w:rsid w:val="0022650D"/>
    <w:rsid w:val="0026379B"/>
    <w:rsid w:val="002725A0"/>
    <w:rsid w:val="00283693"/>
    <w:rsid w:val="002A3D33"/>
    <w:rsid w:val="002C352B"/>
    <w:rsid w:val="002D0193"/>
    <w:rsid w:val="002F7AEA"/>
    <w:rsid w:val="00313F1A"/>
    <w:rsid w:val="00324B9E"/>
    <w:rsid w:val="00345197"/>
    <w:rsid w:val="0037261A"/>
    <w:rsid w:val="003866E0"/>
    <w:rsid w:val="003A322B"/>
    <w:rsid w:val="003D1E4B"/>
    <w:rsid w:val="003E2F07"/>
    <w:rsid w:val="003E5EF5"/>
    <w:rsid w:val="003F1D39"/>
    <w:rsid w:val="00403904"/>
    <w:rsid w:val="004136B4"/>
    <w:rsid w:val="004235C7"/>
    <w:rsid w:val="00425F86"/>
    <w:rsid w:val="00445B98"/>
    <w:rsid w:val="00471694"/>
    <w:rsid w:val="00494233"/>
    <w:rsid w:val="004D5A68"/>
    <w:rsid w:val="004E677A"/>
    <w:rsid w:val="00530FA8"/>
    <w:rsid w:val="00533B1E"/>
    <w:rsid w:val="00561FC4"/>
    <w:rsid w:val="005861AC"/>
    <w:rsid w:val="005D49BC"/>
    <w:rsid w:val="005D76DC"/>
    <w:rsid w:val="006874FC"/>
    <w:rsid w:val="006A7110"/>
    <w:rsid w:val="006D0DFC"/>
    <w:rsid w:val="006D66E9"/>
    <w:rsid w:val="006E7E2A"/>
    <w:rsid w:val="00717B5D"/>
    <w:rsid w:val="00796109"/>
    <w:rsid w:val="007A2452"/>
    <w:rsid w:val="007B06D6"/>
    <w:rsid w:val="00837C97"/>
    <w:rsid w:val="00845A38"/>
    <w:rsid w:val="00863C20"/>
    <w:rsid w:val="0086431E"/>
    <w:rsid w:val="00880723"/>
    <w:rsid w:val="0089676B"/>
    <w:rsid w:val="008A52F2"/>
    <w:rsid w:val="008B2549"/>
    <w:rsid w:val="008D7757"/>
    <w:rsid w:val="008D7CA9"/>
    <w:rsid w:val="008F79D4"/>
    <w:rsid w:val="009061C9"/>
    <w:rsid w:val="009307CC"/>
    <w:rsid w:val="00935BBC"/>
    <w:rsid w:val="00941D0A"/>
    <w:rsid w:val="009517D1"/>
    <w:rsid w:val="009719B0"/>
    <w:rsid w:val="0098502C"/>
    <w:rsid w:val="009A2DDC"/>
    <w:rsid w:val="009D0F50"/>
    <w:rsid w:val="00A17566"/>
    <w:rsid w:val="00A40522"/>
    <w:rsid w:val="00A54F42"/>
    <w:rsid w:val="00A644C2"/>
    <w:rsid w:val="00A84696"/>
    <w:rsid w:val="00B06934"/>
    <w:rsid w:val="00B51CCF"/>
    <w:rsid w:val="00B640B3"/>
    <w:rsid w:val="00BA01AA"/>
    <w:rsid w:val="00BC302B"/>
    <w:rsid w:val="00C04C64"/>
    <w:rsid w:val="00C507E4"/>
    <w:rsid w:val="00C6617B"/>
    <w:rsid w:val="00C85336"/>
    <w:rsid w:val="00C87868"/>
    <w:rsid w:val="00CB222D"/>
    <w:rsid w:val="00CD77EF"/>
    <w:rsid w:val="00D16E1F"/>
    <w:rsid w:val="00D647E0"/>
    <w:rsid w:val="00D86E43"/>
    <w:rsid w:val="00DA194D"/>
    <w:rsid w:val="00DB0C9D"/>
    <w:rsid w:val="00DB38E2"/>
    <w:rsid w:val="00DC1F49"/>
    <w:rsid w:val="00DD1DA7"/>
    <w:rsid w:val="00DF5C44"/>
    <w:rsid w:val="00DF7183"/>
    <w:rsid w:val="00E80CC3"/>
    <w:rsid w:val="00EE4197"/>
    <w:rsid w:val="00F10A82"/>
    <w:rsid w:val="00F54F49"/>
    <w:rsid w:val="00F61F91"/>
    <w:rsid w:val="00F9088C"/>
    <w:rsid w:val="00F916E3"/>
    <w:rsid w:val="00FA2EA8"/>
    <w:rsid w:val="00FC21C7"/>
    <w:rsid w:val="00FC6342"/>
    <w:rsid w:val="00FD5499"/>
    <w:rsid w:val="02F32B56"/>
    <w:rsid w:val="03B269A4"/>
    <w:rsid w:val="05FB130E"/>
    <w:rsid w:val="06807618"/>
    <w:rsid w:val="06AE2400"/>
    <w:rsid w:val="072B7F2A"/>
    <w:rsid w:val="08BC7B38"/>
    <w:rsid w:val="08FA3336"/>
    <w:rsid w:val="0D0567F0"/>
    <w:rsid w:val="0D7E3AFF"/>
    <w:rsid w:val="0EE45968"/>
    <w:rsid w:val="0FB63E1B"/>
    <w:rsid w:val="10260A90"/>
    <w:rsid w:val="10E87F18"/>
    <w:rsid w:val="11345752"/>
    <w:rsid w:val="119D4831"/>
    <w:rsid w:val="125D5D38"/>
    <w:rsid w:val="13243011"/>
    <w:rsid w:val="140334FB"/>
    <w:rsid w:val="15341A54"/>
    <w:rsid w:val="160E259E"/>
    <w:rsid w:val="177A2613"/>
    <w:rsid w:val="197A2973"/>
    <w:rsid w:val="198E55FB"/>
    <w:rsid w:val="1A840C0A"/>
    <w:rsid w:val="2051361B"/>
    <w:rsid w:val="20C0033E"/>
    <w:rsid w:val="27C26D1A"/>
    <w:rsid w:val="293B7BDB"/>
    <w:rsid w:val="296B4822"/>
    <w:rsid w:val="2D8D7A26"/>
    <w:rsid w:val="2DA61BFF"/>
    <w:rsid w:val="2FD52024"/>
    <w:rsid w:val="32117A7A"/>
    <w:rsid w:val="37EF39B9"/>
    <w:rsid w:val="39EF41D8"/>
    <w:rsid w:val="3B945A4C"/>
    <w:rsid w:val="3BC3469C"/>
    <w:rsid w:val="3DF67EC9"/>
    <w:rsid w:val="411965E8"/>
    <w:rsid w:val="4300528C"/>
    <w:rsid w:val="439320F2"/>
    <w:rsid w:val="454313DF"/>
    <w:rsid w:val="4559454E"/>
    <w:rsid w:val="46826ECA"/>
    <w:rsid w:val="47200E11"/>
    <w:rsid w:val="4A227A1C"/>
    <w:rsid w:val="4BA40904"/>
    <w:rsid w:val="4C677226"/>
    <w:rsid w:val="4C9954A0"/>
    <w:rsid w:val="4D8C1D7C"/>
    <w:rsid w:val="4ED765AF"/>
    <w:rsid w:val="4F0E1E0E"/>
    <w:rsid w:val="50CC366C"/>
    <w:rsid w:val="5274688D"/>
    <w:rsid w:val="53C90AD2"/>
    <w:rsid w:val="56A87CBD"/>
    <w:rsid w:val="576A14F1"/>
    <w:rsid w:val="59054CA9"/>
    <w:rsid w:val="59C14BA2"/>
    <w:rsid w:val="5C4F2050"/>
    <w:rsid w:val="5C735ECB"/>
    <w:rsid w:val="5C8F6A67"/>
    <w:rsid w:val="5CE50CA8"/>
    <w:rsid w:val="5E4C7C1E"/>
    <w:rsid w:val="5EC03E77"/>
    <w:rsid w:val="5F5C70D4"/>
    <w:rsid w:val="609E4875"/>
    <w:rsid w:val="60FC3CA7"/>
    <w:rsid w:val="6330596A"/>
    <w:rsid w:val="64A50C8D"/>
    <w:rsid w:val="64DA5735"/>
    <w:rsid w:val="67155394"/>
    <w:rsid w:val="67C41CBB"/>
    <w:rsid w:val="681E112B"/>
    <w:rsid w:val="68632EA7"/>
    <w:rsid w:val="6C353BC2"/>
    <w:rsid w:val="6C68355C"/>
    <w:rsid w:val="6D344F72"/>
    <w:rsid w:val="6F850D4A"/>
    <w:rsid w:val="706C73A7"/>
    <w:rsid w:val="70986532"/>
    <w:rsid w:val="716D7E06"/>
    <w:rsid w:val="74087332"/>
    <w:rsid w:val="786F150D"/>
    <w:rsid w:val="78865B21"/>
    <w:rsid w:val="7D9F11E6"/>
    <w:rsid w:val="9AA70A00"/>
    <w:rsid w:val="FA7DD26B"/>
    <w:rsid w:val="FE7FB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pPr>
    <w:rPr>
      <w:rFonts w:ascii="宋体" w:hAnsi="宋体" w:eastAsia="宋体" w:cs="Times New Roman"/>
      <w:color w:val="000000"/>
      <w:kern w:val="2"/>
      <w:sz w:val="24"/>
      <w:szCs w:val="24"/>
      <w:u w:val="none"/>
      <w:lang w:val="en-US" w:eastAsia="zh-CN" w:bidi="ar-SA"/>
    </w:rPr>
  </w:style>
  <w:style w:type="paragraph" w:styleId="2">
    <w:name w:val="heading 1"/>
    <w:basedOn w:val="1"/>
    <w:next w:val="1"/>
    <w:link w:val="32"/>
    <w:qFormat/>
    <w:uiPriority w:val="0"/>
    <w:pPr>
      <w:numPr>
        <w:ilvl w:val="0"/>
        <w:numId w:val="1"/>
      </w:numPr>
      <w:ind w:left="432" w:hanging="432" w:firstLineChars="0"/>
      <w:outlineLvl w:val="0"/>
    </w:pPr>
    <w:rPr>
      <w:rFonts w:ascii="宋体" w:hAnsi="宋体" w:eastAsia="宋体"/>
      <w:b/>
      <w:sz w:val="32"/>
      <w:szCs w:val="32"/>
    </w:rPr>
  </w:style>
  <w:style w:type="paragraph" w:styleId="3">
    <w:name w:val="heading 2"/>
    <w:basedOn w:val="1"/>
    <w:next w:val="1"/>
    <w:autoRedefine/>
    <w:unhideWhenUsed/>
    <w:qFormat/>
    <w:uiPriority w:val="0"/>
    <w:pPr>
      <w:numPr>
        <w:ilvl w:val="1"/>
        <w:numId w:val="1"/>
      </w:numPr>
      <w:ind w:left="575" w:hanging="575" w:firstLineChars="0"/>
      <w:outlineLvl w:val="1"/>
    </w:pPr>
    <w:rPr>
      <w:rFonts w:eastAsia="宋体"/>
      <w:b/>
      <w:sz w:val="28"/>
      <w:szCs w:val="28"/>
    </w:rPr>
  </w:style>
  <w:style w:type="paragraph" w:styleId="4">
    <w:name w:val="heading 3"/>
    <w:basedOn w:val="1"/>
    <w:next w:val="1"/>
    <w:qFormat/>
    <w:uiPriority w:val="0"/>
    <w:pPr>
      <w:numPr>
        <w:ilvl w:val="2"/>
        <w:numId w:val="1"/>
      </w:numPr>
      <w:ind w:left="720" w:hanging="720" w:firstLineChars="0"/>
      <w:outlineLvl w:val="2"/>
    </w:pPr>
    <w:rPr>
      <w:rFonts w:eastAsia="宋体"/>
      <w:b/>
    </w:rPr>
  </w:style>
  <w:style w:type="paragraph" w:styleId="5">
    <w:name w:val="heading 4"/>
    <w:basedOn w:val="1"/>
    <w:next w:val="1"/>
    <w:autoRedefine/>
    <w:semiHidden/>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1">
    <w:name w:val="Default Paragraph Font"/>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semiHidden/>
    <w:qFormat/>
    <w:uiPriority w:val="0"/>
    <w:rPr>
      <w:sz w:val="18"/>
      <w:szCs w:val="18"/>
    </w:rPr>
  </w:style>
  <w:style w:type="paragraph" w:styleId="14">
    <w:name w:val="Body Text Indent"/>
    <w:basedOn w:val="1"/>
    <w:unhideWhenUsed/>
    <w:qFormat/>
    <w:uiPriority w:val="99"/>
    <w:pPr>
      <w:spacing w:after="120"/>
      <w:ind w:left="420" w:leftChars="200"/>
    </w:pPr>
  </w:style>
  <w:style w:type="paragraph" w:styleId="15">
    <w:name w:val="Body Text First Indent 2"/>
    <w:basedOn w:val="14"/>
    <w:unhideWhenUsed/>
    <w:qFormat/>
    <w:uiPriority w:val="99"/>
    <w:pPr>
      <w:ind w:left="0" w:leftChars="0"/>
    </w:pPr>
    <w:rPr>
      <w:sz w:val="24"/>
    </w:rPr>
  </w:style>
  <w:style w:type="paragraph" w:styleId="16">
    <w:name w:val="caption"/>
    <w:basedOn w:val="1"/>
    <w:next w:val="1"/>
    <w:link w:val="55"/>
    <w:qFormat/>
    <w:uiPriority w:val="0"/>
    <w:pPr>
      <w:spacing w:line="312" w:lineRule="auto"/>
      <w:ind w:firstLine="0" w:firstLineChars="0"/>
      <w:jc w:val="center"/>
    </w:pPr>
    <w:rPr>
      <w:rFonts w:cs="宋体"/>
      <w:b/>
      <w:bCs/>
    </w:rPr>
  </w:style>
  <w:style w:type="character" w:styleId="17">
    <w:name w:val="annotation reference"/>
    <w:qFormat/>
    <w:uiPriority w:val="0"/>
    <w:rPr>
      <w:sz w:val="21"/>
      <w:szCs w:val="21"/>
    </w:rPr>
  </w:style>
  <w:style w:type="paragraph" w:styleId="18">
    <w:name w:val="annotation text"/>
    <w:basedOn w:val="1"/>
    <w:link w:val="33"/>
    <w:qFormat/>
    <w:uiPriority w:val="0"/>
    <w:pPr>
      <w:jc w:val="left"/>
    </w:pPr>
  </w:style>
  <w:style w:type="paragraph" w:styleId="19">
    <w:name w:val="annotation subject"/>
    <w:basedOn w:val="18"/>
    <w:next w:val="18"/>
    <w:link w:val="37"/>
    <w:qFormat/>
    <w:uiPriority w:val="0"/>
    <w:rPr>
      <w:b/>
      <w:bCs/>
    </w:rPr>
  </w:style>
  <w:style w:type="character" w:styleId="20">
    <w:name w:val="FollowedHyperlink"/>
    <w:qFormat/>
    <w:uiPriority w:val="0"/>
    <w:rPr>
      <w:color w:val="800080"/>
      <w:u w:val="single"/>
    </w:rPr>
  </w:style>
  <w:style w:type="paragraph" w:styleId="21">
    <w:name w:val="footer"/>
    <w:basedOn w:val="1"/>
    <w:link w:val="35"/>
    <w:qFormat/>
    <w:uiPriority w:val="99"/>
    <w:pPr>
      <w:tabs>
        <w:tab w:val="center" w:pos="4153"/>
        <w:tab w:val="right" w:pos="8306"/>
      </w:tabs>
      <w:snapToGrid w:val="0"/>
      <w:jc w:val="left"/>
    </w:pPr>
    <w:rPr>
      <w:sz w:val="18"/>
      <w:szCs w:val="18"/>
    </w:rPr>
  </w:style>
  <w:style w:type="paragraph" w:styleId="22">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character" w:styleId="23">
    <w:name w:val="Hyperlink"/>
    <w:qFormat/>
    <w:uiPriority w:val="99"/>
    <w:rPr>
      <w:color w:val="000000"/>
      <w:u w:val="none"/>
    </w:rPr>
  </w:style>
  <w:style w:type="paragraph" w:styleId="24">
    <w:name w:val="Normal (Web)"/>
    <w:basedOn w:val="1"/>
    <w:qFormat/>
    <w:uiPriority w:val="0"/>
    <w:rPr>
      <w:sz w:val="24"/>
    </w:rPr>
  </w:style>
  <w:style w:type="character" w:styleId="25">
    <w:name w:val="page number"/>
    <w:qFormat/>
    <w:uiPriority w:val="0"/>
  </w:style>
  <w:style w:type="paragraph" w:styleId="26">
    <w:name w:val="Plain Text"/>
    <w:basedOn w:val="1"/>
    <w:link w:val="34"/>
    <w:qFormat/>
    <w:uiPriority w:val="0"/>
    <w:rPr>
      <w:rFonts w:ascii="宋体" w:hAnsi="Courier New" w:cs="Courier New"/>
      <w:szCs w:val="21"/>
    </w:rPr>
  </w:style>
  <w:style w:type="table" w:styleId="27">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unhideWhenUsed/>
    <w:qFormat/>
    <w:uiPriority w:val="99"/>
    <w:pPr>
      <w:spacing w:line="360" w:lineRule="auto"/>
      <w:ind w:left="200" w:leftChars="200" w:hanging="200" w:hangingChars="200"/>
    </w:pPr>
    <w:rPr>
      <w:sz w:val="24"/>
      <w:szCs w:val="24"/>
    </w:rPr>
  </w:style>
  <w:style w:type="paragraph" w:styleId="29">
    <w:name w:val="toc 1"/>
    <w:basedOn w:val="1"/>
    <w:next w:val="1"/>
    <w:qFormat/>
    <w:uiPriority w:val="39"/>
    <w:pPr>
      <w:tabs>
        <w:tab w:val="right" w:leader="dot" w:pos="8306"/>
      </w:tabs>
      <w:ind w:firstLine="0" w:firstLineChars="0"/>
    </w:pPr>
    <w:rPr>
      <w:rFonts w:ascii="Times New Roman" w:hAnsi="Times New Roman"/>
      <w:sz w:val="21"/>
    </w:rPr>
  </w:style>
  <w:style w:type="paragraph" w:styleId="30">
    <w:name w:val="toc 2"/>
    <w:basedOn w:val="1"/>
    <w:next w:val="1"/>
    <w:qFormat/>
    <w:uiPriority w:val="39"/>
    <w:pPr>
      <w:tabs>
        <w:tab w:val="right" w:leader="dot" w:pos="8306"/>
      </w:tabs>
      <w:ind w:left="420" w:leftChars="200" w:firstLine="0" w:firstLineChars="0"/>
    </w:pPr>
    <w:rPr>
      <w:rFonts w:ascii="宋体" w:hAnsi="宋体" w:eastAsia="宋体" w:cs="宋体"/>
      <w:sz w:val="21"/>
    </w:rPr>
  </w:style>
  <w:style w:type="paragraph" w:styleId="31">
    <w:name w:val="toc 3"/>
    <w:basedOn w:val="1"/>
    <w:next w:val="1"/>
    <w:unhideWhenUsed/>
    <w:qFormat/>
    <w:uiPriority w:val="39"/>
    <w:pPr>
      <w:tabs>
        <w:tab w:val="right" w:leader="dot" w:pos="8306"/>
      </w:tabs>
      <w:ind w:left="960" w:leftChars="400" w:firstLine="0" w:firstLineChars="0"/>
    </w:pPr>
    <w:rPr>
      <w:rFonts w:ascii="宋体" w:hAnsi="宋体" w:eastAsia="宋体" w:cs="宋体"/>
      <w:sz w:val="21"/>
      <w:szCs w:val="21"/>
    </w:rPr>
  </w:style>
  <w:style w:type="character" w:customStyle="1" w:styleId="32">
    <w:name w:val="标题 1 字符"/>
    <w:link w:val="2"/>
    <w:qFormat/>
    <w:uiPriority w:val="0"/>
    <w:rPr>
      <w:rFonts w:ascii="宋体" w:hAnsi="宋体" w:eastAsia="宋体" w:cs="Times New Roman"/>
      <w:b/>
      <w:color w:val="000000"/>
      <w:kern w:val="2"/>
      <w:sz w:val="32"/>
      <w:szCs w:val="32"/>
      <w:u w:val="none"/>
      <w:lang w:val="en-US" w:eastAsia="zh-CN" w:bidi="ar-SA"/>
    </w:rPr>
  </w:style>
  <w:style w:type="character" w:customStyle="1" w:styleId="33">
    <w:name w:val="批注文字 字符"/>
    <w:link w:val="18"/>
    <w:qFormat/>
    <w:uiPriority w:val="0"/>
    <w:rPr>
      <w:kern w:val="2"/>
      <w:sz w:val="21"/>
    </w:rPr>
  </w:style>
  <w:style w:type="character" w:customStyle="1" w:styleId="34">
    <w:name w:val="纯文本 字符1"/>
    <w:link w:val="26"/>
    <w:qFormat/>
    <w:uiPriority w:val="0"/>
    <w:rPr>
      <w:rFonts w:ascii="宋体" w:hAnsi="Courier New" w:cs="Courier New"/>
      <w:kern w:val="2"/>
      <w:sz w:val="21"/>
      <w:szCs w:val="21"/>
    </w:rPr>
  </w:style>
  <w:style w:type="character" w:customStyle="1" w:styleId="35">
    <w:name w:val="页脚 字符"/>
    <w:link w:val="21"/>
    <w:qFormat/>
    <w:uiPriority w:val="99"/>
    <w:rPr>
      <w:kern w:val="2"/>
      <w:sz w:val="18"/>
      <w:szCs w:val="18"/>
    </w:rPr>
  </w:style>
  <w:style w:type="character" w:customStyle="1" w:styleId="36">
    <w:name w:val="页眉 字符"/>
    <w:link w:val="22"/>
    <w:qFormat/>
    <w:uiPriority w:val="99"/>
    <w:rPr>
      <w:kern w:val="2"/>
      <w:sz w:val="18"/>
      <w:szCs w:val="18"/>
    </w:rPr>
  </w:style>
  <w:style w:type="character" w:customStyle="1" w:styleId="37">
    <w:name w:val="批注主题 字符"/>
    <w:link w:val="19"/>
    <w:qFormat/>
    <w:uiPriority w:val="0"/>
    <w:rPr>
      <w:b/>
      <w:bCs/>
      <w:kern w:val="2"/>
      <w:sz w:val="21"/>
    </w:rPr>
  </w:style>
  <w:style w:type="paragraph" w:customStyle="1" w:styleId="38">
    <w:name w:val="xl64"/>
    <w:basedOn w:val="1"/>
    <w:qFormat/>
    <w:uiPriority w:val="0"/>
    <w:pPr>
      <w:widowControl/>
      <w:spacing w:before="100" w:beforeAutospacing="1" w:after="100" w:afterAutospacing="1"/>
      <w:jc w:val="center"/>
    </w:pPr>
    <w:rPr>
      <w:rFonts w:ascii="宋体" w:hAnsi="宋体" w:cs="宋体"/>
      <w:kern w:val="0"/>
      <w:sz w:val="24"/>
      <w:szCs w:val="24"/>
    </w:rPr>
  </w:style>
  <w:style w:type="paragraph" w:customStyle="1" w:styleId="39">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rPr>
  </w:style>
  <w:style w:type="paragraph" w:customStyle="1" w:styleId="40">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0"/>
    </w:rPr>
  </w:style>
  <w:style w:type="paragraph" w:customStyle="1" w:styleId="41">
    <w:name w:val="xl69"/>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2">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rPr>
  </w:style>
  <w:style w:type="paragraph" w:customStyle="1" w:styleId="43">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0"/>
    </w:rPr>
  </w:style>
  <w:style w:type="paragraph" w:customStyle="1" w:styleId="44">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rPr>
  </w:style>
  <w:style w:type="paragraph" w:customStyle="1" w:styleId="45">
    <w:name w:val="font6"/>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46">
    <w:name w:val="xl68"/>
    <w:basedOn w:val="1"/>
    <w:qFormat/>
    <w:uiPriority w:val="0"/>
    <w:pPr>
      <w:widowControl/>
      <w:pBdr>
        <w:bottom w:val="single" w:color="auto" w:sz="4" w:space="0"/>
      </w:pBdr>
      <w:spacing w:before="100" w:beforeAutospacing="1" w:after="100" w:afterAutospacing="1"/>
      <w:jc w:val="center"/>
    </w:pPr>
    <w:rPr>
      <w:rFonts w:ascii="宋体" w:hAnsi="宋体" w:cs="宋体"/>
      <w:b/>
      <w:bCs/>
      <w:kern w:val="0"/>
      <w:sz w:val="36"/>
      <w:szCs w:val="36"/>
    </w:rPr>
  </w:style>
  <w:style w:type="paragraph" w:customStyle="1" w:styleId="47">
    <w:name w:val="段"/>
    <w:qFormat/>
    <w:uiPriority w:val="0"/>
    <w:pPr>
      <w:autoSpaceDE w:val="0"/>
      <w:autoSpaceDN w:val="0"/>
      <w:ind w:firstLine="200" w:firstLineChars="200"/>
      <w:jc w:val="both"/>
    </w:pPr>
    <w:rPr>
      <w:rFonts w:ascii="宋体" w:hAnsi="Times New Roman" w:eastAsia="宋体" w:cs="宋体"/>
      <w:szCs w:val="21"/>
      <w:lang w:val="en-US" w:eastAsia="zh-CN" w:bidi="ar-SA"/>
    </w:rPr>
  </w:style>
  <w:style w:type="paragraph" w:customStyle="1" w:styleId="48">
    <w:name w:val="font5"/>
    <w:basedOn w:val="1"/>
    <w:qFormat/>
    <w:uiPriority w:val="0"/>
    <w:pPr>
      <w:widowControl/>
      <w:spacing w:before="100" w:beforeAutospacing="1" w:after="100" w:afterAutospacing="1"/>
      <w:jc w:val="left"/>
    </w:pPr>
    <w:rPr>
      <w:rFonts w:ascii="宋体" w:hAnsi="宋体" w:cs="宋体"/>
      <w:kern w:val="0"/>
      <w:sz w:val="18"/>
      <w:szCs w:val="18"/>
    </w:rPr>
  </w:style>
  <w:style w:type="character" w:customStyle="1" w:styleId="49">
    <w:name w:val="纯文本 字符"/>
    <w:qFormat/>
    <w:uiPriority w:val="0"/>
    <w:rPr>
      <w:rFonts w:ascii="宋体" w:hAnsi="Courier New" w:cs="Courier New"/>
      <w:kern w:val="2"/>
      <w:sz w:val="21"/>
      <w:szCs w:val="21"/>
    </w:rPr>
  </w:style>
  <w:style w:type="paragraph" w:customStyle="1" w:styleId="50">
    <w:name w:val="TOC Heading"/>
    <w:basedOn w:val="2"/>
    <w:next w:val="1"/>
    <w:qFormat/>
    <w:uiPriority w:val="39"/>
    <w:pPr>
      <w:widowControl/>
      <w:spacing w:before="240" w:after="0" w:line="259" w:lineRule="auto"/>
      <w:jc w:val="left"/>
      <w:outlineLvl w:val="9"/>
    </w:pPr>
    <w:rPr>
      <w:rFonts w:ascii="等线 Light" w:hAnsi="等线 Light" w:eastAsia="等线 Light"/>
      <w:b w:val="0"/>
      <w:color w:val="2F5496"/>
      <w:kern w:val="0"/>
      <w:sz w:val="32"/>
      <w:szCs w:val="32"/>
    </w:rPr>
  </w:style>
  <w:style w:type="paragraph" w:customStyle="1" w:styleId="51">
    <w:name w:val="WPSOffice手动目录 1"/>
    <w:qFormat/>
    <w:uiPriority w:val="0"/>
    <w:rPr>
      <w:rFonts w:ascii="Times New Roman" w:hAnsi="Times New Roman" w:eastAsia="宋体" w:cs="Times New Roman"/>
      <w:lang w:val="en-US" w:eastAsia="zh-CN" w:bidi="ar-SA"/>
    </w:rPr>
  </w:style>
  <w:style w:type="paragraph" w:customStyle="1" w:styleId="52">
    <w:name w:val="WPSOffice手动目录 2"/>
    <w:qFormat/>
    <w:uiPriority w:val="0"/>
    <w:pPr>
      <w:ind w:leftChars="200"/>
    </w:pPr>
    <w:rPr>
      <w:rFonts w:ascii="Times New Roman" w:hAnsi="Times New Roman" w:eastAsia="宋体" w:cs="Times New Roman"/>
      <w:lang w:val="en-US" w:eastAsia="zh-CN" w:bidi="ar-SA"/>
    </w:rPr>
  </w:style>
  <w:style w:type="paragraph" w:customStyle="1" w:styleId="53">
    <w:name w:val="Table Paragraph"/>
    <w:basedOn w:val="1"/>
    <w:qFormat/>
    <w:uiPriority w:val="1"/>
    <w:rPr>
      <w:rFonts w:ascii="宋体" w:hAnsi="宋体" w:eastAsia="宋体" w:cs="宋体"/>
      <w:lang w:val="zh-CN" w:eastAsia="zh-CN" w:bidi="zh-CN"/>
    </w:rPr>
  </w:style>
  <w:style w:type="paragraph" w:customStyle="1" w:styleId="54">
    <w:name w:val="图表"/>
    <w:basedOn w:val="1"/>
    <w:qFormat/>
    <w:uiPriority w:val="0"/>
    <w:pPr>
      <w:ind w:firstLine="0" w:firstLineChars="0"/>
      <w:jc w:val="center"/>
    </w:pPr>
    <w:rPr>
      <w:rFonts w:ascii="Times" w:hAnsi="Times" w:eastAsia="宋体"/>
      <w:bCs/>
      <w:szCs w:val="32"/>
    </w:rPr>
  </w:style>
  <w:style w:type="character" w:customStyle="1" w:styleId="55">
    <w:name w:val="题注 Char"/>
    <w:link w:val="16"/>
    <w:qFormat/>
    <w:uiPriority w:val="0"/>
    <w:rPr>
      <w:rFonts w:ascii="宋体" w:hAnsi="宋体" w:eastAsia="宋体" w:cs="宋体"/>
      <w:b/>
      <w:bCs/>
      <w:color w:val="000000"/>
      <w:kern w:val="2"/>
      <w:sz w:val="24"/>
      <w:szCs w:val="24"/>
      <w:u w:val="none"/>
      <w:lang w:val="en-US" w:eastAsia="zh-CN" w:bidi="ar-SA"/>
    </w:rPr>
  </w:style>
  <w:style w:type="paragraph" w:customStyle="1" w:styleId="56">
    <w:name w:val="参考文献"/>
    <w:basedOn w:val="1"/>
    <w:qFormat/>
    <w:uiPriority w:val="0"/>
    <w:pPr>
      <w:numPr>
        <w:ilvl w:val="0"/>
        <w:numId w:val="2"/>
      </w:numPr>
      <w:ind w:left="420" w:right="178" w:rightChars="74" w:hanging="420" w:firstLineChars="0"/>
    </w:pPr>
    <w:rPr>
      <w:rFonts w:ascii="宋体" w:hAnsi="宋体" w:eastAsia="宋体" w:cs="宋体"/>
    </w:rPr>
  </w:style>
  <w:style w:type="paragraph" w:styleId="57">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28</Pages>
  <Words>3018</Words>
  <Characters>3224</Characters>
  <Lines>27</Lines>
  <Paragraphs>7</Paragraphs>
  <TotalTime>2</TotalTime>
  <ScaleCrop>false</ScaleCrop>
  <LinksUpToDate>false</LinksUpToDate>
  <CharactersWithSpaces>3442</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2022-11-20T04:35:00Z</dcterms:created>
  <dc:creator>微软用户</dc:creator>
  <cp:lastModifiedBy>blue</cp:lastModifiedBy>
  <cp:lastPrinted>2018-02-07T06:08:00Z</cp:lastPrinted>
  <dcterms:modified xsi:type="dcterms:W3CDTF">2026-09-08T20:40:05Z</dcterms:modified>
  <dc:title>关于开展安徽省自然科学基金</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1033-12.1.2.28080</vt:lpwstr>
  </property>
  <property fmtid="{D5CDD505-2E9C-101B-9397-08002B2CF9AE}" pid="3" name="ICV">
    <vt:lpwstr>C7A969C828374B04A8D9B2766E7DE83B</vt:lpwstr>
  </property>
  <property fmtid="{D5CDD505-2E9C-101B-9397-08002B2CF9AE}" pid="4" name="KSOTemplateDocerSaveRecord">
    <vt:lpwstr>eyJoZGlkIjoiZjFmZWIzNDg2MmIzZjExOTIzMmViNTBmYTMwYTk0ZWYiLCJ1c2VySWQiOiIxNTgzOTkzNDQ4In0=</vt:lpwstr>
  </property>
</Properties>
</file>