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F925E00">
      <w:pPr>
        <w:rPr>
          <w:rFonts w:hint="default" w:ascii="Times New Roman" w:hAnsi="Times New Roman" w:eastAsia="黑体" w:cs="Times New Roman"/>
          <w:sz w:val="24"/>
        </w:rPr>
      </w:pPr>
      <w:r>
        <w:rPr>
          <w:rFonts w:hint="default" w:ascii="Times New Roman" w:hAnsi="Times New Roman" w:eastAsia="黑体" w:cs="Times New Roman"/>
          <w:sz w:val="24"/>
        </w:rPr>
        <w:br w:type="page"/>
      </w:r>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bookmarkStart w:id="32" w:name="_GoBack"/>
          <w:bookmarkEnd w:id="32"/>
          <w:r>
            <w:rPr>
              <w:rFonts w:hint="default" w:ascii="Times New Roman" w:hAnsi="Times New Roman" w:eastAsia="宋体" w:cs="Times New Roman"/>
              <w:sz w:val="21"/>
            </w:rPr>
            <w:t>目录</w:t>
          </w:r>
        </w:p>
        <w:p w14:paraId="401BF48B">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_Toc22423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_Toc22423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4985829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_Toc22886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_Toc22886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6AA1C36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_Toc8018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_Toc8018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5D74BEDC">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_Toc8630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 xml:space="preserve">1.1.1. </w:t>
          </w:r>
          <w:r>
            <w:rPr>
              <w:rFonts w:hint="eastAsia" w:ascii="Times New Roman" w:hAnsi="Times New Roman" w:cs="Times New Roman"/>
              <w:szCs w:val="24"/>
              <w:lang w:val="en-US" w:eastAsia="zh-CN"/>
            </w:rPr>
            <w:t>冶金设施</w:t>
          </w:r>
          <w:r>
            <w:rPr>
              <w:rFonts w:hint="default" w:ascii="Times New Roman" w:hAnsi="Times New Roman" w:cs="Times New Roman"/>
              <w:szCs w:val="24"/>
              <w:lang w:val="en-US" w:eastAsia="zh-CN"/>
            </w:rPr>
            <w:t>分类</w:t>
          </w:r>
          <w:r>
            <w:tab/>
          </w:r>
          <w:r>
            <w:fldChar w:fldCharType="begin"/>
          </w:r>
          <w:r>
            <w:instrText xml:space="preserve"> PAGEREF _Toc8630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3BC41F99">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_Toc15233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_Toc15233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6E67F1C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_Toc29420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_Toc29420 \h </w:instrText>
          </w:r>
          <w:r>
            <w:fldChar w:fldCharType="separate"/>
          </w:r>
          <w:r>
            <w:t>3</w:t>
          </w:r>
          <w:r>
            <w:fldChar w:fldCharType="end"/>
          </w:r>
          <w:r>
            <w:rPr>
              <w:rFonts w:hint="default" w:ascii="Times New Roman" w:hAnsi="Times New Roman" w:eastAsia="宋体" w:cs="Times New Roman"/>
              <w:kern w:val="2"/>
              <w:lang w:val="en-US" w:eastAsia="zh-CN" w:bidi="ar-SA"/>
            </w:rPr>
            <w:fldChar w:fldCharType="end"/>
          </w:r>
        </w:p>
        <w:p w14:paraId="5D83DBF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_Toc18227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_Toc18227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392C724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_Toc32761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_Toc32761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20F68EB0">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_Toc1355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_Toc1355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35AEFA0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_Toc13592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_Toc13592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02B4197C">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_Toc14932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_Toc14932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77E9C2F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_Toc12520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_Toc12520 \h </w:instrText>
          </w:r>
          <w:r>
            <w:fldChar w:fldCharType="separate"/>
          </w:r>
          <w:r>
            <w:t>8</w:t>
          </w:r>
          <w:r>
            <w:fldChar w:fldCharType="end"/>
          </w:r>
          <w:r>
            <w:rPr>
              <w:rFonts w:hint="default" w:ascii="Times New Roman" w:hAnsi="Times New Roman" w:eastAsia="宋体" w:cs="Times New Roman"/>
              <w:kern w:val="2"/>
              <w:lang w:val="en-US" w:eastAsia="zh-CN" w:bidi="ar-SA"/>
            </w:rPr>
            <w:fldChar w:fldCharType="end"/>
          </w:r>
        </w:p>
        <w:p w14:paraId="5DAFC1C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_Toc11721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_Toc11721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4B85FBD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_Toc31485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_Toc31485 \h </w:instrText>
          </w:r>
          <w:r>
            <w:fldChar w:fldCharType="separate"/>
          </w:r>
          <w:r>
            <w:t>10</w:t>
          </w:r>
          <w:r>
            <w:fldChar w:fldCharType="end"/>
          </w:r>
          <w:r>
            <w:rPr>
              <w:rFonts w:hint="default" w:ascii="Times New Roman" w:hAnsi="Times New Roman" w:eastAsia="宋体" w:cs="Times New Roman"/>
              <w:kern w:val="2"/>
              <w:lang w:val="en-US" w:eastAsia="zh-CN" w:bidi="ar-SA"/>
            </w:rPr>
            <w:fldChar w:fldCharType="end"/>
          </w:r>
        </w:p>
        <w:p w14:paraId="6E51446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_Toc22218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_Toc22218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5F9854A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_Toc3156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6F18A4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_Toc5977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_Toc5977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B09C6B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_Toc8206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_Toc8206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6C50D6A5">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_Toc17040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_Toc17040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40DBE6B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_Toc14172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_Toc14172 \h </w:instrText>
          </w:r>
          <w:r>
            <w:fldChar w:fldCharType="separate"/>
          </w:r>
          <w:r>
            <w:t>14</w:t>
          </w:r>
          <w:r>
            <w:fldChar w:fldCharType="end"/>
          </w:r>
          <w:r>
            <w:rPr>
              <w:rFonts w:hint="default" w:ascii="Times New Roman" w:hAnsi="Times New Roman" w:eastAsia="宋体" w:cs="Times New Roman"/>
              <w:kern w:val="2"/>
              <w:lang w:val="en-US" w:eastAsia="zh-CN" w:bidi="ar-SA"/>
            </w:rPr>
            <w:fldChar w:fldCharType="end"/>
          </w:r>
        </w:p>
        <w:p w14:paraId="6E41632D">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_Toc19820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_Toc19820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6067FC2">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_Toc20877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_Toc20877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7A776D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_Toc18218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_Toc18218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DC0275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_Toc8583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_Toc8583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3F394276">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_Toc23875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_Toc23875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3E866349">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_Toc5190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_Toc5190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6FE80D7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_Toc4233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_Toc4233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0C68A19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_Toc22544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_Toc22544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8485132">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_Toc11255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_Toc11255 \h </w:instrText>
          </w:r>
          <w:r>
            <w:fldChar w:fldCharType="separate"/>
          </w:r>
          <w:r>
            <w:t>21</w:t>
          </w:r>
          <w:r>
            <w:fldChar w:fldCharType="end"/>
          </w:r>
          <w:r>
            <w:rPr>
              <w:rFonts w:hint="default" w:ascii="Times New Roman" w:hAnsi="Times New Roman" w:eastAsia="宋体" w:cs="Times New Roman"/>
              <w:kern w:val="2"/>
              <w:lang w:val="en-US" w:eastAsia="zh-CN" w:bidi="ar-SA"/>
            </w:rPr>
            <w:fldChar w:fldCharType="end"/>
          </w:r>
        </w:p>
        <w:p w14:paraId="27A442D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_Toc21116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_Toc21116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8" w:type="first"/>
          <w:footerReference r:id="rId6" w:type="default"/>
          <w:headerReference r:id="rId5" w:type="even"/>
          <w:footerReference r:id="rId7"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22423"/>
      <w:r>
        <w:rPr>
          <w:rStyle w:val="23"/>
          <w:rFonts w:hint="default" w:ascii="Times New Roman" w:hAnsi="Times New Roman" w:cs="Times New Roman"/>
          <w:b/>
          <w:sz w:val="32"/>
          <w:szCs w:val="32"/>
          <w:lang w:val="en-US" w:eastAsia="zh-CN"/>
        </w:rPr>
        <w:t>引言</w:t>
      </w:r>
      <w:bookmarkEnd w:id="0"/>
      <w:bookmarkEnd w:id="1"/>
    </w:p>
    <w:p w14:paraId="7E0D3611">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冶金设施是工业体系中的基础性设施，承担金属冶炼、精炼以及生产所需能源保障等功能，任务连续性与上下游生产密切相关。本报告覆盖电解、专用发电、钢铁冶炼、金属精炼以及不同尺度的综合冶金厂房。各类对象在建筑体量、工艺空间、设备布置和可燃物组成方面差异显著：电解厂房通常呈长跨连续布置，钢铁厂房围绕高温熔炼与物料转运组织，专用电厂包含燃料与动力设备区域，金、钽精炼设施则具有更紧凑的工艺分区和频繁的物料流转。外部热辐射作用于不同朝向时，迎火侧墙面、门窗与通风开口、可燃物和敏感目标分布均会变化，使设施毁伤响应呈现显著的非线性、方向性和尺度效应。</w:t>
      </w:r>
    </w:p>
    <w:p w14:paraId="06023643">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本报告建立基于 FDS 数值模拟数据的冶金设施工程预测方法。模型以热源工况特征与设施构型及目标特征为输入，同时预测连续毁伤指数 Dk 和四级毁伤结果。通过等级约束机制，连续值与工程等级保持一致，可用于热辐射工况快速筛查、阈值方向分析和代表性工况选择。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9"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当前合格数据共包含6558条模拟工况，其中冶金设施为 8 个、1512 条工况，包括 5 个特异设施模型和 3 个大、中、小等效设施模型。模型对各设施分别训练逐设施代理模型，以保证评价口径和模型参数一致；同时对冶金类测试子集和各冶金设施分别进行专项统计，并通过专项因素重要性分析解释阈值分布特征。</w:t>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22886"/>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8018"/>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8630"/>
      <w:r>
        <w:rPr>
          <w:rStyle w:val="23"/>
          <w:rFonts w:hint="eastAsia" w:ascii="Times New Roman" w:hAnsi="Times New Roman" w:cs="Times New Roman"/>
          <w:b/>
          <w:szCs w:val="24"/>
          <w:lang w:val="en-US" w:eastAsia="zh-CN"/>
        </w:rPr>
        <w:t>冶金设施</w:t>
      </w:r>
      <w:r>
        <w:rPr>
          <w:rStyle w:val="23"/>
          <w:rFonts w:hint="default" w:ascii="Times New Roman" w:hAnsi="Times New Roman" w:cs="Times New Roman"/>
          <w:b/>
          <w:szCs w:val="24"/>
          <w:lang w:val="en-US" w:eastAsia="zh-CN"/>
        </w:rPr>
        <w:t>分类</w:t>
      </w:r>
      <w:bookmarkEnd w:id="4"/>
    </w:p>
    <w:p w14:paraId="17F4F550">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本报告涉及的冶金设施共 8 个。其中，美铝电解设施、沃里克专用电厂、冶金钢铁厂、马特里昂布法罗金精炼设施和马特里昂牛顿钽精炼设施属于具有明确工程对象的特异设施模型；大型、中型和小型冶金等效设施用于表征不同尺度下的通用建筑与目标组合，属于等效设施模型。两类模型均包含完整的计算域、建筑与设备几何、开口、测点和资产损伤信息。</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从建筑功能看，电解设施以连续生产空间和电解槽设备区为主，钢铁设施具有大跨、高空间及高温工艺区相邻的特点，专用电厂围绕锅炉、动力和燃料输送系统组织，精炼设施则强调工艺单元、储运和检验空间之间的联系。钢结构、混凝土围护和局部轻质围护形成不同的热响应条件；大型门洞、采光窗、通风百叶及工艺开口既服务于物流与散热，也可能成为外部辐射进入内部的路径。上述差异通过迎火侧墙面、门窗与总开口比例等设施构型参数进入模型，并由各设施的专属模型分别表达。</w:t>
      </w:r>
    </w:p>
    <w:p w14:paraId="2CB3A0E3">
      <w:pPr>
        <w:pStyle w:val="16"/>
        <w:bidi w:val="0"/>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冶金设施模拟工况构成</w:t>
      </w:r>
    </w:p>
    <w:tbl>
      <w:tblPr>
        <w:tblStyle w:val="12"/>
        <w:tblW w:w="0" w:type="auto"/>
        <w:tblInd w:w="0" w:type="dxa"/>
        <w:tblLayout w:type="autofit"/>
        <w:tblCellMar>
          <w:top w:w="0" w:type="dxa"/>
          <w:left w:w="108" w:type="dxa"/>
          <w:bottom w:w="0" w:type="dxa"/>
          <w:right w:w="108" w:type="dxa"/>
        </w:tblCellMar>
      </w:tblPr>
      <w:tblGrid>
        <w:gridCol w:w="603"/>
        <w:gridCol w:w="2070"/>
        <w:gridCol w:w="2897"/>
        <w:gridCol w:w="1816"/>
        <w:gridCol w:w="1136"/>
      </w:tblGrid>
      <w:tr w14:paraId="6864EEB6">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789C488F">
            <w:pPr>
              <w:pStyle w:val="54"/>
              <w:bidi w:val="0"/>
              <w:rPr>
                <w:b w:val="0"/>
              </w:rPr>
            </w:pPr>
            <w:r>
              <w:rPr>
                <w:rFonts w:hint="eastAsia"/>
                <w:b w:val="0"/>
              </w:rPr>
              <w:t>序号</w:t>
            </w:r>
          </w:p>
        </w:tc>
        <w:tc>
          <w:tcPr>
            <w:tcBorders>
              <w:top w:val="single" w:color="000000" w:sz="12" w:space="0"/>
              <w:left w:val="nil"/>
              <w:bottom w:val="single" w:color="000000" w:sz="4" w:space="0"/>
              <w:right w:val="nil"/>
            </w:tcBorders>
            <w:shd w:val="clear" w:color="auto" w:fill="FFFFFF"/>
          </w:tcPr>
          <w:p w14:paraId="4A300320">
            <w:pPr>
              <w:pStyle w:val="54"/>
              <w:bidi w:val="0"/>
              <w:rPr>
                <w:b w:val="0"/>
              </w:rPr>
            </w:pPr>
            <w:r>
              <w:rPr>
                <w:rFonts w:hint="eastAsia"/>
                <w:b w:val="0"/>
              </w:rPr>
              <w:t>设施名称</w:t>
            </w:r>
          </w:p>
        </w:tc>
        <w:tc>
          <w:tcPr>
            <w:tcBorders>
              <w:top w:val="single" w:color="000000" w:sz="12" w:space="0"/>
              <w:left w:val="nil"/>
              <w:bottom w:val="single" w:color="000000" w:sz="4" w:space="0"/>
              <w:right w:val="nil"/>
            </w:tcBorders>
            <w:shd w:val="clear" w:color="auto" w:fill="FFFFFF"/>
          </w:tcPr>
          <w:p w14:paraId="28733BD8">
            <w:pPr>
              <w:pStyle w:val="54"/>
              <w:bidi w:val="0"/>
              <w:rPr>
                <w:b w:val="0"/>
              </w:rPr>
            </w:pPr>
            <w:r>
              <w:rPr>
                <w:rFonts w:hint="eastAsia"/>
                <w:b w:val="0"/>
              </w:rPr>
              <w:t>模型类型</w:t>
            </w:r>
          </w:p>
        </w:tc>
        <w:tc>
          <w:tcPr>
            <w:tcBorders>
              <w:top w:val="single" w:color="000000" w:sz="12" w:space="0"/>
              <w:left w:val="nil"/>
              <w:bottom w:val="single" w:color="000000" w:sz="4" w:space="0"/>
              <w:right w:val="nil"/>
            </w:tcBorders>
            <w:shd w:val="clear" w:color="auto" w:fill="FFFFFF"/>
          </w:tcPr>
          <w:p w14:paraId="532416D6">
            <w:pPr>
              <w:pStyle w:val="54"/>
              <w:bidi w:val="0"/>
              <w:rPr>
                <w:b w:val="0"/>
              </w:rPr>
            </w:pPr>
            <w:r>
              <w:rPr>
                <w:rFonts w:hint="eastAsia"/>
                <w:b w:val="0"/>
              </w:rPr>
              <w:t>工程分类</w:t>
            </w:r>
          </w:p>
        </w:tc>
        <w:tc>
          <w:tcPr>
            <w:tcBorders>
              <w:top w:val="single" w:color="000000" w:sz="12" w:space="0"/>
              <w:left w:val="nil"/>
              <w:bottom w:val="single" w:color="000000" w:sz="4" w:space="0"/>
              <w:right w:val="nil"/>
            </w:tcBorders>
            <w:shd w:val="clear" w:color="auto" w:fill="FFFFFF"/>
          </w:tcPr>
          <w:p w14:paraId="467A2326">
            <w:pPr>
              <w:pStyle w:val="54"/>
              <w:bidi w:val="0"/>
              <w:rPr>
                <w:b w:val="0"/>
              </w:rPr>
            </w:pPr>
            <w:r>
              <w:rPr>
                <w:rFonts w:hint="eastAsia"/>
                <w:b w:val="0"/>
              </w:rPr>
              <w:t>合格工况数</w:t>
            </w:r>
          </w:p>
        </w:tc>
      </w:tr>
      <w:tr w14:paraId="352426D5">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1A891820">
            <w:pPr>
              <w:pStyle w:val="54"/>
              <w:bidi w:val="0"/>
              <w:rPr>
                <w:b w:val="0"/>
              </w:rPr>
            </w:pPr>
            <w:r>
              <w:rPr>
                <w:b w:val="0"/>
              </w:rPr>
              <w:t>1</w:t>
            </w:r>
          </w:p>
        </w:tc>
        <w:tc>
          <w:tcPr>
            <w:tcBorders>
              <w:top w:val="single" w:color="000000" w:sz="4" w:space="0"/>
              <w:left w:val="nil"/>
              <w:bottom w:val="nil"/>
              <w:right w:val="nil"/>
            </w:tcBorders>
            <w:shd w:val="clear" w:color="auto" w:fill="FFFFFF"/>
          </w:tcPr>
          <w:p>
            <w:r>
              <w:t>冶金-电解厂</w:t>
            </w:r>
          </w:p>
        </w:tc>
        <w:tc>
          <w:tcPr>
            <w:tcBorders>
              <w:top w:val="single" w:color="000000" w:sz="4" w:space="0"/>
              <w:left w:val="nil"/>
              <w:bottom w:val="nil"/>
              <w:right w:val="nil"/>
            </w:tcBorders>
            <w:shd w:val="clear" w:color="auto" w:fill="FFFFFF"/>
          </w:tcPr>
          <w:p w14:paraId="0FEF8D6A">
            <w:pPr>
              <w:pStyle w:val="54"/>
              <w:bidi w:val="0"/>
              <w:rPr>
                <w:b w:val="0"/>
              </w:rPr>
            </w:pPr>
            <w:r>
              <w:rPr>
                <w:rFonts w:hint="eastAsia"/>
                <w:b w:val="0"/>
              </w:rPr>
              <w:t>特异设施模型</w:t>
            </w:r>
          </w:p>
        </w:tc>
        <w:tc>
          <w:tcPr>
            <w:tcBorders>
              <w:top w:val="single" w:color="000000" w:sz="4" w:space="0"/>
              <w:left w:val="nil"/>
              <w:bottom w:val="nil"/>
              <w:right w:val="nil"/>
            </w:tcBorders>
            <w:shd w:val="clear" w:color="auto" w:fill="FFFFFF"/>
          </w:tcPr>
          <w:p w14:paraId="3B0C3E46">
            <w:pPr>
              <w:pStyle w:val="54"/>
              <w:bidi w:val="0"/>
              <w:rPr>
                <w:b w:val="0"/>
              </w:rPr>
            </w:pPr>
            <w:r>
              <w:rPr>
                <w:rFonts w:hint="eastAsia"/>
                <w:b w:val="0"/>
              </w:rPr>
              <w:t>电解厂</w:t>
            </w:r>
          </w:p>
        </w:tc>
        <w:tc>
          <w:tcPr>
            <w:tcBorders>
              <w:top w:val="single" w:color="000000" w:sz="4" w:space="0"/>
              <w:left w:val="nil"/>
              <w:bottom w:val="nil"/>
              <w:right w:val="nil"/>
            </w:tcBorders>
            <w:shd w:val="clear" w:color="auto" w:fill="FFFFFF"/>
          </w:tcPr>
          <w:p>
            <w:r>
              <w:t>86</w:t>
            </w:r>
          </w:p>
        </w:tc>
      </w:tr>
      <w:tr w14:paraId="7E9B2B3D">
        <w:tblPrEx>
          <w:tblCellMar>
            <w:top w:w="0" w:type="dxa"/>
            <w:left w:w="108" w:type="dxa"/>
            <w:bottom w:w="0" w:type="dxa"/>
            <w:right w:w="108" w:type="dxa"/>
          </w:tblCellMar>
        </w:tblPrEx>
        <w:tc>
          <w:tcPr>
            <w:tcBorders>
              <w:top w:val="nil"/>
              <w:left w:val="nil"/>
              <w:bottom w:val="nil"/>
              <w:right w:val="nil"/>
            </w:tcBorders>
            <w:shd w:val="clear" w:color="auto" w:fill="FFFFFF"/>
          </w:tcPr>
          <w:p w14:paraId="41CC203E">
            <w:pPr>
              <w:pStyle w:val="54"/>
              <w:bidi w:val="0"/>
              <w:rPr>
                <w:b w:val="0"/>
              </w:rPr>
            </w:pPr>
            <w:r>
              <w:rPr>
                <w:b w:val="0"/>
              </w:rPr>
              <w:t>2</w:t>
            </w:r>
          </w:p>
        </w:tc>
        <w:tc>
          <w:tcPr>
            <w:tcBorders>
              <w:top w:val="nil"/>
              <w:left w:val="nil"/>
              <w:bottom w:val="nil"/>
              <w:right w:val="nil"/>
            </w:tcBorders>
            <w:shd w:val="clear" w:color="auto" w:fill="FFFFFF"/>
          </w:tcPr>
          <w:p>
            <w:r>
              <w:t>冶金-金精炼</w:t>
            </w:r>
          </w:p>
        </w:tc>
        <w:tc>
          <w:tcPr>
            <w:tcBorders>
              <w:top w:val="nil"/>
              <w:left w:val="nil"/>
              <w:bottom w:val="nil"/>
              <w:right w:val="nil"/>
            </w:tcBorders>
            <w:shd w:val="clear" w:color="auto" w:fill="FFFFFF"/>
          </w:tcPr>
          <w:p w14:paraId="664529B6">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44B6E52E">
            <w:pPr>
              <w:pStyle w:val="54"/>
              <w:bidi w:val="0"/>
              <w:rPr>
                <w:b w:val="0"/>
              </w:rPr>
            </w:pPr>
            <w:r>
              <w:rPr>
                <w:rFonts w:hint="eastAsia"/>
                <w:b w:val="0"/>
              </w:rPr>
              <w:t>金精炼厂</w:t>
            </w:r>
          </w:p>
        </w:tc>
        <w:tc>
          <w:tcPr>
            <w:tcBorders>
              <w:top w:val="nil"/>
              <w:left w:val="nil"/>
              <w:bottom w:val="nil"/>
              <w:right w:val="nil"/>
            </w:tcBorders>
            <w:shd w:val="clear" w:color="auto" w:fill="FFFFFF"/>
          </w:tcPr>
          <w:p>
            <w:r>
              <w:t>228</w:t>
            </w:r>
          </w:p>
        </w:tc>
      </w:tr>
      <w:tr w14:paraId="3C9B6D5D">
        <w:tblPrEx>
          <w:tblCellMar>
            <w:top w:w="0" w:type="dxa"/>
            <w:left w:w="108" w:type="dxa"/>
            <w:bottom w:w="0" w:type="dxa"/>
            <w:right w:w="108" w:type="dxa"/>
          </w:tblCellMar>
        </w:tblPrEx>
        <w:tc>
          <w:tcPr>
            <w:tcBorders>
              <w:top w:val="nil"/>
              <w:left w:val="nil"/>
              <w:bottom w:val="nil"/>
              <w:right w:val="nil"/>
            </w:tcBorders>
            <w:shd w:val="clear" w:color="auto" w:fill="FFFFFF"/>
          </w:tcPr>
          <w:p w14:paraId="7CDBD98D">
            <w:pPr>
              <w:pStyle w:val="54"/>
              <w:bidi w:val="0"/>
              <w:rPr>
                <w:b w:val="0"/>
              </w:rPr>
            </w:pPr>
            <w:r>
              <w:rPr>
                <w:b w:val="0"/>
              </w:rPr>
              <w:t>3</w:t>
            </w:r>
          </w:p>
        </w:tc>
        <w:tc>
          <w:tcPr>
            <w:tcBorders>
              <w:top w:val="nil"/>
              <w:left w:val="nil"/>
              <w:bottom w:val="nil"/>
              <w:right w:val="nil"/>
            </w:tcBorders>
            <w:shd w:val="clear" w:color="auto" w:fill="FFFFFF"/>
          </w:tcPr>
          <w:p>
            <w:r>
              <w:t>冶金-钽精炼</w:t>
            </w:r>
          </w:p>
        </w:tc>
        <w:tc>
          <w:tcPr>
            <w:tcBorders>
              <w:top w:val="nil"/>
              <w:left w:val="nil"/>
              <w:bottom w:val="nil"/>
              <w:right w:val="nil"/>
            </w:tcBorders>
            <w:shd w:val="clear" w:color="auto" w:fill="FFFFFF"/>
          </w:tcPr>
          <w:p w14:paraId="63714FAB">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121B0805">
            <w:pPr>
              <w:pStyle w:val="54"/>
              <w:bidi w:val="0"/>
              <w:rPr>
                <w:b w:val="0"/>
              </w:rPr>
            </w:pPr>
            <w:r>
              <w:rPr>
                <w:rFonts w:hint="eastAsia"/>
                <w:b w:val="0"/>
              </w:rPr>
              <w:t>钽精炼厂</w:t>
            </w:r>
          </w:p>
        </w:tc>
        <w:tc>
          <w:tcPr>
            <w:tcBorders>
              <w:top w:val="nil"/>
              <w:left w:val="nil"/>
              <w:bottom w:val="nil"/>
              <w:right w:val="nil"/>
            </w:tcBorders>
            <w:shd w:val="clear" w:color="auto" w:fill="FFFFFF"/>
          </w:tcPr>
          <w:p>
            <w:r>
              <w:t>235</w:t>
            </w:r>
          </w:p>
        </w:tc>
      </w:tr>
      <w:tr w14:paraId="3E1754F5">
        <w:tblPrEx>
          <w:tblCellMar>
            <w:top w:w="0" w:type="dxa"/>
            <w:left w:w="108" w:type="dxa"/>
            <w:bottom w:w="0" w:type="dxa"/>
            <w:right w:w="108" w:type="dxa"/>
          </w:tblCellMar>
        </w:tblPrEx>
        <w:tc>
          <w:tcPr>
            <w:tcBorders>
              <w:top w:val="nil"/>
              <w:left w:val="nil"/>
              <w:bottom w:val="nil"/>
              <w:right w:val="nil"/>
            </w:tcBorders>
            <w:shd w:val="clear" w:color="auto" w:fill="FFFFFF"/>
          </w:tcPr>
          <w:p w14:paraId="1BE74272">
            <w:pPr>
              <w:pStyle w:val="54"/>
              <w:bidi w:val="0"/>
              <w:rPr>
                <w:b w:val="0"/>
              </w:rPr>
            </w:pPr>
            <w:r>
              <w:rPr>
                <w:b w:val="0"/>
              </w:rPr>
              <w:t>4</w:t>
            </w:r>
          </w:p>
        </w:tc>
        <w:tc>
          <w:tcPr>
            <w:tcBorders>
              <w:top w:val="nil"/>
              <w:left w:val="nil"/>
              <w:bottom w:val="nil"/>
              <w:right w:val="nil"/>
            </w:tcBorders>
            <w:shd w:val="clear" w:color="auto" w:fill="FFFFFF"/>
          </w:tcPr>
          <w:p w14:paraId="24A0EEA0">
            <w:pPr>
              <w:pStyle w:val="54"/>
              <w:bidi w:val="0"/>
              <w:rPr>
                <w:b w:val="0"/>
              </w:rPr>
            </w:pPr>
            <w:r>
              <w:rPr>
                <w:rFonts w:hint="eastAsia"/>
                <w:b w:val="0"/>
              </w:rPr>
              <w:t>大型冶金等效设施</w:t>
            </w:r>
          </w:p>
        </w:tc>
        <w:tc>
          <w:tcPr>
            <w:tcBorders>
              <w:top w:val="nil"/>
              <w:left w:val="nil"/>
              <w:bottom w:val="nil"/>
              <w:right w:val="nil"/>
            </w:tcBorders>
            <w:shd w:val="clear" w:color="auto" w:fill="FFFFFF"/>
          </w:tcPr>
          <w:p w14:paraId="02911BF3">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C490D2D">
            <w:pPr>
              <w:pStyle w:val="54"/>
              <w:bidi w:val="0"/>
              <w:rPr>
                <w:b w:val="0"/>
              </w:rPr>
            </w:pPr>
            <w:r>
              <w:rPr>
                <w:rFonts w:hint="eastAsia"/>
                <w:b w:val="0"/>
              </w:rPr>
              <w:t>通用冶金设施（大）</w:t>
            </w:r>
          </w:p>
        </w:tc>
        <w:tc>
          <w:tcPr>
            <w:tcBorders>
              <w:top w:val="nil"/>
              <w:left w:val="nil"/>
              <w:bottom w:val="nil"/>
              <w:right w:val="nil"/>
            </w:tcBorders>
            <w:shd w:val="clear" w:color="auto" w:fill="FFFFFF"/>
          </w:tcPr>
          <w:p w14:paraId="3DDD833B">
            <w:pPr>
              <w:pStyle w:val="54"/>
              <w:bidi w:val="0"/>
              <w:rPr>
                <w:b w:val="0"/>
              </w:rPr>
            </w:pPr>
            <w:r>
              <w:rPr>
                <w:b w:val="0"/>
              </w:rPr>
              <w:t>228</w:t>
            </w:r>
          </w:p>
        </w:tc>
      </w:tr>
      <w:tr w14:paraId="02CC8573">
        <w:tblPrEx>
          <w:tblCellMar>
            <w:top w:w="0" w:type="dxa"/>
            <w:left w:w="108" w:type="dxa"/>
            <w:bottom w:w="0" w:type="dxa"/>
            <w:right w:w="108" w:type="dxa"/>
          </w:tblCellMar>
        </w:tblPrEx>
        <w:tc>
          <w:tcPr>
            <w:tcBorders>
              <w:top w:val="nil"/>
              <w:left w:val="nil"/>
              <w:bottom w:val="nil"/>
              <w:right w:val="nil"/>
            </w:tcBorders>
            <w:shd w:val="clear" w:color="auto" w:fill="FFFFFF"/>
          </w:tcPr>
          <w:p w14:paraId="560799B2">
            <w:pPr>
              <w:pStyle w:val="54"/>
              <w:bidi w:val="0"/>
              <w:rPr>
                <w:b w:val="0"/>
              </w:rPr>
            </w:pPr>
            <w:r>
              <w:rPr>
                <w:b w:val="0"/>
              </w:rPr>
              <w:t>5</w:t>
            </w:r>
          </w:p>
        </w:tc>
        <w:tc>
          <w:tcPr>
            <w:tcBorders>
              <w:top w:val="nil"/>
              <w:left w:val="nil"/>
              <w:bottom w:val="nil"/>
              <w:right w:val="nil"/>
            </w:tcBorders>
            <w:shd w:val="clear" w:color="auto" w:fill="FFFFFF"/>
          </w:tcPr>
          <w:p w14:paraId="5274FB9D">
            <w:pPr>
              <w:pStyle w:val="54"/>
              <w:bidi w:val="0"/>
              <w:rPr>
                <w:b w:val="0"/>
              </w:rPr>
            </w:pPr>
            <w:r>
              <w:rPr>
                <w:rFonts w:hint="eastAsia"/>
                <w:b w:val="0"/>
              </w:rPr>
              <w:t>中型冶金等效设施</w:t>
            </w:r>
          </w:p>
        </w:tc>
        <w:tc>
          <w:tcPr>
            <w:tcBorders>
              <w:top w:val="nil"/>
              <w:left w:val="nil"/>
              <w:bottom w:val="nil"/>
              <w:right w:val="nil"/>
            </w:tcBorders>
            <w:shd w:val="clear" w:color="auto" w:fill="FFFFFF"/>
          </w:tcPr>
          <w:p w14:paraId="71A761D6">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0397EAA">
            <w:pPr>
              <w:pStyle w:val="54"/>
              <w:bidi w:val="0"/>
              <w:rPr>
                <w:b w:val="0"/>
              </w:rPr>
            </w:pPr>
            <w:r>
              <w:rPr>
                <w:rFonts w:hint="eastAsia"/>
                <w:b w:val="0"/>
              </w:rPr>
              <w:t>通用冶金设施（中）</w:t>
            </w:r>
          </w:p>
        </w:tc>
        <w:tc>
          <w:tcPr>
            <w:tcBorders>
              <w:top w:val="nil"/>
              <w:left w:val="nil"/>
              <w:bottom w:val="nil"/>
              <w:right w:val="nil"/>
            </w:tcBorders>
            <w:shd w:val="clear" w:color="auto" w:fill="FFFFFF"/>
          </w:tcPr>
          <w:p w14:paraId="5272396A">
            <w:pPr>
              <w:pStyle w:val="54"/>
              <w:bidi w:val="0"/>
              <w:rPr>
                <w:b w:val="0"/>
              </w:rPr>
            </w:pPr>
            <w:r>
              <w:rPr>
                <w:b w:val="0"/>
              </w:rPr>
              <w:t>108</w:t>
            </w:r>
          </w:p>
        </w:tc>
      </w:tr>
      <w:tr w14:paraId="629C2B1B">
        <w:tblPrEx>
          <w:tblCellMar>
            <w:top w:w="0" w:type="dxa"/>
            <w:left w:w="108" w:type="dxa"/>
            <w:bottom w:w="0" w:type="dxa"/>
            <w:right w:w="108" w:type="dxa"/>
          </w:tblCellMar>
        </w:tblPrEx>
        <w:tc>
          <w:tcPr>
            <w:tcBorders>
              <w:top w:val="nil"/>
              <w:left w:val="nil"/>
              <w:bottom w:val="nil"/>
              <w:right w:val="nil"/>
            </w:tcBorders>
            <w:shd w:val="clear" w:color="auto" w:fill="FFFFFF"/>
          </w:tcPr>
          <w:p w14:paraId="3B29D1E3">
            <w:pPr>
              <w:pStyle w:val="54"/>
              <w:bidi w:val="0"/>
              <w:rPr>
                <w:b w:val="0"/>
              </w:rPr>
            </w:pPr>
            <w:r>
              <w:rPr>
                <w:b w:val="0"/>
              </w:rPr>
              <w:t>6</w:t>
            </w:r>
          </w:p>
        </w:tc>
        <w:tc>
          <w:tcPr>
            <w:tcBorders>
              <w:top w:val="nil"/>
              <w:left w:val="nil"/>
              <w:bottom w:val="nil"/>
              <w:right w:val="nil"/>
            </w:tcBorders>
            <w:shd w:val="clear" w:color="auto" w:fill="FFFFFF"/>
          </w:tcPr>
          <w:p w14:paraId="35B011FB">
            <w:pPr>
              <w:pStyle w:val="54"/>
              <w:bidi w:val="0"/>
              <w:rPr>
                <w:b w:val="0"/>
              </w:rPr>
            </w:pPr>
            <w:r>
              <w:rPr>
                <w:rFonts w:hint="eastAsia"/>
                <w:b w:val="0"/>
              </w:rPr>
              <w:t>小型冶金等效设施</w:t>
            </w:r>
          </w:p>
        </w:tc>
        <w:tc>
          <w:tcPr>
            <w:tcBorders>
              <w:top w:val="nil"/>
              <w:left w:val="nil"/>
              <w:bottom w:val="nil"/>
              <w:right w:val="nil"/>
            </w:tcBorders>
            <w:shd w:val="clear" w:color="auto" w:fill="FFFFFF"/>
          </w:tcPr>
          <w:p w14:paraId="10C8E141">
            <w:pPr>
              <w:pStyle w:val="54"/>
              <w:bidi w:val="0"/>
              <w:rPr>
                <w:b w:val="0"/>
              </w:rPr>
            </w:pPr>
            <w:r>
              <w:rPr>
                <w:rFonts w:hint="eastAsia"/>
                <w:b w:val="0"/>
              </w:rPr>
              <w:t>等效设施模型</w:t>
            </w:r>
          </w:p>
        </w:tc>
        <w:tc>
          <w:tcPr>
            <w:tcBorders>
              <w:top w:val="nil"/>
              <w:left w:val="nil"/>
              <w:bottom w:val="nil"/>
              <w:right w:val="nil"/>
            </w:tcBorders>
            <w:shd w:val="clear" w:color="auto" w:fill="FFFFFF"/>
          </w:tcPr>
          <w:p w14:paraId="765B7DE3">
            <w:pPr>
              <w:pStyle w:val="54"/>
              <w:bidi w:val="0"/>
              <w:rPr>
                <w:b w:val="0"/>
              </w:rPr>
            </w:pPr>
            <w:r>
              <w:rPr>
                <w:rFonts w:hint="eastAsia"/>
                <w:b w:val="0"/>
              </w:rPr>
              <w:t>通用冶金设施（小）</w:t>
            </w:r>
          </w:p>
        </w:tc>
        <w:tc>
          <w:tcPr>
            <w:tcBorders>
              <w:top w:val="nil"/>
              <w:left w:val="nil"/>
              <w:bottom w:val="nil"/>
              <w:right w:val="nil"/>
            </w:tcBorders>
            <w:shd w:val="clear" w:color="auto" w:fill="FFFFFF"/>
          </w:tcPr>
          <w:p w14:paraId="0E382EF2">
            <w:pPr>
              <w:pStyle w:val="54"/>
              <w:bidi w:val="0"/>
              <w:rPr>
                <w:b w:val="0"/>
              </w:rPr>
            </w:pPr>
            <w:r>
              <w:rPr>
                <w:b w:val="0"/>
              </w:rPr>
              <w:t>108</w:t>
            </w:r>
          </w:p>
        </w:tc>
      </w:tr>
      <w:tr w14:paraId="2C8F31C3">
        <w:tblPrEx>
          <w:tblCellMar>
            <w:top w:w="0" w:type="dxa"/>
            <w:left w:w="108" w:type="dxa"/>
            <w:bottom w:w="0" w:type="dxa"/>
            <w:right w:w="108" w:type="dxa"/>
          </w:tblCellMar>
        </w:tblPrEx>
        <w:tc>
          <w:tcPr>
            <w:tcBorders>
              <w:top w:val="nil"/>
              <w:left w:val="nil"/>
              <w:bottom w:val="nil"/>
              <w:right w:val="nil"/>
            </w:tcBorders>
            <w:shd w:val="clear" w:color="auto" w:fill="FFFFFF"/>
          </w:tcPr>
          <w:p w14:paraId="4C88039B">
            <w:pPr>
              <w:pStyle w:val="54"/>
              <w:bidi w:val="0"/>
              <w:rPr>
                <w:b w:val="0"/>
              </w:rPr>
            </w:pPr>
            <w:r>
              <w:rPr>
                <w:b w:val="0"/>
              </w:rPr>
              <w:t>7</w:t>
            </w:r>
          </w:p>
        </w:tc>
        <w:tc>
          <w:tcPr>
            <w:tcBorders>
              <w:top w:val="nil"/>
              <w:left w:val="nil"/>
              <w:bottom w:val="nil"/>
              <w:right w:val="nil"/>
            </w:tcBorders>
            <w:shd w:val="clear" w:color="auto" w:fill="FFFFFF"/>
          </w:tcPr>
          <w:p>
            <w:r>
              <w:t>冶金-发电厂</w:t>
            </w:r>
          </w:p>
        </w:tc>
        <w:tc>
          <w:tcPr>
            <w:tcBorders>
              <w:top w:val="nil"/>
              <w:left w:val="nil"/>
              <w:bottom w:val="nil"/>
              <w:right w:val="nil"/>
            </w:tcBorders>
            <w:shd w:val="clear" w:color="auto" w:fill="FFFFFF"/>
          </w:tcPr>
          <w:p w14:paraId="1D160EEB">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14842753">
            <w:pPr>
              <w:pStyle w:val="54"/>
              <w:bidi w:val="0"/>
              <w:rPr>
                <w:b w:val="0"/>
              </w:rPr>
            </w:pPr>
            <w:r>
              <w:rPr>
                <w:rFonts w:hint="eastAsia"/>
                <w:b w:val="0"/>
              </w:rPr>
              <w:t>专用电厂</w:t>
            </w:r>
          </w:p>
        </w:tc>
        <w:tc>
          <w:tcPr>
            <w:tcBorders>
              <w:top w:val="nil"/>
              <w:left w:val="nil"/>
              <w:bottom w:val="nil"/>
              <w:right w:val="nil"/>
            </w:tcBorders>
            <w:shd w:val="clear" w:color="auto" w:fill="FFFFFF"/>
          </w:tcPr>
          <w:p>
            <w:r>
              <w:t>192</w:t>
            </w:r>
          </w:p>
        </w:tc>
      </w:tr>
      <w:tr w14:paraId="2CB2AFB5">
        <w:tblPrEx>
          <w:tblCellMar>
            <w:top w:w="0" w:type="dxa"/>
            <w:left w:w="108" w:type="dxa"/>
            <w:bottom w:w="0" w:type="dxa"/>
            <w:right w:w="108" w:type="dxa"/>
          </w:tblCellMar>
        </w:tblPrEx>
        <w:tc>
          <w:tcPr>
            <w:tcBorders>
              <w:top w:val="nil"/>
              <w:left w:val="nil"/>
              <w:bottom w:val="nil"/>
              <w:right w:val="nil"/>
            </w:tcBorders>
            <w:shd w:val="clear" w:color="auto" w:fill="FFFFFF"/>
          </w:tcPr>
          <w:p w14:paraId="29A0A4A7">
            <w:pPr>
              <w:pStyle w:val="54"/>
              <w:bidi w:val="0"/>
              <w:rPr>
                <w:b w:val="0"/>
              </w:rPr>
            </w:pPr>
            <w:r>
              <w:rPr>
                <w:b w:val="0"/>
              </w:rPr>
              <w:t>8</w:t>
            </w:r>
          </w:p>
        </w:tc>
        <w:tc>
          <w:tcPr>
            <w:tcBorders>
              <w:top w:val="nil"/>
              <w:left w:val="nil"/>
              <w:bottom w:val="nil"/>
              <w:right w:val="nil"/>
            </w:tcBorders>
            <w:shd w:val="clear" w:color="auto" w:fill="FFFFFF"/>
          </w:tcPr>
          <w:p>
            <w:r>
              <w:t>冶金-钢铁厂</w:t>
            </w:r>
          </w:p>
        </w:tc>
        <w:tc>
          <w:tcPr>
            <w:tcBorders>
              <w:top w:val="nil"/>
              <w:left w:val="nil"/>
              <w:bottom w:val="nil"/>
              <w:right w:val="nil"/>
            </w:tcBorders>
            <w:shd w:val="clear" w:color="auto" w:fill="FFFFFF"/>
          </w:tcPr>
          <w:p w14:paraId="032C218A">
            <w:pPr>
              <w:pStyle w:val="54"/>
              <w:bidi w:val="0"/>
              <w:rPr>
                <w:b w:val="0"/>
              </w:rPr>
            </w:pPr>
            <w:r>
              <w:rPr>
                <w:rFonts w:hint="eastAsia"/>
                <w:b w:val="0"/>
              </w:rPr>
              <w:t>特异设施模型</w:t>
            </w:r>
          </w:p>
        </w:tc>
        <w:tc>
          <w:tcPr>
            <w:tcBorders>
              <w:top w:val="nil"/>
              <w:left w:val="nil"/>
              <w:bottom w:val="nil"/>
              <w:right w:val="nil"/>
            </w:tcBorders>
            <w:shd w:val="clear" w:color="auto" w:fill="FFFFFF"/>
          </w:tcPr>
          <w:p w14:paraId="41F64521">
            <w:pPr>
              <w:pStyle w:val="54"/>
              <w:bidi w:val="0"/>
              <w:rPr>
                <w:b w:val="0"/>
              </w:rPr>
            </w:pPr>
            <w:r>
              <w:rPr>
                <w:rFonts w:hint="eastAsia"/>
                <w:b w:val="0"/>
              </w:rPr>
              <w:t>钢铁厂</w:t>
            </w:r>
          </w:p>
        </w:tc>
        <w:tc>
          <w:tcPr>
            <w:tcBorders>
              <w:top w:val="nil"/>
              <w:left w:val="nil"/>
              <w:bottom w:val="nil"/>
              <w:right w:val="nil"/>
            </w:tcBorders>
            <w:shd w:val="clear" w:color="auto" w:fill="FFFFFF"/>
          </w:tcPr>
          <w:p>
            <w:r>
              <w:t>183</w:t>
            </w:r>
          </w:p>
        </w:tc>
      </w:tr>
      <w:tr w14:paraId="737AC883">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0E930A41">
            <w:pPr>
              <w:pStyle w:val="54"/>
              <w:bidi w:val="0"/>
              <w:rPr>
                <w:b w:val="0"/>
              </w:rPr>
            </w:pPr>
            <w:r>
              <w:rPr>
                <w:rFonts w:hint="eastAsia"/>
                <w:b w:val="0"/>
              </w:rPr>
              <w:t>合计</w:t>
            </w:r>
          </w:p>
        </w:tc>
        <w:tc>
          <w:tcPr>
            <w:tcBorders>
              <w:top w:val="nil"/>
              <w:left w:val="nil"/>
              <w:bottom w:val="single" w:color="000000" w:sz="12" w:space="0"/>
              <w:right w:val="nil"/>
            </w:tcBorders>
            <w:shd w:val="clear" w:color="auto" w:fill="FFFFFF"/>
          </w:tcPr>
          <w:p w14:paraId="17FA237A">
            <w:pPr>
              <w:pStyle w:val="54"/>
              <w:bidi w:val="0"/>
              <w:rPr>
                <w:b w:val="0"/>
              </w:rPr>
            </w:pPr>
            <w:r>
              <w:rPr>
                <w:b w:val="0"/>
              </w:rPr>
              <w:t xml:space="preserve">8 </w:t>
            </w:r>
            <w:r>
              <w:rPr>
                <w:rFonts w:hint="eastAsia"/>
                <w:b w:val="0"/>
              </w:rPr>
              <w:t>个设施</w:t>
            </w:r>
          </w:p>
        </w:tc>
        <w:tc>
          <w:tcPr>
            <w:tcBorders>
              <w:top w:val="nil"/>
              <w:left w:val="nil"/>
              <w:bottom w:val="single" w:color="000000" w:sz="12" w:space="0"/>
              <w:right w:val="nil"/>
            </w:tcBorders>
            <w:shd w:val="clear" w:color="auto" w:fill="FFFFFF"/>
          </w:tcPr>
          <w:p w14:paraId="27542B43">
            <w:pPr>
              <w:pStyle w:val="54"/>
              <w:bidi w:val="0"/>
              <w:rPr>
                <w:b w:val="0"/>
              </w:rPr>
            </w:pPr>
            <w:r>
              <w:rPr>
                <w:b w:val="0"/>
              </w:rPr>
              <w:t xml:space="preserve">5 </w:t>
            </w:r>
            <w:r>
              <w:rPr>
                <w:rFonts w:hint="eastAsia"/>
                <w:b w:val="0"/>
              </w:rPr>
              <w:t>个特异设施模型、3</w:t>
            </w:r>
            <w:r>
              <w:rPr>
                <w:b w:val="0"/>
              </w:rPr>
              <w:t xml:space="preserve"> </w:t>
            </w:r>
            <w:r>
              <w:rPr>
                <w:rFonts w:hint="eastAsia"/>
                <w:b w:val="0"/>
              </w:rPr>
              <w:t>个等效设施模型</w:t>
            </w:r>
          </w:p>
        </w:tc>
        <w:tc>
          <w:tcPr>
            <w:tcBorders>
              <w:top w:val="nil"/>
              <w:left w:val="nil"/>
              <w:bottom w:val="single" w:color="000000" w:sz="12" w:space="0"/>
              <w:right w:val="nil"/>
            </w:tcBorders>
            <w:shd w:val="clear" w:color="auto" w:fill="FFFFFF"/>
          </w:tcPr>
          <w:p w14:paraId="4BE2802A">
            <w:pPr>
              <w:pStyle w:val="54"/>
              <w:bidi w:val="0"/>
              <w:rPr>
                <w:b w:val="0"/>
              </w:rPr>
            </w:pPr>
            <w:r>
              <w:rPr>
                <w:b w:val="0"/>
              </w:rPr>
              <w:t>—</w:t>
            </w:r>
          </w:p>
        </w:tc>
        <w:tc>
          <w:tcPr>
            <w:tcBorders>
              <w:top w:val="nil"/>
              <w:left w:val="nil"/>
              <w:bottom w:val="single" w:color="000000" w:sz="12" w:space="0"/>
              <w:right w:val="nil"/>
            </w:tcBorders>
            <w:shd w:val="clear" w:color="auto" w:fill="FFFFFF"/>
          </w:tcPr>
          <w:p>
            <w:r>
              <w:t>1512</w:t>
            </w:r>
          </w:p>
        </w:tc>
      </w:tr>
    </w:tbl>
    <w:p w14:paraId="50CFECBF">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15233"/>
      <w:r>
        <w:rPr>
          <w:rStyle w:val="23"/>
          <w:rFonts w:hint="default" w:ascii="Times New Roman" w:hAnsi="Times New Roman" w:cs="Times New Roman"/>
          <w:szCs w:val="24"/>
          <w:lang w:val="en-US" w:eastAsia="zh-CN"/>
        </w:rPr>
        <w:t>热辐射HS与建筑响应特征</w:t>
      </w:r>
      <w:bookmarkEnd w:id="5"/>
    </w:p>
    <w:p w14:paraId="344C75CC">
      <w:pPr>
        <w:rPr>
          <w:rFonts w:hint="eastAsia" w:ascii="Times New Roman" w:hAnsi="Times New Roman" w:cs="Times New Roman"/>
          <w:lang w:val="en-US" w:eastAsia="zh-CN"/>
        </w:rPr>
      </w:pPr>
      <w:r>
        <w:rPr>
          <w:rFonts w:hint="eastAsia" w:ascii="Times New Roman" w:hAnsi="Times New Roman" w:cs="Times New Roman"/>
          <w:lang w:val="en-US" w:eastAsia="zh-CN"/>
        </w:rPr>
        <w:t>冶金设施的设施级毁伤主要受热源强度、作用时间、受热方向、建筑体量、迎火侧开口和敏感目标分布共同影响。热通量和热剂量决定外部能量输入；方位角和俯仰角决定受热墙面及开口位置；建筑平面面积、体积和高度通过迎火侧墙面面积、总开口比例等模型输入反映热量在设施空间中的分布条件；可燃物与敏感目标的密度及迎火侧比例则决定可能形成有效损伤的目标数量。</w:t>
      </w:r>
    </w:p>
    <w:p w14:paraId="7CD2D4C7">
      <w:pPr>
        <w:rPr>
          <w:rFonts w:hint="default" w:ascii="Times New Roman" w:hAnsi="Times New Roman" w:cs="Times New Roman"/>
          <w:lang w:val="en-US" w:eastAsia="zh-CN"/>
        </w:rPr>
      </w:pPr>
      <w:r>
        <w:rPr>
          <w:rFonts w:hint="eastAsia" w:ascii="Times New Roman" w:hAnsi="Times New Roman" w:cs="Times New Roman"/>
          <w:lang w:val="en-US" w:eastAsia="zh-CN"/>
        </w:rPr>
        <w:t>设施级毁伤并不是单一测点温度或局部设备损伤的直接替代。大型设施即使出现少量局部资产受损，其维修成本占设施总资产价值的比例仍可能较低；而目标较集中、迎火侧开口较大或敏感目标直接暴露的方向，则更容易跨越毁伤等级阈值。因此，阈值分析必须同时考虑热源条件、方向和设施工程特征。</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29420"/>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各冶金设施在不同方向与工况下的毁伤响应规律，为进一步开展精细仿真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w:t>
      </w:r>
      <w:r>
        <w:rPr>
          <w:rFonts w:hint="eastAsia" w:ascii="Times New Roman" w:hAnsi="Times New Roman" w:cs="Times New Roman"/>
          <w:lang w:eastAsia="zh-CN"/>
        </w:rPr>
        <w:t>冶金设施</w:t>
      </w:r>
      <w:r>
        <w:rPr>
          <w:rFonts w:hint="default" w:ascii="Times New Roman" w:hAnsi="Times New Roman" w:cs="Times New Roman"/>
        </w:rPr>
        <w:t>和的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实测平均 0.188 s，含模型加载</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eastAsia"/>
                <w:lang w:eastAsia="zh-CN"/>
              </w:rPr>
              <w:t>冶金设施</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0"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18227"/>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32761"/>
      <w:r>
        <w:rPr>
          <w:rFonts w:hint="default" w:ascii="Times New Roman" w:hAnsi="Times New Roman" w:cs="Times New Roman"/>
          <w:lang w:val="en-US" w:eastAsia="zh-CN"/>
        </w:rPr>
        <w:t>数据组成</w:t>
      </w:r>
      <w:bookmarkEnd w:id="8"/>
    </w:p>
    <w:p w14:paraId="60C28E4E">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模型提供建筑计算域、障碍物、门窗与通风口、设备测点、敏感目标位置以及热辐射输入；损伤计算结果提供设施修复成本、资产价值和连续毁伤指数 Dk。经过完整性、有效性和取值范围检查后，形成 6558 条合格工况，其中冶金设施 1512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厂房尺度是连续分布，无法逐一模拟，各规模档以一段长度、宽度范围定义，模拟时取该范围内的代表值。冶金等效设施涵盖电解、发电和钢铁生产等典型工艺空间，各规模的几何参数范围与代表值如下表所示。</w:t>
      </w:r>
    </w:p>
    <w:p w14:paraId="7925176B">
      <w:pPr>
        <w:pStyle w:val="16"/>
        <w:bidi w:val="0"/>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t xml:space="preserve"> </w:t>
      </w:r>
      <w:r>
        <w:rPr>
          <w:rFonts w:hint="eastAsia"/>
        </w:rPr>
        <w:t>冶金等效设施规模分级与典型几何参数</w:t>
      </w:r>
    </w:p>
    <w:tbl>
      <w:tblPr>
        <w:tblStyle w:val="12"/>
        <w:tblW w:w="0" w:type="auto"/>
        <w:tblInd w:w="0" w:type="dxa"/>
        <w:tblLayout w:type="autofit"/>
        <w:tblCellMar>
          <w:top w:w="0" w:type="dxa"/>
          <w:left w:w="108" w:type="dxa"/>
          <w:bottom w:w="0" w:type="dxa"/>
          <w:right w:w="108" w:type="dxa"/>
        </w:tblCellMar>
      </w:tblPr>
      <w:tblGrid>
        <w:gridCol w:w="826"/>
        <w:gridCol w:w="579"/>
        <w:gridCol w:w="1461"/>
        <w:gridCol w:w="1376"/>
        <w:gridCol w:w="1376"/>
        <w:gridCol w:w="2324"/>
        <w:gridCol w:w="580"/>
      </w:tblGrid>
      <w:tr w14:paraId="1E1D9E0B">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6DE1E290">
            <w:pPr>
              <w:pStyle w:val="54"/>
              <w:bidi w:val="0"/>
            </w:pPr>
            <w:r>
              <w:rPr>
                <w:rFonts w:hint="eastAsia"/>
              </w:rPr>
              <w:t>建筑功能</w:t>
            </w:r>
          </w:p>
        </w:tc>
        <w:tc>
          <w:tcPr>
            <w:tcBorders>
              <w:top w:val="single" w:color="000000" w:sz="12" w:space="0"/>
              <w:left w:val="nil"/>
              <w:bottom w:val="single" w:color="000000" w:sz="4" w:space="0"/>
              <w:right w:val="nil"/>
            </w:tcBorders>
            <w:shd w:val="clear" w:color="auto" w:fill="FFFFFF"/>
          </w:tcPr>
          <w:p w14:paraId="606B6E08">
            <w:pPr>
              <w:pStyle w:val="54"/>
              <w:bidi w:val="0"/>
            </w:pPr>
            <w:r>
              <w:rPr>
                <w:rFonts w:hint="eastAsia"/>
              </w:rPr>
              <w:t>规模</w:t>
            </w:r>
          </w:p>
        </w:tc>
        <w:tc>
          <w:tcPr>
            <w:tcBorders>
              <w:top w:val="single" w:color="000000" w:sz="12" w:space="0"/>
              <w:left w:val="nil"/>
              <w:bottom w:val="single" w:color="000000" w:sz="4" w:space="0"/>
              <w:right w:val="nil"/>
            </w:tcBorders>
            <w:shd w:val="clear" w:color="auto" w:fill="FFFFFF"/>
          </w:tcPr>
          <w:p w14:paraId="405DD792">
            <w:pPr>
              <w:pStyle w:val="54"/>
              <w:bidi w:val="0"/>
            </w:pPr>
            <w:r>
              <w:rPr>
                <w:rFonts w:hint="eastAsia"/>
              </w:rPr>
              <w:t>长度范围（m）</w:t>
            </w:r>
          </w:p>
        </w:tc>
        <w:tc>
          <w:tcPr>
            <w:tcBorders>
              <w:top w:val="single" w:color="000000" w:sz="12" w:space="0"/>
              <w:left w:val="nil"/>
              <w:bottom w:val="single" w:color="000000" w:sz="4" w:space="0"/>
              <w:right w:val="nil"/>
            </w:tcBorders>
            <w:shd w:val="clear" w:color="auto" w:fill="FFFFFF"/>
          </w:tcPr>
          <w:p w14:paraId="4F502B57">
            <w:pPr>
              <w:pStyle w:val="54"/>
              <w:bidi w:val="0"/>
            </w:pPr>
            <w:r>
              <w:rPr>
                <w:rFonts w:hint="eastAsia"/>
              </w:rPr>
              <w:t>宽度范围（m）</w:t>
            </w:r>
          </w:p>
        </w:tc>
        <w:tc>
          <w:tcPr>
            <w:tcBorders>
              <w:top w:val="single" w:color="000000" w:sz="12" w:space="0"/>
              <w:left w:val="nil"/>
              <w:bottom w:val="single" w:color="000000" w:sz="4" w:space="0"/>
              <w:right w:val="nil"/>
            </w:tcBorders>
            <w:shd w:val="clear" w:color="auto" w:fill="FFFFFF"/>
          </w:tcPr>
          <w:p w14:paraId="66C87E43">
            <w:pPr>
              <w:pStyle w:val="54"/>
              <w:bidi w:val="0"/>
            </w:pPr>
            <w:r>
              <w:rPr>
                <w:rFonts w:hint="eastAsia"/>
              </w:rPr>
              <w:t>高度范围（m）</w:t>
            </w:r>
          </w:p>
        </w:tc>
        <w:tc>
          <w:tcPr>
            <w:tcBorders>
              <w:top w:val="single" w:color="000000" w:sz="12" w:space="0"/>
              <w:left w:val="nil"/>
              <w:bottom w:val="single" w:color="000000" w:sz="4" w:space="0"/>
              <w:right w:val="nil"/>
            </w:tcBorders>
            <w:shd w:val="clear" w:color="auto" w:fill="FFFFFF"/>
          </w:tcPr>
          <w:p w14:paraId="2F78D5FA">
            <w:pPr>
              <w:pStyle w:val="54"/>
              <w:bidi w:val="0"/>
            </w:pPr>
            <w:r>
              <w:rPr>
                <w:rFonts w:hint="eastAsia"/>
              </w:rPr>
              <w:t>模拟代表值（长×宽×高）</w:t>
            </w:r>
          </w:p>
        </w:tc>
        <w:tc>
          <w:tcPr>
            <w:tcBorders>
              <w:top w:val="single" w:color="000000" w:sz="12" w:space="0"/>
              <w:left w:val="nil"/>
              <w:bottom w:val="single" w:color="000000" w:sz="4" w:space="0"/>
              <w:right w:val="nil"/>
            </w:tcBorders>
            <w:shd w:val="clear" w:color="auto" w:fill="FFFFFF"/>
          </w:tcPr>
          <w:p w14:paraId="20DBB227">
            <w:pPr>
              <w:pStyle w:val="54"/>
              <w:bidi w:val="0"/>
            </w:pPr>
            <w:r>
              <w:rPr>
                <w:rFonts w:hint="eastAsia"/>
              </w:rPr>
              <w:t>层数</w:t>
            </w:r>
          </w:p>
        </w:tc>
      </w:tr>
      <w:tr w14:paraId="0FD9B626">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3CAE94DF">
            <w:pPr>
              <w:pStyle w:val="54"/>
              <w:bidi w:val="0"/>
            </w:pPr>
            <w:r>
              <w:rPr>
                <w:rFonts w:hint="eastAsia"/>
              </w:rPr>
              <w:t>电解工厂</w:t>
            </w:r>
          </w:p>
        </w:tc>
        <w:tc>
          <w:tcPr>
            <w:tcBorders>
              <w:top w:val="single" w:color="000000" w:sz="4" w:space="0"/>
              <w:left w:val="nil"/>
              <w:bottom w:val="nil"/>
              <w:right w:val="nil"/>
            </w:tcBorders>
            <w:shd w:val="clear" w:color="auto" w:fill="FFFFFF"/>
          </w:tcPr>
          <w:p w14:paraId="0C33BD43">
            <w:pPr>
              <w:pStyle w:val="54"/>
              <w:bidi w:val="0"/>
            </w:pPr>
            <w:r>
              <w:rPr>
                <w:rFonts w:hint="eastAsia"/>
              </w:rPr>
              <w:t>小</w:t>
            </w:r>
          </w:p>
        </w:tc>
        <w:tc>
          <w:tcPr>
            <w:tcBorders>
              <w:top w:val="single" w:color="000000" w:sz="4" w:space="0"/>
              <w:left w:val="nil"/>
              <w:bottom w:val="nil"/>
              <w:right w:val="nil"/>
            </w:tcBorders>
            <w:shd w:val="clear" w:color="auto" w:fill="FFFFFF"/>
          </w:tcPr>
          <w:p w14:paraId="0659E28D">
            <w:pPr>
              <w:pStyle w:val="54"/>
              <w:bidi w:val="0"/>
            </w:pPr>
            <w:r>
              <w:rPr>
                <w:rFonts w:hint="eastAsia"/>
                <w:lang w:val="en-US" w:eastAsia="zh-CN"/>
              </w:rPr>
              <w:t>&lt;</w:t>
            </w:r>
            <w:r>
              <w:t>200</w:t>
            </w:r>
          </w:p>
        </w:tc>
        <w:tc>
          <w:tcPr>
            <w:tcBorders>
              <w:top w:val="single" w:color="000000" w:sz="4" w:space="0"/>
              <w:left w:val="nil"/>
              <w:bottom w:val="nil"/>
              <w:right w:val="nil"/>
            </w:tcBorders>
            <w:shd w:val="clear" w:color="auto" w:fill="FFFFFF"/>
          </w:tcPr>
          <w:p w14:paraId="7065B032">
            <w:pPr>
              <w:pStyle w:val="54"/>
              <w:bidi w:val="0"/>
            </w:pPr>
            <w:r>
              <w:rPr>
                <w:rFonts w:hint="eastAsia"/>
                <w:lang w:val="en-US" w:eastAsia="zh-CN"/>
              </w:rPr>
              <w:t>&lt;</w:t>
            </w:r>
            <w:r>
              <w:t>18</w:t>
            </w:r>
          </w:p>
        </w:tc>
        <w:tc>
          <w:tcPr>
            <w:tcBorders>
              <w:top w:val="single" w:color="000000" w:sz="4" w:space="0"/>
              <w:left w:val="nil"/>
              <w:bottom w:val="nil"/>
              <w:right w:val="nil"/>
            </w:tcBorders>
            <w:shd w:val="clear" w:color="auto" w:fill="FFFFFF"/>
          </w:tcPr>
          <w:p w14:paraId="22AE3854">
            <w:pPr>
              <w:pStyle w:val="54"/>
              <w:bidi w:val="0"/>
            </w:pPr>
            <w:r>
              <w:rPr>
                <w:rFonts w:hint="eastAsia"/>
                <w:lang w:val="en-US" w:eastAsia="zh-CN"/>
              </w:rPr>
              <w:t>&lt;</w:t>
            </w:r>
            <w:r>
              <w:t>13</w:t>
            </w:r>
          </w:p>
        </w:tc>
        <w:tc>
          <w:tcPr>
            <w:tcBorders>
              <w:top w:val="single" w:color="000000" w:sz="4" w:space="0"/>
              <w:left w:val="nil"/>
              <w:bottom w:val="nil"/>
              <w:right w:val="nil"/>
            </w:tcBorders>
            <w:shd w:val="clear" w:color="auto" w:fill="FFFFFF"/>
          </w:tcPr>
          <w:p w14:paraId="6EC631D8">
            <w:pPr>
              <w:pStyle w:val="54"/>
              <w:bidi w:val="0"/>
            </w:pPr>
            <w:r>
              <w:t>180×16×12</w:t>
            </w:r>
          </w:p>
        </w:tc>
        <w:tc>
          <w:tcPr>
            <w:tcBorders>
              <w:top w:val="single" w:color="000000" w:sz="4" w:space="0"/>
              <w:left w:val="nil"/>
              <w:bottom w:val="nil"/>
              <w:right w:val="nil"/>
            </w:tcBorders>
            <w:shd w:val="clear" w:color="auto" w:fill="FFFFFF"/>
          </w:tcPr>
          <w:p w14:paraId="6F1FB0B3">
            <w:pPr>
              <w:pStyle w:val="54"/>
              <w:bidi w:val="0"/>
            </w:pPr>
            <w:r>
              <w:t>1</w:t>
            </w:r>
          </w:p>
        </w:tc>
      </w:tr>
      <w:tr w14:paraId="55760C77">
        <w:tblPrEx>
          <w:tblCellMar>
            <w:top w:w="0" w:type="dxa"/>
            <w:left w:w="108" w:type="dxa"/>
            <w:bottom w:w="0" w:type="dxa"/>
            <w:right w:w="108" w:type="dxa"/>
          </w:tblCellMar>
        </w:tblPrEx>
        <w:tc>
          <w:tcPr>
            <w:tcBorders>
              <w:top w:val="nil"/>
              <w:left w:val="nil"/>
              <w:bottom w:val="nil"/>
              <w:right w:val="nil"/>
            </w:tcBorders>
            <w:shd w:val="clear" w:color="auto" w:fill="FFFFFF"/>
          </w:tcPr>
          <w:p w14:paraId="4988F409">
            <w:pPr>
              <w:pStyle w:val="54"/>
              <w:bidi w:val="0"/>
            </w:pPr>
            <w:r>
              <w:rPr>
                <w:rFonts w:hint="eastAsia"/>
              </w:rPr>
              <w:t>电解工厂</w:t>
            </w:r>
          </w:p>
        </w:tc>
        <w:tc>
          <w:tcPr>
            <w:tcBorders>
              <w:top w:val="nil"/>
              <w:left w:val="nil"/>
              <w:bottom w:val="nil"/>
              <w:right w:val="nil"/>
            </w:tcBorders>
            <w:shd w:val="clear" w:color="auto" w:fill="FFFFFF"/>
          </w:tcPr>
          <w:p w14:paraId="37A9CC38">
            <w:pPr>
              <w:pStyle w:val="54"/>
              <w:bidi w:val="0"/>
            </w:pPr>
            <w:r>
              <w:rPr>
                <w:rFonts w:hint="eastAsia"/>
              </w:rPr>
              <w:t>中</w:t>
            </w:r>
          </w:p>
        </w:tc>
        <w:tc>
          <w:tcPr>
            <w:tcBorders>
              <w:top w:val="nil"/>
              <w:left w:val="nil"/>
              <w:bottom w:val="nil"/>
              <w:right w:val="nil"/>
            </w:tcBorders>
            <w:shd w:val="clear" w:color="auto" w:fill="FFFFFF"/>
          </w:tcPr>
          <w:p w14:paraId="5D6A191C">
            <w:pPr>
              <w:pStyle w:val="54"/>
              <w:bidi w:val="0"/>
            </w:pPr>
            <w:r>
              <w:t>200–260</w:t>
            </w:r>
          </w:p>
        </w:tc>
        <w:tc>
          <w:tcPr>
            <w:tcBorders>
              <w:top w:val="nil"/>
              <w:left w:val="nil"/>
              <w:bottom w:val="nil"/>
              <w:right w:val="nil"/>
            </w:tcBorders>
            <w:shd w:val="clear" w:color="auto" w:fill="FFFFFF"/>
          </w:tcPr>
          <w:p w14:paraId="038E1B63">
            <w:pPr>
              <w:pStyle w:val="54"/>
              <w:bidi w:val="0"/>
            </w:pPr>
            <w:r>
              <w:t>18–22</w:t>
            </w:r>
          </w:p>
        </w:tc>
        <w:tc>
          <w:tcPr>
            <w:tcBorders>
              <w:top w:val="nil"/>
              <w:left w:val="nil"/>
              <w:bottom w:val="nil"/>
              <w:right w:val="nil"/>
            </w:tcBorders>
            <w:shd w:val="clear" w:color="auto" w:fill="FFFFFF"/>
          </w:tcPr>
          <w:p w14:paraId="003504DD">
            <w:pPr>
              <w:pStyle w:val="54"/>
              <w:bidi w:val="0"/>
            </w:pPr>
            <w:r>
              <w:t>13–16</w:t>
            </w:r>
          </w:p>
        </w:tc>
        <w:tc>
          <w:tcPr>
            <w:tcBorders>
              <w:top w:val="nil"/>
              <w:left w:val="nil"/>
              <w:bottom w:val="nil"/>
              <w:right w:val="nil"/>
            </w:tcBorders>
            <w:shd w:val="clear" w:color="auto" w:fill="FFFFFF"/>
          </w:tcPr>
          <w:p w14:paraId="1B9E050A">
            <w:pPr>
              <w:pStyle w:val="54"/>
              <w:bidi w:val="0"/>
            </w:pPr>
            <w:r>
              <w:t>220×20×14</w:t>
            </w:r>
          </w:p>
        </w:tc>
        <w:tc>
          <w:tcPr>
            <w:tcBorders>
              <w:top w:val="nil"/>
              <w:left w:val="nil"/>
              <w:bottom w:val="nil"/>
              <w:right w:val="nil"/>
            </w:tcBorders>
            <w:shd w:val="clear" w:color="auto" w:fill="FFFFFF"/>
          </w:tcPr>
          <w:p w14:paraId="3206BE4F">
            <w:pPr>
              <w:pStyle w:val="54"/>
              <w:bidi w:val="0"/>
            </w:pPr>
            <w:r>
              <w:t>1</w:t>
            </w:r>
          </w:p>
        </w:tc>
      </w:tr>
      <w:tr w14:paraId="780FA0BD">
        <w:tc>
          <w:tcPr>
            <w:tcBorders>
              <w:top w:val="nil"/>
              <w:left w:val="nil"/>
              <w:bottom w:val="nil"/>
              <w:right w:val="nil"/>
            </w:tcBorders>
            <w:shd w:val="clear" w:color="auto" w:fill="FFFFFF"/>
          </w:tcPr>
          <w:p w14:paraId="0F9C9579">
            <w:pPr>
              <w:pStyle w:val="54"/>
              <w:bidi w:val="0"/>
            </w:pPr>
            <w:r>
              <w:rPr>
                <w:rFonts w:hint="eastAsia"/>
              </w:rPr>
              <w:t>电解工厂</w:t>
            </w:r>
          </w:p>
        </w:tc>
        <w:tc>
          <w:tcPr>
            <w:tcBorders>
              <w:top w:val="nil"/>
              <w:left w:val="nil"/>
              <w:bottom w:val="nil"/>
              <w:right w:val="nil"/>
            </w:tcBorders>
            <w:shd w:val="clear" w:color="auto" w:fill="FFFFFF"/>
          </w:tcPr>
          <w:p w14:paraId="62B21C3D">
            <w:pPr>
              <w:pStyle w:val="54"/>
              <w:bidi w:val="0"/>
            </w:pPr>
            <w:r>
              <w:rPr>
                <w:rFonts w:hint="eastAsia"/>
              </w:rPr>
              <w:t>大</w:t>
            </w:r>
          </w:p>
        </w:tc>
        <w:tc>
          <w:tcPr>
            <w:tcBorders>
              <w:top w:val="nil"/>
              <w:left w:val="nil"/>
              <w:bottom w:val="nil"/>
              <w:right w:val="nil"/>
            </w:tcBorders>
            <w:shd w:val="clear" w:color="auto" w:fill="FFFFFF"/>
          </w:tcPr>
          <w:p w14:paraId="1923B1C8">
            <w:pPr>
              <w:pStyle w:val="54"/>
              <w:bidi w:val="0"/>
            </w:pPr>
            <w:r>
              <w:rPr>
                <w:rFonts w:hint="eastAsia"/>
                <w:lang w:val="en-US" w:eastAsia="zh-CN"/>
              </w:rPr>
              <w:t>&gt;</w:t>
            </w:r>
            <w:r>
              <w:t>260</w:t>
            </w:r>
          </w:p>
        </w:tc>
        <w:tc>
          <w:tcPr>
            <w:tcBorders>
              <w:top w:val="nil"/>
              <w:left w:val="nil"/>
              <w:bottom w:val="nil"/>
              <w:right w:val="nil"/>
            </w:tcBorders>
            <w:shd w:val="clear" w:color="auto" w:fill="FFFFFF"/>
          </w:tcPr>
          <w:p w14:paraId="6B5DC464">
            <w:pPr>
              <w:pStyle w:val="54"/>
              <w:bidi w:val="0"/>
            </w:pPr>
            <w:r>
              <w:rPr>
                <w:rFonts w:hint="eastAsia"/>
                <w:lang w:val="en-US" w:eastAsia="zh-CN"/>
              </w:rPr>
              <w:t>&gt;</w:t>
            </w:r>
            <w:r>
              <w:t>22</w:t>
            </w:r>
          </w:p>
        </w:tc>
        <w:tc>
          <w:tcPr>
            <w:tcBorders>
              <w:top w:val="nil"/>
              <w:left w:val="nil"/>
              <w:bottom w:val="nil"/>
              <w:right w:val="nil"/>
            </w:tcBorders>
            <w:shd w:val="clear" w:color="auto" w:fill="FFFFFF"/>
          </w:tcPr>
          <w:p w14:paraId="510ECE04">
            <w:pPr>
              <w:pStyle w:val="54"/>
              <w:bidi w:val="0"/>
            </w:pPr>
            <w:r>
              <w:rPr>
                <w:rFonts w:hint="eastAsia"/>
                <w:lang w:val="en-US" w:eastAsia="zh-CN"/>
              </w:rPr>
              <w:t>&gt;</w:t>
            </w:r>
            <w:r>
              <w:t>16</w:t>
            </w:r>
          </w:p>
        </w:tc>
        <w:tc>
          <w:tcPr>
            <w:tcBorders>
              <w:top w:val="nil"/>
              <w:left w:val="nil"/>
              <w:bottom w:val="nil"/>
              <w:right w:val="nil"/>
            </w:tcBorders>
            <w:shd w:val="clear" w:color="auto" w:fill="FFFFFF"/>
          </w:tcPr>
          <w:p w14:paraId="1C650155">
            <w:pPr>
              <w:pStyle w:val="54"/>
              <w:bidi w:val="0"/>
            </w:pPr>
            <w:r>
              <w:t>300×24×18</w:t>
            </w:r>
          </w:p>
        </w:tc>
        <w:tc>
          <w:tcPr>
            <w:tcBorders>
              <w:top w:val="nil"/>
              <w:left w:val="nil"/>
              <w:bottom w:val="nil"/>
              <w:right w:val="nil"/>
            </w:tcBorders>
            <w:shd w:val="clear" w:color="auto" w:fill="FFFFFF"/>
          </w:tcPr>
          <w:p w14:paraId="42A21E2A">
            <w:pPr>
              <w:pStyle w:val="54"/>
              <w:bidi w:val="0"/>
            </w:pPr>
            <w:r>
              <w:t>1</w:t>
            </w:r>
          </w:p>
        </w:tc>
      </w:tr>
      <w:tr w14:paraId="08AC19FB">
        <w:tblPrEx>
          <w:tblCellMar>
            <w:top w:w="0" w:type="dxa"/>
            <w:left w:w="108" w:type="dxa"/>
            <w:bottom w:w="0" w:type="dxa"/>
            <w:right w:w="108" w:type="dxa"/>
          </w:tblCellMar>
        </w:tblPrEx>
        <w:tc>
          <w:tcPr>
            <w:tcBorders>
              <w:top w:val="nil"/>
              <w:left w:val="nil"/>
              <w:bottom w:val="nil"/>
              <w:right w:val="nil"/>
            </w:tcBorders>
            <w:shd w:val="clear" w:color="auto" w:fill="FFFFFF"/>
          </w:tcPr>
          <w:p w14:paraId="03DDD99E">
            <w:pPr>
              <w:pStyle w:val="54"/>
              <w:bidi w:val="0"/>
            </w:pPr>
            <w:r>
              <w:rPr>
                <w:rFonts w:hint="eastAsia"/>
              </w:rPr>
              <w:t>专用电厂</w:t>
            </w:r>
          </w:p>
        </w:tc>
        <w:tc>
          <w:tcPr>
            <w:tcBorders>
              <w:top w:val="nil"/>
              <w:left w:val="nil"/>
              <w:bottom w:val="nil"/>
              <w:right w:val="nil"/>
            </w:tcBorders>
            <w:shd w:val="clear" w:color="auto" w:fill="FFFFFF"/>
          </w:tcPr>
          <w:p w14:paraId="2860CFE3">
            <w:pPr>
              <w:pStyle w:val="54"/>
              <w:bidi w:val="0"/>
            </w:pPr>
            <w:r>
              <w:rPr>
                <w:rFonts w:hint="eastAsia"/>
              </w:rPr>
              <w:t>小</w:t>
            </w:r>
          </w:p>
        </w:tc>
        <w:tc>
          <w:tcPr>
            <w:tcBorders>
              <w:top w:val="nil"/>
              <w:left w:val="nil"/>
              <w:bottom w:val="nil"/>
              <w:right w:val="nil"/>
            </w:tcBorders>
            <w:shd w:val="clear" w:color="auto" w:fill="FFFFFF"/>
          </w:tcPr>
          <w:p w14:paraId="7B03567C">
            <w:pPr>
              <w:pStyle w:val="54"/>
              <w:bidi w:val="0"/>
            </w:pPr>
            <w:r>
              <w:rPr>
                <w:rFonts w:hint="eastAsia"/>
                <w:lang w:val="en-US" w:eastAsia="zh-CN"/>
              </w:rPr>
              <w:t>&lt;</w:t>
            </w:r>
            <w:r>
              <w:t>36</w:t>
            </w:r>
          </w:p>
        </w:tc>
        <w:tc>
          <w:tcPr>
            <w:tcBorders>
              <w:top w:val="nil"/>
              <w:left w:val="nil"/>
              <w:bottom w:val="nil"/>
              <w:right w:val="nil"/>
            </w:tcBorders>
            <w:shd w:val="clear" w:color="auto" w:fill="FFFFFF"/>
          </w:tcPr>
          <w:p w14:paraId="0000536E">
            <w:pPr>
              <w:pStyle w:val="54"/>
              <w:bidi w:val="0"/>
            </w:pPr>
            <w:r>
              <w:rPr>
                <w:rFonts w:hint="eastAsia"/>
                <w:lang w:val="en-US" w:eastAsia="zh-CN"/>
              </w:rPr>
              <w:t>&lt;</w:t>
            </w:r>
            <w:r>
              <w:t>28</w:t>
            </w:r>
          </w:p>
        </w:tc>
        <w:tc>
          <w:tcPr>
            <w:tcBorders>
              <w:top w:val="nil"/>
              <w:left w:val="nil"/>
              <w:bottom w:val="nil"/>
              <w:right w:val="nil"/>
            </w:tcBorders>
            <w:shd w:val="clear" w:color="auto" w:fill="FFFFFF"/>
          </w:tcPr>
          <w:p w14:paraId="122E839B">
            <w:pPr>
              <w:pStyle w:val="54"/>
              <w:bidi w:val="0"/>
            </w:pPr>
            <w:r>
              <w:rPr>
                <w:rFonts w:hint="eastAsia"/>
                <w:lang w:val="en-US" w:eastAsia="zh-CN"/>
              </w:rPr>
              <w:t>&lt;</w:t>
            </w:r>
            <w:r>
              <w:t>21</w:t>
            </w:r>
          </w:p>
        </w:tc>
        <w:tc>
          <w:tcPr>
            <w:tcBorders>
              <w:top w:val="nil"/>
              <w:left w:val="nil"/>
              <w:bottom w:val="nil"/>
              <w:right w:val="nil"/>
            </w:tcBorders>
            <w:shd w:val="clear" w:color="auto" w:fill="FFFFFF"/>
          </w:tcPr>
          <w:p w14:paraId="1903C31A">
            <w:pPr>
              <w:pStyle w:val="54"/>
              <w:bidi w:val="0"/>
            </w:pPr>
            <w:r>
              <w:t>32×24×16</w:t>
            </w:r>
          </w:p>
        </w:tc>
        <w:tc>
          <w:tcPr>
            <w:tcBorders>
              <w:top w:val="nil"/>
              <w:left w:val="nil"/>
              <w:bottom w:val="nil"/>
              <w:right w:val="nil"/>
            </w:tcBorders>
            <w:shd w:val="clear" w:color="auto" w:fill="FFFFFF"/>
          </w:tcPr>
          <w:p w14:paraId="02A5F44F">
            <w:pPr>
              <w:pStyle w:val="54"/>
              <w:bidi w:val="0"/>
            </w:pPr>
            <w:r>
              <w:t>1</w:t>
            </w:r>
          </w:p>
        </w:tc>
      </w:tr>
      <w:tr w14:paraId="2BC78341">
        <w:tblPrEx>
          <w:tblCellMar>
            <w:top w:w="0" w:type="dxa"/>
            <w:left w:w="108" w:type="dxa"/>
            <w:bottom w:w="0" w:type="dxa"/>
            <w:right w:w="108" w:type="dxa"/>
          </w:tblCellMar>
        </w:tblPrEx>
        <w:tc>
          <w:tcPr>
            <w:tcBorders>
              <w:top w:val="nil"/>
              <w:left w:val="nil"/>
              <w:bottom w:val="nil"/>
              <w:right w:val="nil"/>
            </w:tcBorders>
            <w:shd w:val="clear" w:color="auto" w:fill="FFFFFF"/>
          </w:tcPr>
          <w:p w14:paraId="6D5FE9BC">
            <w:pPr>
              <w:pStyle w:val="54"/>
              <w:bidi w:val="0"/>
            </w:pPr>
            <w:r>
              <w:rPr>
                <w:rFonts w:hint="eastAsia"/>
              </w:rPr>
              <w:t>专用电厂</w:t>
            </w:r>
          </w:p>
        </w:tc>
        <w:tc>
          <w:tcPr>
            <w:tcBorders>
              <w:top w:val="nil"/>
              <w:left w:val="nil"/>
              <w:bottom w:val="nil"/>
              <w:right w:val="nil"/>
            </w:tcBorders>
            <w:shd w:val="clear" w:color="auto" w:fill="FFFFFF"/>
          </w:tcPr>
          <w:p w14:paraId="0583BD73">
            <w:pPr>
              <w:pStyle w:val="54"/>
              <w:bidi w:val="0"/>
            </w:pPr>
            <w:r>
              <w:rPr>
                <w:rFonts w:hint="eastAsia"/>
              </w:rPr>
              <w:t>中</w:t>
            </w:r>
          </w:p>
        </w:tc>
        <w:tc>
          <w:tcPr>
            <w:tcBorders>
              <w:top w:val="nil"/>
              <w:left w:val="nil"/>
              <w:bottom w:val="nil"/>
              <w:right w:val="nil"/>
            </w:tcBorders>
            <w:shd w:val="clear" w:color="auto" w:fill="FFFFFF"/>
          </w:tcPr>
          <w:p w14:paraId="64D5A5D6">
            <w:pPr>
              <w:pStyle w:val="54"/>
              <w:bidi w:val="0"/>
            </w:pPr>
            <w:r>
              <w:t>36–55</w:t>
            </w:r>
          </w:p>
        </w:tc>
        <w:tc>
          <w:tcPr>
            <w:tcBorders>
              <w:top w:val="nil"/>
              <w:left w:val="nil"/>
              <w:bottom w:val="nil"/>
              <w:right w:val="nil"/>
            </w:tcBorders>
            <w:shd w:val="clear" w:color="auto" w:fill="FFFFFF"/>
          </w:tcPr>
          <w:p w14:paraId="5CFCF0AA">
            <w:pPr>
              <w:pStyle w:val="54"/>
              <w:bidi w:val="0"/>
            </w:pPr>
            <w:r>
              <w:t>28–36</w:t>
            </w:r>
          </w:p>
        </w:tc>
        <w:tc>
          <w:tcPr>
            <w:tcBorders>
              <w:top w:val="nil"/>
              <w:left w:val="nil"/>
              <w:bottom w:val="nil"/>
              <w:right w:val="nil"/>
            </w:tcBorders>
            <w:shd w:val="clear" w:color="auto" w:fill="FFFFFF"/>
          </w:tcPr>
          <w:p w14:paraId="6735449A">
            <w:pPr>
              <w:pStyle w:val="54"/>
              <w:bidi w:val="0"/>
            </w:pPr>
            <w:r>
              <w:t>21–30</w:t>
            </w:r>
          </w:p>
        </w:tc>
        <w:tc>
          <w:tcPr>
            <w:tcBorders>
              <w:top w:val="nil"/>
              <w:left w:val="nil"/>
              <w:bottom w:val="nil"/>
              <w:right w:val="nil"/>
            </w:tcBorders>
            <w:shd w:val="clear" w:color="auto" w:fill="FFFFFF"/>
          </w:tcPr>
          <w:p w14:paraId="432672A1">
            <w:pPr>
              <w:pStyle w:val="54"/>
              <w:bidi w:val="0"/>
            </w:pPr>
            <w:r>
              <w:t>40×32×25</w:t>
            </w:r>
          </w:p>
        </w:tc>
        <w:tc>
          <w:tcPr>
            <w:tcBorders>
              <w:top w:val="nil"/>
              <w:left w:val="nil"/>
              <w:bottom w:val="nil"/>
              <w:right w:val="nil"/>
            </w:tcBorders>
            <w:shd w:val="clear" w:color="auto" w:fill="FFFFFF"/>
          </w:tcPr>
          <w:p w14:paraId="72BE5504">
            <w:pPr>
              <w:pStyle w:val="54"/>
              <w:bidi w:val="0"/>
            </w:pPr>
            <w:r>
              <w:t>1</w:t>
            </w:r>
          </w:p>
        </w:tc>
      </w:tr>
      <w:tr w14:paraId="483B784B">
        <w:tblPrEx>
          <w:tblCellMar>
            <w:top w:w="0" w:type="dxa"/>
            <w:left w:w="108" w:type="dxa"/>
            <w:bottom w:w="0" w:type="dxa"/>
            <w:right w:w="108" w:type="dxa"/>
          </w:tblCellMar>
        </w:tblPrEx>
        <w:tc>
          <w:tcPr>
            <w:tcBorders>
              <w:top w:val="nil"/>
              <w:left w:val="nil"/>
              <w:bottom w:val="nil"/>
              <w:right w:val="nil"/>
            </w:tcBorders>
            <w:shd w:val="clear" w:color="auto" w:fill="FFFFFF"/>
          </w:tcPr>
          <w:p w14:paraId="2E991533">
            <w:pPr>
              <w:pStyle w:val="54"/>
              <w:bidi w:val="0"/>
            </w:pPr>
            <w:r>
              <w:rPr>
                <w:rFonts w:hint="eastAsia"/>
              </w:rPr>
              <w:t>专用电厂</w:t>
            </w:r>
          </w:p>
        </w:tc>
        <w:tc>
          <w:tcPr>
            <w:tcBorders>
              <w:top w:val="nil"/>
              <w:left w:val="nil"/>
              <w:bottom w:val="nil"/>
              <w:right w:val="nil"/>
            </w:tcBorders>
            <w:shd w:val="clear" w:color="auto" w:fill="FFFFFF"/>
          </w:tcPr>
          <w:p w14:paraId="58239895">
            <w:pPr>
              <w:pStyle w:val="54"/>
              <w:bidi w:val="0"/>
            </w:pPr>
            <w:r>
              <w:rPr>
                <w:rFonts w:hint="eastAsia"/>
              </w:rPr>
              <w:t>大</w:t>
            </w:r>
          </w:p>
        </w:tc>
        <w:tc>
          <w:tcPr>
            <w:tcBorders>
              <w:top w:val="nil"/>
              <w:left w:val="nil"/>
              <w:bottom w:val="nil"/>
              <w:right w:val="nil"/>
            </w:tcBorders>
            <w:shd w:val="clear" w:color="auto" w:fill="FFFFFF"/>
          </w:tcPr>
          <w:p w14:paraId="2FB40021">
            <w:pPr>
              <w:pStyle w:val="54"/>
              <w:bidi w:val="0"/>
            </w:pPr>
            <w:r>
              <w:rPr>
                <w:rFonts w:hint="eastAsia"/>
                <w:lang w:val="en-US" w:eastAsia="zh-CN"/>
              </w:rPr>
              <w:t>&gt;</w:t>
            </w:r>
            <w:r>
              <w:t>55</w:t>
            </w:r>
          </w:p>
        </w:tc>
        <w:tc>
          <w:tcPr>
            <w:tcBorders>
              <w:top w:val="nil"/>
              <w:left w:val="nil"/>
              <w:bottom w:val="nil"/>
              <w:right w:val="nil"/>
            </w:tcBorders>
            <w:shd w:val="clear" w:color="auto" w:fill="FFFFFF"/>
          </w:tcPr>
          <w:p w14:paraId="68218036">
            <w:pPr>
              <w:pStyle w:val="54"/>
              <w:bidi w:val="0"/>
            </w:pPr>
            <w:r>
              <w:rPr>
                <w:rFonts w:hint="eastAsia"/>
                <w:lang w:val="en-US" w:eastAsia="zh-CN"/>
              </w:rPr>
              <w:t>&gt;</w:t>
            </w:r>
            <w:r>
              <w:t>36</w:t>
            </w:r>
          </w:p>
        </w:tc>
        <w:tc>
          <w:tcPr>
            <w:tcBorders>
              <w:top w:val="nil"/>
              <w:left w:val="nil"/>
              <w:bottom w:val="nil"/>
              <w:right w:val="nil"/>
            </w:tcBorders>
            <w:shd w:val="clear" w:color="auto" w:fill="FFFFFF"/>
          </w:tcPr>
          <w:p w14:paraId="08FE5515">
            <w:pPr>
              <w:pStyle w:val="54"/>
              <w:bidi w:val="0"/>
            </w:pPr>
            <w:r>
              <w:rPr>
                <w:rFonts w:hint="eastAsia"/>
                <w:lang w:val="en-US" w:eastAsia="zh-CN"/>
              </w:rPr>
              <w:t>&gt;</w:t>
            </w:r>
            <w:r>
              <w:t>30</w:t>
            </w:r>
          </w:p>
        </w:tc>
        <w:tc>
          <w:tcPr>
            <w:tcBorders>
              <w:top w:val="nil"/>
              <w:left w:val="nil"/>
              <w:bottom w:val="nil"/>
              <w:right w:val="nil"/>
            </w:tcBorders>
            <w:shd w:val="clear" w:color="auto" w:fill="FFFFFF"/>
          </w:tcPr>
          <w:p w14:paraId="42724CFE">
            <w:pPr>
              <w:pStyle w:val="54"/>
              <w:bidi w:val="0"/>
            </w:pPr>
            <w:r>
              <w:t>70×40×35</w:t>
            </w:r>
          </w:p>
        </w:tc>
        <w:tc>
          <w:tcPr>
            <w:tcBorders>
              <w:top w:val="nil"/>
              <w:left w:val="nil"/>
              <w:bottom w:val="nil"/>
              <w:right w:val="nil"/>
            </w:tcBorders>
            <w:shd w:val="clear" w:color="auto" w:fill="FFFFFF"/>
          </w:tcPr>
          <w:p w14:paraId="529EB50D">
            <w:pPr>
              <w:pStyle w:val="54"/>
              <w:bidi w:val="0"/>
            </w:pPr>
            <w:r>
              <w:t>2</w:t>
            </w:r>
          </w:p>
        </w:tc>
      </w:tr>
      <w:tr w14:paraId="35E80C4C">
        <w:tc>
          <w:tcPr>
            <w:tcBorders>
              <w:top w:val="nil"/>
              <w:left w:val="nil"/>
              <w:bottom w:val="nil"/>
              <w:right w:val="nil"/>
            </w:tcBorders>
            <w:shd w:val="clear" w:color="auto" w:fill="FFFFFF"/>
          </w:tcPr>
          <w:p w14:paraId="0554EC7F">
            <w:pPr>
              <w:pStyle w:val="54"/>
              <w:bidi w:val="0"/>
            </w:pPr>
            <w:r>
              <w:rPr>
                <w:rFonts w:hint="eastAsia"/>
              </w:rPr>
              <w:t>钢铁厂</w:t>
            </w:r>
          </w:p>
        </w:tc>
        <w:tc>
          <w:tcPr>
            <w:tcBorders>
              <w:top w:val="nil"/>
              <w:left w:val="nil"/>
              <w:bottom w:val="nil"/>
              <w:right w:val="nil"/>
            </w:tcBorders>
            <w:shd w:val="clear" w:color="auto" w:fill="FFFFFF"/>
          </w:tcPr>
          <w:p w14:paraId="4F9D46FA">
            <w:pPr>
              <w:pStyle w:val="54"/>
              <w:bidi w:val="0"/>
            </w:pPr>
            <w:r>
              <w:rPr>
                <w:rFonts w:hint="eastAsia"/>
              </w:rPr>
              <w:t>小</w:t>
            </w:r>
          </w:p>
        </w:tc>
        <w:tc>
          <w:tcPr>
            <w:tcBorders>
              <w:top w:val="nil"/>
              <w:left w:val="nil"/>
              <w:bottom w:val="nil"/>
              <w:right w:val="nil"/>
            </w:tcBorders>
            <w:shd w:val="clear" w:color="auto" w:fill="FFFFFF"/>
          </w:tcPr>
          <w:p w14:paraId="3EAB385B">
            <w:pPr>
              <w:pStyle w:val="54"/>
              <w:bidi w:val="0"/>
            </w:pPr>
            <w:r>
              <w:rPr>
                <w:rFonts w:hint="eastAsia"/>
                <w:lang w:val="en-US" w:eastAsia="zh-CN"/>
              </w:rPr>
              <w:t>&lt;</w:t>
            </w:r>
            <w:r>
              <w:t>180</w:t>
            </w:r>
          </w:p>
        </w:tc>
        <w:tc>
          <w:tcPr>
            <w:tcBorders>
              <w:top w:val="nil"/>
              <w:left w:val="nil"/>
              <w:bottom w:val="nil"/>
              <w:right w:val="nil"/>
            </w:tcBorders>
            <w:shd w:val="clear" w:color="auto" w:fill="FFFFFF"/>
          </w:tcPr>
          <w:p w14:paraId="3AF83DB4">
            <w:pPr>
              <w:pStyle w:val="54"/>
              <w:bidi w:val="0"/>
            </w:pPr>
            <w:r>
              <w:rPr>
                <w:rFonts w:hint="eastAsia"/>
                <w:lang w:val="en-US" w:eastAsia="zh-CN"/>
              </w:rPr>
              <w:t>&lt;</w:t>
            </w:r>
            <w:r>
              <w:t>30</w:t>
            </w:r>
          </w:p>
        </w:tc>
        <w:tc>
          <w:tcPr>
            <w:tcBorders>
              <w:top w:val="nil"/>
              <w:left w:val="nil"/>
              <w:bottom w:val="nil"/>
              <w:right w:val="nil"/>
            </w:tcBorders>
            <w:shd w:val="clear" w:color="auto" w:fill="FFFFFF"/>
          </w:tcPr>
          <w:p w14:paraId="009BF80D">
            <w:pPr>
              <w:pStyle w:val="54"/>
              <w:bidi w:val="0"/>
            </w:pPr>
            <w:r>
              <w:rPr>
                <w:rFonts w:hint="eastAsia"/>
                <w:lang w:val="en-US" w:eastAsia="zh-CN"/>
              </w:rPr>
              <w:t>&lt;</w:t>
            </w:r>
            <w:r>
              <w:t>13</w:t>
            </w:r>
          </w:p>
        </w:tc>
        <w:tc>
          <w:tcPr>
            <w:tcBorders>
              <w:top w:val="nil"/>
              <w:left w:val="nil"/>
              <w:bottom w:val="nil"/>
              <w:right w:val="nil"/>
            </w:tcBorders>
            <w:shd w:val="clear" w:color="auto" w:fill="FFFFFF"/>
          </w:tcPr>
          <w:p w14:paraId="4CC54019">
            <w:pPr>
              <w:pStyle w:val="54"/>
              <w:bidi w:val="0"/>
            </w:pPr>
            <w:r>
              <w:t>150×26×12</w:t>
            </w:r>
          </w:p>
        </w:tc>
        <w:tc>
          <w:tcPr>
            <w:tcBorders>
              <w:top w:val="nil"/>
              <w:left w:val="nil"/>
              <w:bottom w:val="nil"/>
              <w:right w:val="nil"/>
            </w:tcBorders>
            <w:shd w:val="clear" w:color="auto" w:fill="FFFFFF"/>
          </w:tcPr>
          <w:p w14:paraId="77EB765D">
            <w:pPr>
              <w:pStyle w:val="54"/>
              <w:bidi w:val="0"/>
            </w:pPr>
            <w:r>
              <w:t>1</w:t>
            </w:r>
          </w:p>
        </w:tc>
      </w:tr>
      <w:tr w14:paraId="214D0698">
        <w:tblPrEx>
          <w:tblCellMar>
            <w:top w:w="0" w:type="dxa"/>
            <w:left w:w="108" w:type="dxa"/>
            <w:bottom w:w="0" w:type="dxa"/>
            <w:right w:w="108" w:type="dxa"/>
          </w:tblCellMar>
        </w:tblPrEx>
        <w:tc>
          <w:tcPr>
            <w:tcBorders>
              <w:top w:val="nil"/>
              <w:left w:val="nil"/>
              <w:bottom w:val="nil"/>
              <w:right w:val="nil"/>
            </w:tcBorders>
            <w:shd w:val="clear" w:color="auto" w:fill="FFFFFF"/>
          </w:tcPr>
          <w:p w14:paraId="4AAB12A7">
            <w:pPr>
              <w:pStyle w:val="54"/>
              <w:bidi w:val="0"/>
            </w:pPr>
            <w:r>
              <w:rPr>
                <w:rFonts w:hint="eastAsia"/>
              </w:rPr>
              <w:t>钢铁厂</w:t>
            </w:r>
          </w:p>
        </w:tc>
        <w:tc>
          <w:tcPr>
            <w:tcBorders>
              <w:top w:val="nil"/>
              <w:left w:val="nil"/>
              <w:bottom w:val="nil"/>
              <w:right w:val="nil"/>
            </w:tcBorders>
            <w:shd w:val="clear" w:color="auto" w:fill="FFFFFF"/>
          </w:tcPr>
          <w:p w14:paraId="3BD4E5F3">
            <w:pPr>
              <w:pStyle w:val="54"/>
              <w:bidi w:val="0"/>
            </w:pPr>
            <w:r>
              <w:rPr>
                <w:rFonts w:hint="eastAsia"/>
              </w:rPr>
              <w:t>中</w:t>
            </w:r>
          </w:p>
        </w:tc>
        <w:tc>
          <w:tcPr>
            <w:tcBorders>
              <w:top w:val="nil"/>
              <w:left w:val="nil"/>
              <w:bottom w:val="nil"/>
              <w:right w:val="nil"/>
            </w:tcBorders>
            <w:shd w:val="clear" w:color="auto" w:fill="FFFFFF"/>
          </w:tcPr>
          <w:p w14:paraId="602CD22B">
            <w:pPr>
              <w:pStyle w:val="54"/>
              <w:bidi w:val="0"/>
            </w:pPr>
            <w:r>
              <w:t>180–220</w:t>
            </w:r>
          </w:p>
        </w:tc>
        <w:tc>
          <w:tcPr>
            <w:tcBorders>
              <w:top w:val="nil"/>
              <w:left w:val="nil"/>
              <w:bottom w:val="nil"/>
              <w:right w:val="nil"/>
            </w:tcBorders>
            <w:shd w:val="clear" w:color="auto" w:fill="FFFFFF"/>
          </w:tcPr>
          <w:p w14:paraId="41F4435D">
            <w:pPr>
              <w:pStyle w:val="54"/>
              <w:bidi w:val="0"/>
            </w:pPr>
            <w:r>
              <w:t>30–39</w:t>
            </w:r>
          </w:p>
        </w:tc>
        <w:tc>
          <w:tcPr>
            <w:tcBorders>
              <w:top w:val="nil"/>
              <w:left w:val="nil"/>
              <w:bottom w:val="nil"/>
              <w:right w:val="nil"/>
            </w:tcBorders>
            <w:shd w:val="clear" w:color="auto" w:fill="FFFFFF"/>
          </w:tcPr>
          <w:p w14:paraId="4C341BFC">
            <w:pPr>
              <w:pStyle w:val="54"/>
              <w:bidi w:val="0"/>
            </w:pPr>
            <w:r>
              <w:t>13–18</w:t>
            </w:r>
          </w:p>
        </w:tc>
        <w:tc>
          <w:tcPr>
            <w:tcBorders>
              <w:top w:val="nil"/>
              <w:left w:val="nil"/>
              <w:bottom w:val="nil"/>
              <w:right w:val="nil"/>
            </w:tcBorders>
            <w:shd w:val="clear" w:color="auto" w:fill="FFFFFF"/>
          </w:tcPr>
          <w:p w14:paraId="34ADE3C5">
            <w:pPr>
              <w:pStyle w:val="54"/>
              <w:bidi w:val="0"/>
            </w:pPr>
            <w:r>
              <w:t>210×33×13.5</w:t>
            </w:r>
          </w:p>
        </w:tc>
        <w:tc>
          <w:tcPr>
            <w:tcBorders>
              <w:top w:val="nil"/>
              <w:left w:val="nil"/>
              <w:bottom w:val="nil"/>
              <w:right w:val="nil"/>
            </w:tcBorders>
            <w:shd w:val="clear" w:color="auto" w:fill="FFFFFF"/>
          </w:tcPr>
          <w:p w14:paraId="52CA6141">
            <w:pPr>
              <w:pStyle w:val="54"/>
              <w:bidi w:val="0"/>
            </w:pPr>
            <w:r>
              <w:t>1</w:t>
            </w:r>
          </w:p>
        </w:tc>
      </w:tr>
      <w:tr w14:paraId="05D12E02">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79F99AFE">
            <w:pPr>
              <w:pStyle w:val="54"/>
              <w:bidi w:val="0"/>
            </w:pPr>
            <w:r>
              <w:rPr>
                <w:rFonts w:hint="eastAsia"/>
              </w:rPr>
              <w:t>钢铁厂</w:t>
            </w:r>
          </w:p>
        </w:tc>
        <w:tc>
          <w:tcPr>
            <w:tcBorders>
              <w:top w:val="nil"/>
              <w:left w:val="nil"/>
              <w:bottom w:val="single" w:color="000000" w:sz="12" w:space="0"/>
              <w:right w:val="nil"/>
            </w:tcBorders>
            <w:shd w:val="clear" w:color="auto" w:fill="FFFFFF"/>
          </w:tcPr>
          <w:p w14:paraId="463BABE2">
            <w:pPr>
              <w:pStyle w:val="54"/>
              <w:bidi w:val="0"/>
            </w:pPr>
            <w:r>
              <w:rPr>
                <w:rFonts w:hint="eastAsia"/>
              </w:rPr>
              <w:t>大</w:t>
            </w:r>
          </w:p>
        </w:tc>
        <w:tc>
          <w:tcPr>
            <w:tcBorders>
              <w:top w:val="nil"/>
              <w:left w:val="nil"/>
              <w:bottom w:val="single" w:color="000000" w:sz="12" w:space="0"/>
              <w:right w:val="nil"/>
            </w:tcBorders>
            <w:shd w:val="clear" w:color="auto" w:fill="FFFFFF"/>
          </w:tcPr>
          <w:p w14:paraId="739A90A1">
            <w:pPr>
              <w:pStyle w:val="54"/>
              <w:bidi w:val="0"/>
            </w:pPr>
            <w:r>
              <w:rPr>
                <w:rFonts w:hint="eastAsia"/>
                <w:lang w:val="en-US" w:eastAsia="zh-CN"/>
              </w:rPr>
              <w:t>&gt;</w:t>
            </w:r>
            <w:r>
              <w:t>220</w:t>
            </w:r>
          </w:p>
        </w:tc>
        <w:tc>
          <w:tcPr>
            <w:tcBorders>
              <w:top w:val="nil"/>
              <w:left w:val="nil"/>
              <w:bottom w:val="single" w:color="000000" w:sz="12" w:space="0"/>
              <w:right w:val="nil"/>
            </w:tcBorders>
            <w:shd w:val="clear" w:color="auto" w:fill="FFFFFF"/>
          </w:tcPr>
          <w:p w14:paraId="066E2263">
            <w:pPr>
              <w:pStyle w:val="54"/>
              <w:bidi w:val="0"/>
            </w:pPr>
            <w:r>
              <w:rPr>
                <w:rFonts w:hint="eastAsia"/>
                <w:lang w:val="en-US" w:eastAsia="zh-CN"/>
              </w:rPr>
              <w:t>&gt;</w:t>
            </w:r>
            <w:r>
              <w:t>39</w:t>
            </w:r>
          </w:p>
        </w:tc>
        <w:tc>
          <w:tcPr>
            <w:tcBorders>
              <w:top w:val="nil"/>
              <w:left w:val="nil"/>
              <w:bottom w:val="single" w:color="000000" w:sz="12" w:space="0"/>
              <w:right w:val="nil"/>
            </w:tcBorders>
            <w:shd w:val="clear" w:color="auto" w:fill="FFFFFF"/>
          </w:tcPr>
          <w:p w14:paraId="015700F1">
            <w:pPr>
              <w:pStyle w:val="54"/>
              <w:bidi w:val="0"/>
            </w:pPr>
            <w:r>
              <w:rPr>
                <w:rFonts w:hint="eastAsia"/>
                <w:lang w:val="en-US" w:eastAsia="zh-CN"/>
              </w:rPr>
              <w:t>&gt;</w:t>
            </w:r>
            <w:r>
              <w:t>18</w:t>
            </w:r>
          </w:p>
        </w:tc>
        <w:tc>
          <w:tcPr>
            <w:tcBorders>
              <w:top w:val="nil"/>
              <w:left w:val="nil"/>
              <w:bottom w:val="single" w:color="000000" w:sz="12" w:space="0"/>
              <w:right w:val="nil"/>
            </w:tcBorders>
            <w:shd w:val="clear" w:color="auto" w:fill="FFFFFF"/>
          </w:tcPr>
          <w:p w14:paraId="73CC651A">
            <w:pPr>
              <w:pStyle w:val="54"/>
              <w:bidi w:val="0"/>
            </w:pPr>
            <w:r>
              <w:t>230×45×24</w:t>
            </w:r>
          </w:p>
        </w:tc>
        <w:tc>
          <w:tcPr>
            <w:tcBorders>
              <w:top w:val="nil"/>
              <w:left w:val="nil"/>
              <w:bottom w:val="single" w:color="000000" w:sz="12" w:space="0"/>
              <w:right w:val="nil"/>
            </w:tcBorders>
            <w:shd w:val="clear" w:color="auto" w:fill="FFFFFF"/>
          </w:tcPr>
          <w:p w14:paraId="7CF8C633">
            <w:pPr>
              <w:pStyle w:val="54"/>
              <w:bidi w:val="0"/>
            </w:pPr>
            <w:r>
              <w:t>1</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从规模分级看，电解工厂呈典型的狭长连续布置形态，长度远大于宽度，反映电解槽系列沿长轴排列的工艺特点；钢铁厂以冶炼与轧制为主，尺度随产能增加在长宽两个方向同步扩展；专用电厂体量相对紧凑，高度随规模增长较快，并在大型规模采用多层布置。三种工艺空间在大、中、小三个尺度下体现了冶金设施"工艺决定形态"的典型特征。模拟代表值即各规模档在 FDS 建模中实际采用的长宽高，相邻档位之间以代表值中点划分边界。</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1355"/>
      <w:r>
        <w:rPr>
          <w:rStyle w:val="23"/>
          <w:rFonts w:hint="default" w:ascii="Times New Roman" w:hAnsi="Times New Roman" w:cs="Times New Roman"/>
          <w:b/>
          <w:szCs w:val="28"/>
          <w:lang w:val="en-US" w:eastAsia="zh-CN"/>
        </w:rPr>
        <w:t>工况覆盖</w:t>
      </w:r>
      <w:bookmarkEnd w:id="9"/>
    </w:p>
    <w:p w14:paraId="2EE0EC19">
      <w:pPr>
        <w:rPr>
          <w:rFonts w:hint="eastAsia" w:ascii="Times New Roman" w:hAnsi="Times New Roman" w:cs="Times New Roman"/>
          <w:lang w:val="en-US" w:eastAsia="zh-CN"/>
        </w:rPr>
      </w:pPr>
      <w:r>
        <w:rPr>
          <w:rFonts w:hint="eastAsia" w:ascii="Times New Roman" w:hAnsi="Times New Roman" w:cs="Times New Roman"/>
          <w:lang w:val="en-US" w:eastAsia="zh-CN"/>
        </w:rPr>
        <w:t>冶金设施工况统一覆盖热通量、方位角、俯仰角和辐射持续时间四类热源条件。全部冶金数据综合覆盖 500～20000 kW/m²热通量，方位角包括 0°、90°、180°和 270°，俯仰角包括 0°、30°、45°和 60°，辐射持续时间包括 1.36 s、2.10 s 和 7.50 s。三个持续时间各包含 321 条合格工况，能够用于比较短时热辐射作用下的毁伤响应。</w:t>
      </w:r>
    </w:p>
    <w:p w14:paraId="6946762D">
      <w:pPr>
        <w:rPr>
          <w:rFonts w:hint="default" w:ascii="Times New Roman" w:hAnsi="Times New Roman" w:cs="Times New Roman"/>
          <w:lang w:val="en-US" w:eastAsia="zh-CN"/>
        </w:rPr>
      </w:pPr>
      <w:r>
        <w:rPr>
          <w:rFonts w:hint="eastAsia" w:ascii="Times New Roman" w:hAnsi="Times New Roman" w:cs="Times New Roman"/>
          <w:lang w:val="en-US" w:eastAsia="zh-CN"/>
        </w:rPr>
        <w:t>设施计算域、开口与敏感目标采用各自 FDS 模型中的实际参数。工况组合在统一规则下组织，使模型能够学习热源条件与设施工程特征之间的耦合作用，同时保持不同设施数据的统一表达。</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13592"/>
      <w:r>
        <w:rPr>
          <w:rFonts w:hint="eastAsia"/>
        </w:rPr>
        <w:t>设施构型与目标特征覆盖</w:t>
      </w:r>
      <w:bookmarkEnd w:id="10"/>
    </w:p>
    <w:p w14:paraId="7A995F05">
      <w:pPr>
        <w:spacing w:line="312" w:lineRule="auto"/>
        <w:ind w:firstLine="480" w:firstLineChars="200"/>
        <w:rPr>
          <w:rFonts w:hint="eastAsia" w:ascii="Times New Roman" w:hAnsi="Times New Roman" w:cs="Times New Roman"/>
          <w:sz w:val="24"/>
          <w:szCs w:val="24"/>
          <w:lang w:eastAsia="zh-CN"/>
        </w:rPr>
      </w:pPr>
      <w:r>
        <w:rPr>
          <w:rFonts w:hint="eastAsia" w:ascii="Times New Roman" w:hAnsi="Times New Roman" w:cs="Times New Roman"/>
          <w:sz w:val="24"/>
          <w:szCs w:val="24"/>
          <w:lang w:eastAsia="zh-CN"/>
        </w:rPr>
        <w:t>冶金设施的可燃物与敏感目标随工艺而变化。电解区域关注碳材料、电解槽及其配套电气设备；专用电厂关注燃料、润滑油、输送系统和高分子绝缘材料；钢铁冶炼区域关注高温工艺邻近的油品、线缆和辅助材料；金、钽精炼区域则关注工艺油品、有机溶剂、包装材料以及精密设备。油品的持续燃烧、挥发性液体的快速蒸发、粉状物料或可燃气体形成的特殊风险，会改变敏感目标受热与次生损伤的可能性。</w:t>
      </w:r>
    </w:p>
    <w:p w14:paraId="378CA83F">
      <w:pPr>
        <w:spacing w:line="312" w:lineRule="auto"/>
        <w:ind w:firstLine="480" w:firstLineChars="200"/>
        <w:rPr>
          <w:rFonts w:hint="default" w:ascii="Times New Roman" w:hAnsi="Times New Roman" w:cs="Times New Roman"/>
          <w:sz w:val="24"/>
          <w:szCs w:val="24"/>
        </w:rPr>
      </w:pPr>
      <w:r>
        <w:rPr>
          <w:rFonts w:hint="eastAsia" w:ascii="Times New Roman" w:hAnsi="Times New Roman" w:cs="Times New Roman"/>
          <w:sz w:val="24"/>
          <w:szCs w:val="24"/>
          <w:lang w:eastAsia="zh-CN"/>
        </w:rPr>
        <w:t>这些工程背景在当前数据体系中统一归并为设施构型及目标特征：建筑体量、围护、迎火侧墙面、门窗、通风及工艺开口，以及可燃材料、工艺设备、电气控制单元及其他高价值资产，统一通过目标密度、迎火侧比例和开口比例等参数表示其分布。报告不另设独立材料特征类别，也不以旧式材料清单替代当前 FDS 模型中的实际几何和目标信息。</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冶金设施</w:t>
      </w:r>
      <w:r>
        <w:rPr>
          <w:rFonts w:hint="default" w:ascii="Times New Roman" w:hAnsi="Times New Roman" w:cs="Times New Roman"/>
        </w:rPr>
        <w:t xml:space="preserve">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0"/>
        <w:gridCol w:w="2071"/>
        <w:gridCol w:w="2071"/>
        <w:gridCol w:w="2308"/>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215" w:type="pct"/>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215" w:type="pct"/>
            <w:tcBorders>
              <w:top w:val="single" w:color="000000" w:sz="12" w:space="0"/>
              <w:left w:val="nil"/>
              <w:bottom w:val="single" w:color="000000" w:sz="4" w:space="0"/>
              <w:right w:val="nil"/>
            </w:tcBorders>
            <w:shd w:val="clear" w:color="auto" w:fill="FFFFFF"/>
          </w:tcPr>
          <w:p w14:paraId="1163E685">
            <w:pPr>
              <w:pStyle w:val="54"/>
              <w:bidi w:val="0"/>
              <w:rPr>
                <w:rFonts w:hint="eastAsia"/>
                <w:lang w:eastAsia="zh-CN"/>
              </w:rPr>
            </w:pPr>
            <w:r>
              <w:rPr>
                <w:rFonts w:hint="eastAsia"/>
                <w:lang w:val="en-US" w:eastAsia="zh-CN"/>
              </w:rPr>
              <w:t>工况数</w:t>
            </w:r>
          </w:p>
        </w:tc>
        <w:tc>
          <w:tcPr>
            <w:tcW w:w="1354" w:type="pct"/>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215" w:type="pct"/>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Dk &lt; 0.04</w:t>
            </w:r>
          </w:p>
        </w:tc>
        <w:tc>
          <w:tcPr>
            <w:tcW w:w="2071" w:type="dxa"/>
            <w:tcBorders>
              <w:top w:val="single" w:color="000000" w:sz="4" w:space="0"/>
              <w:left w:val="nil"/>
              <w:bottom w:val="nil"/>
              <w:right w:val="nil"/>
            </w:tcBorders>
            <w:shd w:val="clear" w:color="auto" w:fill="FFFFFF"/>
            <w:vAlign w:val="top"/>
          </w:tcPr>
          <w:p>
            <w:r>
              <w:t>784</w:t>
            </w:r>
          </w:p>
        </w:tc>
        <w:tc>
          <w:tcPr>
            <w:tcW w:w="2308" w:type="dxa"/>
            <w:tcBorders>
              <w:top w:val="single" w:color="000000" w:sz="4" w:space="0"/>
              <w:left w:val="nil"/>
              <w:bottom w:val="nil"/>
              <w:right w:val="nil"/>
            </w:tcBorders>
            <w:shd w:val="clear" w:color="auto" w:fill="FFFFFF"/>
            <w:vAlign w:val="top"/>
          </w:tcPr>
          <w:p>
            <w:r>
              <w:t>50.81%</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215" w:type="pct"/>
            <w:tcBorders>
              <w:top w:val="nil"/>
              <w:left w:val="nil"/>
              <w:bottom w:val="nil"/>
              <w:right w:val="nil"/>
            </w:tcBorders>
            <w:shd w:val="clear" w:color="auto" w:fill="FFFFFF"/>
          </w:tcPr>
          <w:p w14:paraId="225E7AAF">
            <w:pPr>
              <w:pStyle w:val="54"/>
              <w:bidi w:val="0"/>
              <w:rPr>
                <w:rFonts w:hint="default"/>
              </w:rPr>
            </w:pPr>
            <w:r>
              <w:rPr>
                <w:rFonts w:hint="default"/>
              </w:rPr>
              <w:t>0.04 &lt;= Dk &lt; 0.10</w:t>
            </w:r>
          </w:p>
        </w:tc>
        <w:tc>
          <w:tcPr>
            <w:tcW w:w="2071" w:type="dxa"/>
            <w:tcBorders>
              <w:top w:val="nil"/>
              <w:left w:val="nil"/>
              <w:bottom w:val="nil"/>
              <w:right w:val="nil"/>
            </w:tcBorders>
            <w:shd w:val="clear" w:color="auto" w:fill="FFFFFF"/>
            <w:vAlign w:val="top"/>
          </w:tcPr>
          <w:p>
            <w:r>
              <w:t>182</w:t>
            </w:r>
          </w:p>
        </w:tc>
        <w:tc>
          <w:tcPr>
            <w:tcW w:w="2308" w:type="dxa"/>
            <w:tcBorders>
              <w:top w:val="nil"/>
              <w:left w:val="nil"/>
              <w:bottom w:val="nil"/>
              <w:right w:val="nil"/>
            </w:tcBorders>
            <w:shd w:val="clear" w:color="auto" w:fill="FFFFFF"/>
            <w:vAlign w:val="top"/>
          </w:tcPr>
          <w:p>
            <w:r>
              <w:t>11.80%</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5" w:type="pct"/>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215" w:type="pct"/>
            <w:tcBorders>
              <w:top w:val="nil"/>
              <w:left w:val="nil"/>
              <w:bottom w:val="nil"/>
              <w:right w:val="nil"/>
            </w:tcBorders>
            <w:shd w:val="clear" w:color="auto" w:fill="FFFFFF"/>
          </w:tcPr>
          <w:p w14:paraId="3F4CB289">
            <w:pPr>
              <w:pStyle w:val="54"/>
              <w:bidi w:val="0"/>
              <w:rPr>
                <w:rFonts w:hint="default"/>
              </w:rPr>
            </w:pPr>
            <w:r>
              <w:rPr>
                <w:rFonts w:hint="default"/>
              </w:rPr>
              <w:t>0.10 &lt;= Dk &lt; 0.40</w:t>
            </w:r>
          </w:p>
        </w:tc>
        <w:tc>
          <w:tcPr>
            <w:tcW w:w="2071" w:type="dxa"/>
            <w:tcBorders>
              <w:top w:val="nil"/>
              <w:left w:val="nil"/>
              <w:bottom w:val="nil"/>
              <w:right w:val="nil"/>
            </w:tcBorders>
            <w:shd w:val="clear" w:color="auto" w:fill="FFFFFF"/>
            <w:vAlign w:val="top"/>
          </w:tcPr>
          <w:p>
            <w:r>
              <w:t>574</w:t>
            </w:r>
          </w:p>
        </w:tc>
        <w:tc>
          <w:tcPr>
            <w:tcW w:w="2308" w:type="dxa"/>
            <w:tcBorders>
              <w:top w:val="nil"/>
              <w:left w:val="nil"/>
              <w:bottom w:val="nil"/>
              <w:right w:val="nil"/>
            </w:tcBorders>
            <w:shd w:val="clear" w:color="auto" w:fill="FFFFFF"/>
            <w:vAlign w:val="top"/>
          </w:tcPr>
          <w:p>
            <w:r>
              <w:t>37.20%</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215" w:type="pct"/>
            <w:tcBorders>
              <w:top w:val="nil"/>
              <w:left w:val="nil"/>
              <w:bottom w:val="nil"/>
              <w:right w:val="nil"/>
            </w:tcBorders>
            <w:shd w:val="clear" w:color="auto" w:fill="FFFFFF"/>
          </w:tcPr>
          <w:p w14:paraId="5FE32770">
            <w:pPr>
              <w:pStyle w:val="54"/>
              <w:bidi w:val="0"/>
              <w:rPr>
                <w:rFonts w:hint="default"/>
              </w:rPr>
            </w:pPr>
            <w:r>
              <w:rPr>
                <w:rFonts w:hint="default"/>
              </w:rPr>
              <w:t>0.40 &lt;= Dk &lt;= 1.00</w:t>
            </w:r>
          </w:p>
        </w:tc>
        <w:tc>
          <w:tcPr>
            <w:tcW w:w="2071" w:type="dxa"/>
            <w:tcBorders>
              <w:top w:val="nil"/>
              <w:left w:val="nil"/>
              <w:bottom w:val="nil"/>
              <w:right w:val="nil"/>
            </w:tcBorders>
            <w:shd w:val="clear" w:color="auto" w:fill="FFFFFF"/>
            <w:vAlign w:val="top"/>
          </w:tcPr>
          <w:p>
            <w:r>
              <w:t>3</w:t>
            </w:r>
          </w:p>
        </w:tc>
        <w:tc>
          <w:tcPr>
            <w:tcW w:w="2308" w:type="dxa"/>
            <w:tcBorders>
              <w:top w:val="nil"/>
              <w:left w:val="nil"/>
              <w:bottom w:val="nil"/>
              <w:right w:val="nil"/>
            </w:tcBorders>
            <w:shd w:val="clear" w:color="auto" w:fill="FFFFFF"/>
            <w:vAlign w:val="top"/>
          </w:tcPr>
          <w:p>
            <w:r>
              <w:t>0.19%</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5" w:type="pct"/>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215" w:type="pct"/>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2071" w:type="dxa"/>
            <w:tcBorders>
              <w:top w:val="nil"/>
              <w:left w:val="nil"/>
              <w:bottom w:val="single" w:color="000000" w:sz="12" w:space="0"/>
              <w:right w:val="nil"/>
            </w:tcBorders>
            <w:shd w:val="clear" w:color="auto" w:fill="FFFFFF"/>
            <w:vAlign w:val="top"/>
          </w:tcPr>
          <w:p>
            <w:r>
              <w:t>1543</w:t>
            </w:r>
          </w:p>
        </w:tc>
        <w:tc>
          <w:tcPr>
            <w:tcW w:w="2308" w:type="dxa"/>
            <w:tcBorders>
              <w:top w:val="nil"/>
              <w:left w:val="nil"/>
              <w:bottom w:val="single" w:color="000000" w:sz="12" w:space="0"/>
              <w:right w:val="nil"/>
            </w:tcBorders>
            <w:shd w:val="clear" w:color="auto" w:fill="FFFFFF"/>
            <w:vAlign w:val="top"/>
          </w:tcPr>
          <w:p>
            <w:r>
              <w:t>100.00%</w:t>
            </w:r>
          </w:p>
        </w:tc>
      </w:tr>
    </w:tbl>
    <w:p w14:paraId="1DBD20C0">
      <w:pPr>
        <w:spacing w:line="312" w:lineRule="auto"/>
        <w:ind w:firstLine="480" w:firstLineChars="200"/>
        <w:rPr>
          <w:rFonts w:hint="default" w:ascii="Times New Roman" w:hAnsi="Times New Roman" w:cs="Times New Roman"/>
          <w:sz w:val="24"/>
          <w:szCs w:val="24"/>
        </w:rPr>
      </w:pPr>
    </w:p>
    <w:p w14:paraId="5B45782C">
      <w:pPr>
        <w:spacing w:line="312" w:lineRule="auto"/>
        <w:ind w:firstLine="480" w:firstLineChars="200"/>
        <w:rPr>
          <w:rFonts w:hint="eastAsia"/>
        </w:rPr>
      </w:pPr>
      <w:r>
        <w:rPr>
          <w:rFonts w:hint="eastAsia"/>
        </w:rPr>
        <w:t>冶金数据以基本完好和中等破坏为主，轻微破坏位于较窄的</w:t>
      </w:r>
      <w:r>
        <w:t xml:space="preserve"> Dk </w:t>
      </w:r>
      <w:r>
        <w:rPr>
          <w:rFonts w:hint="eastAsia"/>
        </w:rPr>
        <w:t>区间，严重破坏样本数量较少。模型分类任务采用类别平衡方式训练，使少数等级在树节点划分中获得适当权重。</w:t>
      </w:r>
    </w:p>
    <w:p w14:paraId="69289B09">
      <w:pPr>
        <w:spacing w:line="312" w:lineRule="auto"/>
        <w:ind w:firstLine="480" w:firstLineChars="200"/>
        <w:rPr>
          <w:rFonts w:hint="default"/>
        </w:rPr>
      </w:pPr>
      <w:r>
        <w:rPr>
          <w:rFonts w:hint="default"/>
        </w:rPr>
        <w:t>基本完好表示设施整体 Dk 未达到 0.04，不代表每一项设备都没有温升或局部维修费用。围护结构、受热距离、开口方向和遮挡可能使资产实际受热低于名义入射热通量；短时热脉冲也可能不足以使厚重或耐热设备达到有效损伤条件。对于资产价值基数较大的设施，少量局部损伤经价值加权后仍可能保持较低 Dk。</w:t>
      </w:r>
    </w:p>
    <w:p w14:paraId="685741DA">
      <w:pPr>
        <w:spacing w:line="312" w:lineRule="auto"/>
        <w:ind w:firstLine="480" w:firstLineChars="200"/>
        <w:rPr>
          <w:rFonts w:hint="default"/>
        </w:rPr>
      </w:pPr>
      <w:r>
        <w:rPr>
          <w:rFonts w:hint="default"/>
        </w:rPr>
        <w:t>这一特征在美铝电解设施中较为明显。其合格模拟工况最大 Dk 为 0.001298，全部低于轻微破坏阈值。该结果说明现有工况下损伤主要局限于少量局部资产，设施整体价值加权损失较低，而不是说明设施在任意热辐射条件下均不会受损。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14932"/>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12520"/>
      <w:r>
        <w:rPr>
          <w:rFonts w:hint="default" w:ascii="Times New Roman" w:hAnsi="Times New Roman" w:cs="Times New Roman"/>
          <w:lang w:val="en-US" w:eastAsia="zh-CN"/>
        </w:rPr>
        <w:t>特征分类</w:t>
      </w:r>
      <w:bookmarkEnd w:id="12"/>
    </w:p>
    <w:p w14:paraId="4474E9CA">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毁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项（见下表），涵盖热源工况与设施构型两类；个别设施根据其开口、门窗条件补充少量扩展特征（见 4.3 节）。由于每个设施使用自身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081BAC08">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37CFE32D">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Dk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毁伤变化。两者结合，使模型能够在统一的特征空间内表达"外部能量输入—围护衰减—目标暴露—价值加权损伤"的完整响应链。</w:t>
      </w:r>
    </w:p>
    <w:p w14:paraId="4CA5E291">
      <w:pPr>
        <w:rPr>
          <w:rFonts w:hint="default" w:ascii="Times New Roman" w:hAnsi="Times New Roman" w:cs="Times New Roman"/>
        </w:rPr>
      </w:pPr>
      <w:r>
        <w:rPr>
          <w:rFonts w:hint="default" w:ascii="Times New Roman" w:hAnsi="Times New Roman" w:cs="Times New Roman"/>
        </w:rPr>
        <w:t>对冶金设施而言，设施构型及目标特征的工程含义尤为突出。电解厂房、精炼车间与专用电厂通常具有较大的围护体量和连续的工艺设备布置，高温熔融、金属材料与电气设备构成价值高度集中的敏感目标；迎火侧开口与目标比例决定了外部辐射进入设施内部并作用于高价值资产的路径。这些差异无法用单一热源参数表达，必须由设施构型及目标特征承担。</w:t>
      </w:r>
    </w:p>
    <w:p w14:paraId="1E1529D7">
      <w:pPr>
        <w:rPr>
          <w:rFonts w:hint="default" w:ascii="Times New Roman" w:hAnsi="Times New Roman" w:cs="Times New Roman"/>
        </w:rPr>
      </w:pPr>
    </w:p>
    <w:p w14:paraId="39808CD4">
      <w:pPr>
        <w:pStyle w:val="3"/>
        <w:rPr>
          <w:rFonts w:hint="default" w:ascii="Times New Roman" w:hAnsi="Times New Roman" w:cs="Times New Roman"/>
        </w:rPr>
      </w:pPr>
      <w:bookmarkStart w:id="13" w:name="_Toc11721"/>
      <w:r>
        <w:rPr>
          <w:rFonts w:hint="default" w:ascii="Times New Roman" w:hAnsi="Times New Roman" w:cs="Times New Roman"/>
          <w:lang w:val="en-US" w:eastAsia="zh-CN"/>
        </w:rPr>
        <w:t>特征处理</w:t>
      </w:r>
      <w:bookmarkEnd w:id="13"/>
    </w:p>
    <w:p w14:paraId="1378EA3B">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62661702">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毁伤程度。</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31485"/>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分析逐设施模型在冶金设施上的实际使用特征，在五折交叉验证框架下进行重复置换重要性分析：对某个输入特征，在各折测试集上随机打乱该特征取值后重新预测，记录等级准确率的下降量。下降量越大，说明模型在冶金子集上对该特征越敏感。该分析只针对所有冶金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58" name="Picture" descr="图 1 冶金设施专项因素置换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图 1 冶金设施专项因素置换重要性"/>
                    <pic:cNvPicPr>
                      <a:picLocks noChangeAspect="1" noChangeArrowheads="1"/>
                    </pic:cNvPicPr>
                  </pic:nvPicPr>
                  <pic:blipFill>
                    <a:blip r:embed="rId12"/>
                    <a:stretch>
                      <a:fillRect/>
                    </a:stretch>
                  </pic:blipFill>
                  <pic:spPr>
                    <a:xfrm>
                      <a:off x="0" y="0"/>
                      <a:ext cx="5270500" cy="3220861"/>
                    </a:xfrm>
                    <a:prstGeom prst="rect">
                      <a:avLst/>
                    </a:prstGeom>
                    <a:noFill/>
                    <a:ln w="9525">
                      <a:noFill/>
                    </a:ln>
                  </pic:spPr>
                </pic:pic>
              </a:graphicData>
            </a:graphic>
          </wp:inline>
        </w:drawing>
      </w:r>
    </w:p>
    <w:p w14:paraId="1FFD284D">
      <w:pPr>
        <w:pStyle w:val="16"/>
        <w:bidi w:val="0"/>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eastAsia" w:ascii="Times New Roman" w:hAnsi="Times New Roman" w:cs="Times New Roman"/>
          <w:lang w:eastAsia="zh-CN"/>
        </w:rPr>
        <w:t>机械制造</w:t>
      </w:r>
      <w:r>
        <w:rPr>
          <w:rFonts w:hint="default" w:ascii="Times New Roman" w:hAnsi="Times New Roman" w:cs="Times New Roman"/>
        </w:rPr>
        <w:t>与主要工程因素及其阈值影响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热通量（对数）</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0.0322</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方位角正弦项</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0.0094</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方位角余弦项</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0.0063</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迎火侧可燃物/敏感目标比例</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0.0060</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0.0059</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0.0051</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俯仰角</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0.0047</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迎火侧墙面面积（对数）</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0.0026</w:t>
            </w:r>
          </w:p>
        </w:tc>
      </w:tr>
    </w:tbl>
    <w:p w14:paraId="01551E46">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热通量是冶金设施等级判断最主要的驱动因素，直接控制毁伤水平和各等级阈值位置；方位角通过迎火侧墙面与开口比例改变方向响应，可燃物/敏感目标比例和迎火侧总开口比例则反映高价值目标暴露与热量进入路径。细分结果进一步表明，热通量决定等级总体水平，方位角、俯仰角、迎火侧开口和敏感目标比例共同决定同一设施在不同方向上的等级变化。除上述共用特征外，个别冶金设施（如大型冶金等效设施）还补充了方位角象限标识等扩展特征，以刻画其特有的方向响应。</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22218"/>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3156"/>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5977"/>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m:oMathPara>
        <m:oMath>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m:oMathPara>
    </w:p>
    <w:p w14:paraId="77A0F4DD">
      <w:pPr>
        <w:rPr>
          <w:rFonts w:hint="default" w:ascii="Times New Roman" w:hAnsi="Times New Roman" w:cs="Times New Roman"/>
        </w:rPr>
      </w:pPr>
      <w:r>
        <w:rPr>
          <w:rFonts w:hint="default" w:ascii="Times New Roman" w:hAnsi="Times New Roman" w:cs="Times New Roman"/>
        </w:rPr>
        <w:t>其中，</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oMath>
      <w:r>
        <w:rPr>
          <w:rFonts w:hint="default" w:ascii="Times New Roman" w:hAnsi="Times New Roman" w:cs="Times New Roman"/>
        </w:rPr>
        <w:t xml:space="preserve"> 为热源特征，</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oMath>
      <w:r>
        <w:rPr>
          <w:rFonts w:hint="default" w:ascii="Times New Roman" w:hAnsi="Times New Roman" w:cs="Times New Roman"/>
        </w:rPr>
        <w:t xml:space="preserve"> 为建筑特征（包括设施类别），</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oMath>
      <w:r>
        <w:rPr>
          <w:rFonts w:hint="default" w:ascii="Times New Roman" w:hAnsi="Times New Roman" w:cs="Times New Roman"/>
        </w:rPr>
        <w:t xml:space="preserve"> 为可燃物与敏感目标特征。对于包含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棵树的回归森林，第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棵树的输出记为 </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m:oMathPara>
        <m:oMath>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T</m:t>
              </m:r>
              <m:ctrlPr>
                <w:rPr>
                  <w:rFonts w:hint="default" w:ascii="Cambria Math" w:hAnsi="Cambria Math" w:cs="Times New Roman"/>
                  <w:sz w:val="24"/>
                  <w:u w:val="none"/>
                </w:rPr>
              </m:ctrlPr>
            </m:den>
          </m:f>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ctrlPr>
                <w:rPr>
                  <w:rFonts w:hint="default" w:ascii="Cambria Math" w:hAnsi="Cambria Math" w:cs="Times New Roman"/>
                  <w:sz w:val="24"/>
                  <w:u w:val="none"/>
                </w:rPr>
              </m:ctrlPr>
            </m:e>
          </m:nary>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m: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8206"/>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棵分类树的输出记为 </w:t>
      </w:r>
      <m:oMath>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m:oMathPara>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rPr>
                <w:rPr>
                  <w:rFonts w:hint="default" w:ascii="Times New Roman" w:hAnsi="Times New Roman" w:cs="Times New Roman"/>
                  <w:i/>
                  <w:sz w:val="24"/>
                  <w:u w:val="none"/>
                </w:rPr>
                <m:t>arg</m:t>
              </m:r>
              <m:ctrlPr>
                <w:rPr>
                  <w:rFonts w:hint="default" w:ascii="Cambria Math" w:hAnsi="Cambria Math" w:cs="Times New Roman"/>
                  <w:sz w:val="24"/>
                  <w:u w:val="none"/>
                </w:rPr>
              </m:ctrlPr>
            </m:fName>
            <m:e>
              <m:func>
                <m:funcPr>
                  <m:ctrlPr>
                    <w:rPr>
                      <w:rFonts w:hint="default" w:ascii="Cambria Math" w:hAnsi="Cambria Math" w:cs="Times New Roman"/>
                      <w:sz w:val="24"/>
                      <w:u w:val="none"/>
                    </w:rPr>
                  </m:ctrlPr>
                </m:funcPr>
                <m:fName>
                  <m:limLow>
                    <m:limLowPr>
                      <m:ctrlPr>
                        <w:rPr>
                          <w:rFonts w:hint="default" w:ascii="Cambria Math" w:hAnsi="Cambria Math" w:cs="Times New Roman"/>
                          <w:sz w:val="24"/>
                          <w:u w:val="none"/>
                        </w:rPr>
                      </m:ctrlPr>
                    </m:limLowPr>
                    <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e>
                    <m:lim>
                      <m:r>
                        <m:rPr>
                          <m:nor/>
                        </m:rPr>
                        <w:rPr>
                          <w:rFonts w:hint="default" w:ascii="Times New Roman" w:hAnsi="Times New Roman" w:cs="Times New Roman"/>
                          <w:i/>
                          <w:sz w:val="24"/>
                          <w:u w:val="none"/>
                        </w:rPr>
                        <m:t>c</m:t>
                      </m:r>
                      <m:r>
                        <m:rPr>
                          <m:nor/>
                          <m:sty m:val="p"/>
                        </m:rPr>
                        <w:rPr>
                          <w:rFonts w:hint="default" w:ascii="Times New Roman" w:hAnsi="Times New Roman" w:cs="Times New Roman"/>
                          <w:b w:val="0"/>
                          <w:i w:val="0"/>
                          <w:sz w:val="24"/>
                          <w:u w:val="none"/>
                        </w:rPr>
                        <m:t>∈{0,1,2,3}</m:t>
                      </m:r>
                      <m:ctrlPr>
                        <w:rPr>
                          <w:rFonts w:hint="default" w:ascii="Cambria Math" w:hAnsi="Cambria Math" w:cs="Times New Roman"/>
                          <w:sz w:val="24"/>
                          <w:u w:val="none"/>
                        </w:rPr>
                      </m:ctrlPr>
                    </m:lim>
                  </m:limLow>
                  <m:ctrlPr>
                    <w:rPr>
                      <w:rFonts w:hint="default" w:ascii="Cambria Math" w:hAnsi="Cambria Math" w:cs="Times New Roman"/>
                      <w:sz w:val="24"/>
                      <w:u w:val="none"/>
                    </w:rPr>
                  </m:ctrlPr>
                </m:fName>
                <m:e>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r>
                        <m:rPr>
                          <m:nor/>
                          <m:sty m:val="b"/>
                        </m:rPr>
                        <w:rPr>
                          <w:rFonts w:hint="default" w:ascii="Times New Roman" w:hAnsi="Times New Roman" w:cs="Times New Roman"/>
                          <w:b/>
                          <w:i w:val="0"/>
                          <w:sz w:val="24"/>
                          <w:u w:val="none"/>
                        </w:rPr>
                        <m:t>1</m:t>
                      </m:r>
                      <m:ctrlPr>
                        <w:rPr>
                          <w:rFonts w:hint="default" w:ascii="Cambria Math" w:hAnsi="Cambria Math" w:cs="Times New Roman"/>
                          <w:sz w:val="24"/>
                          <w:u w:val="none"/>
                        </w:rPr>
                      </m:ctrlPr>
                    </m:e>
                  </m:nary>
                  <m:ctrlPr>
                    <w:rPr>
                      <w:rFonts w:hint="default" w:ascii="Cambria Math" w:hAnsi="Cambria Math" w:cs="Times New Roman"/>
                      <w:i/>
                      <w:sz w:val="24"/>
                      <w:u w:val="none"/>
                    </w:rPr>
                  </m:ctrlPr>
                </m:e>
              </m:func>
              <m:ctrlPr>
                <w:rPr>
                  <w:rFonts w:hint="default" w:ascii="Cambria Math" w:hAnsi="Cambria Math" w:cs="Times New Roman"/>
                  <w:sz w:val="24"/>
                  <w:u w:val="none"/>
                </w:rPr>
              </m:ctrlPr>
            </m:e>
          </m:func>
          <m:d>
            <m:dPr>
              <m:begChr m:val="["/>
              <m:endChr m:val="]"/>
              <m:ctrlPr>
                <w:rPr>
                  <w:rFonts w:hint="default" w:ascii="Cambria Math" w:hAnsi="Cambria Math" w:cs="Times New Roman"/>
                  <w:i/>
                  <w:sz w:val="24"/>
                  <w:u w:val="none"/>
                </w:rPr>
              </m:ctrlPr>
            </m:dPr>
            <m:e>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i/>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i/>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c</m:t>
              </m:r>
              <m:ctrlPr>
                <w:rPr>
                  <w:rFonts w:hint="default" w:ascii="Cambria Math" w:hAnsi="Cambria Math" w:cs="Times New Roman"/>
                  <w:sz w:val="24"/>
                  <w:u w:val="none"/>
                </w:rPr>
              </m:ctrlPr>
            </m:e>
          </m:d>
        </m:oMath>
      </m: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17040"/>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oMath>
      <w:r>
        <w:rPr>
          <w:rFonts w:hint="default" w:ascii="Times New Roman" w:hAnsi="Times New Roman" w:cs="Times New Roman"/>
        </w:rPr>
        <w:t xml:space="preserve"> 对应的 Dk 合法区间为 </w:t>
      </w:r>
      <m:oMath>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，最终连续值为：</w:t>
      </w:r>
    </w:p>
    <w:p w14:paraId="31A2B4B7">
      <w:pPr>
        <w:rPr>
          <w:rFonts w:hint="default" w:ascii="Times New Roman" w:hAnsi="Times New Roman" w:cs="Times New Roman"/>
        </w:rPr>
      </w:pPr>
      <m:oMathPara>
        <m:oMath>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min</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i/>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oMath>
      </m: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14172"/>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eastAsia"/>
          <w:lang w:val="en-US" w:eastAsia="zh-C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14:paraId="2041F833">
            <w:pPr>
              <w:pStyle w:val="54"/>
              <w:bidi w:val="0"/>
              <w:rPr>
                <w:rFonts w:hint="default"/>
              </w:rPr>
            </w:pPr>
            <w:r>
              <w:t>95.7657%</w:t>
            </w:r>
          </w:p>
        </w:tc>
        <w:tc>
          <w:tcPr>
            <w:tcW w:w="2769" w:type="dxa"/>
            <w:tcBorders>
              <w:top w:val="single" w:color="000000" w:sz="4" w:space="0"/>
              <w:left w:val="nil"/>
              <w:bottom w:val="nil"/>
              <w:right w:val="nil"/>
            </w:tcBorders>
            <w:shd w:val="clear" w:color="auto" w:fill="FFFFFF"/>
            <w:vAlign w:val="top"/>
          </w:tcPr>
          <w:p w14:paraId="470C2683">
            <w:pPr>
              <w:pStyle w:val="54"/>
              <w:bidi w:val="0"/>
              <w:rPr>
                <w:rFonts w:hint="default"/>
              </w:rPr>
            </w:pPr>
            <w:r>
              <w:t>—</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14:paraId="2E6A2F46">
            <w:pPr>
              <w:pStyle w:val="54"/>
              <w:bidi w:val="0"/>
              <w:rPr>
                <w:rFonts w:hint="default"/>
              </w:rPr>
            </w:pPr>
            <w:r>
              <w:t>95.6561%</w:t>
            </w:r>
          </w:p>
        </w:tc>
        <w:tc>
          <w:tcPr>
            <w:tcW w:w="2769" w:type="dxa"/>
            <w:tcBorders>
              <w:top w:val="nil"/>
              <w:left w:val="nil"/>
              <w:bottom w:val="nil"/>
              <w:right w:val="nil"/>
            </w:tcBorders>
            <w:shd w:val="clear" w:color="auto" w:fill="FFFFFF"/>
            <w:vAlign w:val="top"/>
          </w:tcPr>
          <w:p w14:paraId="2C67C5A0">
            <w:pPr>
              <w:pStyle w:val="54"/>
              <w:bidi w:val="0"/>
              <w:rPr>
                <w:rFonts w:hint="default"/>
              </w:rPr>
            </w:pPr>
            <w:r>
              <w:t>95.2555%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14:paraId="5B2D0C6E">
            <w:pPr>
              <w:pStyle w:val="54"/>
              <w:bidi w:val="0"/>
              <w:rPr>
                <w:rFonts w:hint="default"/>
              </w:rPr>
            </w:pPr>
            <w:r>
              <w:t>95.7657%</w:t>
            </w:r>
          </w:p>
        </w:tc>
        <w:tc>
          <w:tcPr>
            <w:tcW w:w="2769" w:type="dxa"/>
            <w:tcBorders>
              <w:top w:val="nil"/>
              <w:left w:val="nil"/>
              <w:bottom w:val="nil"/>
              <w:right w:val="nil"/>
            </w:tcBorders>
            <w:shd w:val="clear" w:color="auto" w:fill="FFFFFF"/>
            <w:vAlign w:val="top"/>
          </w:tcPr>
          <w:p w14:paraId="6CD39108">
            <w:pPr>
              <w:pStyle w:val="54"/>
              <w:bidi w:val="0"/>
              <w:rPr>
                <w:rFonts w:hint="default"/>
              </w:rPr>
            </w:pPr>
            <w:r>
              <w:t>95.5292%</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14:paraId="52509856">
            <w:pPr>
              <w:pStyle w:val="54"/>
              <w:bidi w:val="0"/>
              <w:rPr>
                <w:rFonts w:hint="default"/>
              </w:rPr>
            </w:pPr>
            <w:r>
              <w:t>95.8204%</w:t>
            </w:r>
          </w:p>
        </w:tc>
        <w:tc>
          <w:tcPr>
            <w:tcW w:w="2769" w:type="dxa"/>
            <w:tcBorders>
              <w:top w:val="nil"/>
              <w:left w:val="nil"/>
              <w:bottom w:val="nil"/>
              <w:right w:val="nil"/>
            </w:tcBorders>
            <w:shd w:val="clear" w:color="auto" w:fill="FFFFFF"/>
            <w:vAlign w:val="top"/>
          </w:tcPr>
          <w:p w14:paraId="63F3CB8B">
            <w:pPr>
              <w:pStyle w:val="54"/>
              <w:bidi w:val="0"/>
              <w:rPr>
                <w:rFonts w:hint="default"/>
              </w:rPr>
            </w:pPr>
            <w:r>
              <w:t>95.5292%</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14:paraId="434A9AD9">
            <w:pPr>
              <w:pStyle w:val="54"/>
              <w:bidi w:val="0"/>
              <w:rPr>
                <w:rFonts w:hint="default"/>
              </w:rPr>
            </w:pPr>
            <w:r>
              <w:t>95.7839%</w:t>
            </w:r>
          </w:p>
        </w:tc>
        <w:tc>
          <w:tcPr>
            <w:tcW w:w="2769" w:type="dxa"/>
            <w:tcBorders>
              <w:top w:val="nil"/>
              <w:left w:val="nil"/>
              <w:bottom w:val="nil"/>
              <w:right w:val="nil"/>
            </w:tcBorders>
            <w:shd w:val="clear" w:color="auto" w:fill="FFFFFF"/>
            <w:vAlign w:val="top"/>
          </w:tcPr>
          <w:p w14:paraId="223DDA28">
            <w:pPr>
              <w:pStyle w:val="54"/>
              <w:bidi w:val="0"/>
              <w:rPr>
                <w:rFonts w:hint="default"/>
              </w:rPr>
            </w:pPr>
            <w:r>
              <w:t>95.1642%</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14:paraId="7010CC8D">
            <w:pPr>
              <w:pStyle w:val="54"/>
              <w:bidi w:val="0"/>
              <w:rPr>
                <w:rFonts w:hint="default"/>
              </w:rPr>
            </w:pPr>
            <w:r>
              <w:t>95.8204%</w:t>
            </w:r>
          </w:p>
        </w:tc>
        <w:tc>
          <w:tcPr>
            <w:tcW w:w="2769" w:type="dxa"/>
            <w:tcBorders>
              <w:top w:val="nil"/>
              <w:left w:val="nil"/>
              <w:bottom w:val="single" w:color="000000" w:sz="12" w:space="0"/>
              <w:right w:val="nil"/>
            </w:tcBorders>
            <w:shd w:val="clear" w:color="auto" w:fill="FFFFFF"/>
            <w:vAlign w:val="top"/>
          </w:tcPr>
          <w:p w14:paraId="46A71CD8">
            <w:pPr>
              <w:pStyle w:val="54"/>
              <w:bidi w:val="0"/>
              <w:rPr>
                <w:rFonts w:hint="default"/>
              </w:rPr>
            </w:pPr>
            <w:r>
              <w:t>95.1642%</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3"/>
                    <a:stretch>
                      <a:fillRect/>
                    </a:stretch>
                  </pic:blipFill>
                  <pic:spPr>
                    <a:xfrm>
                      <a:off x="0" y="0"/>
                      <a:ext cx="5361940" cy="1871345"/>
                    </a:xfrm>
                    <a:prstGeom prst="rect">
                      <a:avLst/>
                    </a:prstGeom>
                    <a:noFill/>
                    <a:ln w="9525">
                      <a:noFill/>
                    </a:ln>
                  </pic:spPr>
                </pic:pic>
              </a:graphicData>
            </a:graphic>
          </wp:inline>
        </w:drawing>
      </w:r>
    </w:p>
    <w:p w14:paraId="2A2080C7">
      <w:pPr>
        <w:pStyle w:val="16"/>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9820"/>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20877"/>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条合格工况按毁伤等级分层划分为训练集和独立测试集，其中独立测试集约占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8218"/>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m:oMathPara>
              <m:oMath>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d>
                      <m:dPr>
                        <m:begChr m:val="|"/>
                        <m:endChr m:val="|"/>
                        <m:ctrlPr>
                          <w:rPr>
                            <w:rFonts w:hint="default" w:ascii="Cambria Math" w:hAnsi="Cambria Math" w:cs="Times New Roman"/>
                            <w:sz w:val="24"/>
                            <w:u w:val="none"/>
                          </w:rPr>
                        </m:ctrlPr>
                      </m:dPr>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sty m:val="p"/>
                          </m:rPr>
                          <w:rPr>
                            <w:rFonts w:hint="default" w:ascii="Times New Roman" w:hAnsi="Times New Roman" w:cs="Times New Roman"/>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sz w:val="24"/>
                        <w:u w:val="none"/>
                      </w:rPr>
                    </m:ctrlPr>
                  </m:e>
                </m:nary>
              </m:oMath>
            </m: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m:oMathPara>
              <m:oMath>
                <m:rad>
                  <m:radPr>
                    <m:degHide m:val="1"/>
                    <m:ctrlPr>
                      <w:rPr>
                        <w:rFonts w:hint="default" w:ascii="Cambria Math" w:hAnsi="Cambria Math" w:cs="Times New Roman"/>
                        <w:i/>
                        <w:sz w:val="24"/>
                        <w:u w:val="none"/>
                      </w:rPr>
                    </m:ctrlPr>
                  </m:radPr>
                  <m:deg>
                    <m:ctrlPr>
                      <w:rPr>
                        <w:rFonts w:hint="default" w:ascii="Cambria Math" w:hAnsi="Cambria Math" w:cs="Times New Roman"/>
                        <w:sz w:val="24"/>
                        <w:u w:val="none"/>
                      </w:rPr>
                    </m:ctrlPr>
                  </m:deg>
                  <m:e>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nary>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sSup>
                      <m:sSupPr>
                        <m:ctrlPr>
                          <w:rPr>
                            <w:rFonts w:hint="default" w:ascii="Cambria Math" w:hAnsi="Cambria Math" w:cs="Times New Roman"/>
                            <w:sz w:val="24"/>
                            <w:u w:val="none"/>
                          </w:rPr>
                        </m:ctrlPr>
                      </m:sSupPr>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sup>
                        <m:r>
                          <m:rPr>
                            <m:nor/>
                            <m:sty m:val="p"/>
                          </m:rPr>
                          <w:rPr>
                            <w:rFonts w:hint="default" w:ascii="Times New Roman" w:hAnsi="Times New Roman" w:cs="Times New Roman"/>
                            <w:b w:val="0"/>
                            <w:i w:val="0"/>
                            <w:sz w:val="24"/>
                            <w:u w:val="none"/>
                          </w:rPr>
                          <m:t>2</m:t>
                        </m:r>
                        <m:ctrlPr>
                          <w:rPr>
                            <w:rFonts w:hint="default" w:ascii="Cambria Math" w:hAnsi="Cambria Math" w:cs="Times New Roman"/>
                            <w:sz w:val="24"/>
                            <w:u w:val="none"/>
                          </w:rPr>
                        </m:ctrlPr>
                      </m:sup>
                    </m:sSup>
                    <m:ctrlPr>
                      <w:rPr>
                        <w:rFonts w:hint="default" w:ascii="Cambria Math" w:hAnsi="Cambria Math" w:cs="Times New Roman"/>
                        <w:sz w:val="24"/>
                        <w:u w:val="none"/>
                      </w:rPr>
                    </m:ctrlPr>
                  </m:e>
                </m:rad>
              </m:oMath>
            </m: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8583"/>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95%，且两者差异较小，表明模型在不同划分方式下保持了较稳定的四级毁伤判定能力。独立测试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697095" cy="4216400"/>
            <wp:effectExtent l="0" t="0" r="8255" b="12700"/>
            <wp:docPr id="71" name="Picture" descr="图 2 冶金设施五折交叉验证等级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图 2 冶金设施五折交叉验证等级混淆矩阵"/>
                    <pic:cNvPicPr>
                      <a:picLocks noChangeAspect="1" noChangeArrowheads="1"/>
                    </pic:cNvPicPr>
                  </pic:nvPicPr>
                  <pic:blipFill>
                    <a:blip r:embed="rId14"/>
                    <a:srcRect l="10880"/>
                    <a:stretch>
                      <a:fillRect/>
                    </a:stretch>
                  </pic:blipFill>
                  <pic:spPr>
                    <a:xfrm>
                      <a:off x="0" y="0"/>
                      <a:ext cx="4697095"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23875"/>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机械制造与的功能、建筑开口和高价值目标组合更复杂，专项应用采用逐设施模型与 FDS 复核相结合的工程流程。模型直接输出连续 Dk 和四级毁伤结果；对于等级边界附近或方向响应不稳定的工况，程序提示转入 FDS 精细计算，避免低置信度边界工况被直接输出为确定等级。</w:t>
      </w:r>
    </w:p>
    <w:p w14:paraId="12FE12EA">
      <w:pPr>
        <w:pStyle w:val="16"/>
        <w:bidi w:val="0"/>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t xml:space="preserve"> </w:t>
      </w:r>
      <w:r>
        <w:rPr>
          <w:rFonts w:hint="eastAsia"/>
        </w:rPr>
        <w:t>冶金设施独立测试结果</w:t>
      </w:r>
    </w:p>
    <w:tbl>
      <w:tblPr>
        <w:tblStyle w:val="12"/>
        <w:tblW w:w="4998" w:type="pct"/>
        <w:tblInd w:w="0" w:type="dxa"/>
        <w:tblLayout w:type="autofit"/>
        <w:tblCellMar>
          <w:top w:w="0" w:type="dxa"/>
          <w:left w:w="108" w:type="dxa"/>
          <w:bottom w:w="0" w:type="dxa"/>
          <w:right w:w="108" w:type="dxa"/>
        </w:tblCellMar>
      </w:tblPr>
      <w:tblGrid>
        <w:gridCol w:w="3682"/>
        <w:gridCol w:w="1684"/>
        <w:gridCol w:w="1684"/>
        <w:gridCol w:w="1469"/>
      </w:tblGrid>
      <w:tr w14:paraId="65CE31A7">
        <w:tblPrEx>
          <w:tblCellMar>
            <w:top w:w="0" w:type="dxa"/>
            <w:left w:w="108" w:type="dxa"/>
            <w:bottom w:w="0" w:type="dxa"/>
            <w:right w:w="108" w:type="dxa"/>
          </w:tblCellMar>
        </w:tblPrEx>
        <w:trPr>
          <w:tblHeader/>
        </w:trPr>
        <w:tc>
          <w:tcPr>
            <w:tcW w:w="2160" w:type="pct"/>
            <w:tcBorders>
              <w:top w:val="single" w:color="000000" w:sz="12" w:space="0"/>
              <w:left w:val="nil"/>
              <w:bottom w:val="single" w:color="000000" w:sz="4" w:space="0"/>
              <w:right w:val="nil"/>
              <w:tl2br w:val="nil"/>
            </w:tcBorders>
            <w:shd w:val="clear" w:color="auto" w:fill="FFFFFF"/>
          </w:tcPr>
          <w:p w14:paraId="17E31F73">
            <w:pPr>
              <w:pStyle w:val="54"/>
              <w:bidi w:val="0"/>
              <w:rPr>
                <w:b w:val="0"/>
              </w:rPr>
            </w:pPr>
            <w:r>
              <w:rPr>
                <w:rFonts w:hint="eastAsia"/>
                <w:b w:val="0"/>
              </w:rPr>
              <w:t>设施名称</w:t>
            </w:r>
          </w:p>
        </w:tc>
        <w:tc>
          <w:tcPr>
            <w:tcW w:w="988" w:type="pct"/>
            <w:tcBorders>
              <w:top w:val="single" w:color="000000" w:sz="12" w:space="0"/>
              <w:left w:val="nil"/>
              <w:bottom w:val="single" w:color="000000" w:sz="4" w:space="0"/>
              <w:right w:val="nil"/>
            </w:tcBorders>
            <w:shd w:val="clear" w:color="auto" w:fill="FFFFFF"/>
          </w:tcPr>
          <w:p w14:paraId="1221A556">
            <w:pPr>
              <w:pStyle w:val="54"/>
              <w:bidi w:val="0"/>
              <w:rPr>
                <w:b w:val="0"/>
              </w:rPr>
            </w:pPr>
            <w:r>
              <w:rPr>
                <w:rFonts w:hint="eastAsia"/>
                <w:b w:val="0"/>
              </w:rPr>
              <w:t>测试工况数</w:t>
            </w:r>
          </w:p>
        </w:tc>
        <w:tc>
          <w:tcPr>
            <w:tcW w:w="988" w:type="pct"/>
            <w:tcBorders>
              <w:top w:val="single" w:color="000000" w:sz="12" w:space="0"/>
              <w:left w:val="nil"/>
              <w:bottom w:val="single" w:color="000000" w:sz="4" w:space="0"/>
              <w:right w:val="nil"/>
            </w:tcBorders>
            <w:shd w:val="clear" w:color="auto" w:fill="FFFFFF"/>
          </w:tcPr>
          <w:p w14:paraId="2A13C0C3">
            <w:pPr>
              <w:pStyle w:val="54"/>
              <w:bidi w:val="0"/>
              <w:rPr>
                <w:b w:val="0"/>
              </w:rPr>
            </w:pPr>
            <w:r>
              <w:rPr>
                <w:rFonts w:hint="eastAsia"/>
                <w:b w:val="0"/>
              </w:rPr>
              <w:t>等级准确率</w:t>
            </w:r>
          </w:p>
        </w:tc>
        <w:tc>
          <w:tcPr>
            <w:tcW w:w="862" w:type="pct"/>
            <w:tcBorders>
              <w:top w:val="single" w:color="000000" w:sz="12" w:space="0"/>
              <w:left w:val="nil"/>
              <w:bottom w:val="single" w:color="000000" w:sz="4" w:space="0"/>
              <w:right w:val="nil"/>
            </w:tcBorders>
            <w:shd w:val="clear" w:color="auto" w:fill="FFFFFF"/>
          </w:tcPr>
          <w:p w14:paraId="203E825E">
            <w:pPr>
              <w:pStyle w:val="54"/>
              <w:bidi w:val="0"/>
              <w:rPr>
                <w:b w:val="0"/>
              </w:rPr>
            </w:pPr>
            <w:r>
              <w:rPr>
                <w:b w:val="0"/>
              </w:rPr>
              <w:t>MAE</w:t>
            </w:r>
          </w:p>
        </w:tc>
      </w:tr>
      <w:tr w14:paraId="4E529014">
        <w:tblPrEx>
          <w:tblCellMar>
            <w:top w:w="0" w:type="dxa"/>
            <w:left w:w="108" w:type="dxa"/>
            <w:bottom w:w="0" w:type="dxa"/>
            <w:right w:w="108" w:type="dxa"/>
          </w:tblCellMar>
        </w:tblPrEx>
        <w:tc>
          <w:tcPr>
            <w:tcW w:w="2160" w:type="pct"/>
            <w:tcBorders>
              <w:top w:val="single" w:color="000000" w:sz="4" w:space="0"/>
              <w:left w:val="nil"/>
              <w:bottom w:val="nil"/>
              <w:right w:val="nil"/>
            </w:tcBorders>
            <w:shd w:val="clear" w:color="auto" w:fill="FFFFFF"/>
          </w:tcPr>
          <w:p>
            <w:r>
              <w:t>冶金-电解厂</w:t>
            </w:r>
          </w:p>
        </w:tc>
        <w:tc>
          <w:tcPr>
            <w:tcW w:w="988" w:type="pct"/>
            <w:tcBorders>
              <w:top w:val="single" w:color="000000" w:sz="4" w:space="0"/>
              <w:left w:val="nil"/>
              <w:bottom w:val="nil"/>
              <w:right w:val="nil"/>
            </w:tcBorders>
            <w:shd w:val="clear" w:color="auto" w:fill="FFFFFF"/>
          </w:tcPr>
          <w:p>
            <w:r>
              <w:t>18</w:t>
            </w:r>
          </w:p>
        </w:tc>
        <w:tc>
          <w:tcPr>
            <w:tcW w:w="988" w:type="pct"/>
            <w:tcBorders>
              <w:top w:val="single" w:color="000000" w:sz="4" w:space="0"/>
              <w:left w:val="nil"/>
              <w:bottom w:val="nil"/>
              <w:right w:val="nil"/>
            </w:tcBorders>
            <w:shd w:val="clear" w:color="auto" w:fill="FFFFFF"/>
          </w:tcPr>
          <w:p>
            <w:r>
              <w:t>100.0000%</w:t>
            </w:r>
          </w:p>
        </w:tc>
        <w:tc>
          <w:tcPr>
            <w:tcW w:w="862" w:type="pct"/>
            <w:tcBorders>
              <w:top w:val="single" w:color="000000" w:sz="4" w:space="0"/>
              <w:left w:val="nil"/>
              <w:bottom w:val="nil"/>
              <w:right w:val="nil"/>
            </w:tcBorders>
            <w:shd w:val="clear" w:color="auto" w:fill="FFFFFF"/>
          </w:tcPr>
          <w:p>
            <w:r>
              <w:t>0.000006</w:t>
            </w:r>
          </w:p>
        </w:tc>
      </w:tr>
      <w:tr w14:paraId="05ED0A96">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r>
              <w:t>冶金-金精炼</w:t>
            </w:r>
          </w:p>
        </w:tc>
        <w:tc>
          <w:tcPr>
            <w:tcW w:w="988" w:type="pct"/>
            <w:tcBorders>
              <w:top w:val="nil"/>
              <w:left w:val="nil"/>
              <w:bottom w:val="nil"/>
              <w:right w:val="nil"/>
            </w:tcBorders>
            <w:shd w:val="clear" w:color="auto" w:fill="FFFFFF"/>
          </w:tcPr>
          <w:p>
            <w:r>
              <w:t>46</w:t>
            </w:r>
          </w:p>
        </w:tc>
        <w:tc>
          <w:tcPr>
            <w:tcW w:w="988" w:type="pct"/>
            <w:tcBorders>
              <w:top w:val="nil"/>
              <w:left w:val="nil"/>
              <w:bottom w:val="nil"/>
              <w:right w:val="nil"/>
            </w:tcBorders>
            <w:shd w:val="clear" w:color="auto" w:fill="FFFFFF"/>
          </w:tcPr>
          <w:p>
            <w:r>
              <w:t>97.8261%</w:t>
            </w:r>
          </w:p>
        </w:tc>
        <w:tc>
          <w:tcPr>
            <w:tcW w:w="862" w:type="pct"/>
            <w:tcBorders>
              <w:top w:val="nil"/>
              <w:left w:val="nil"/>
              <w:bottom w:val="nil"/>
              <w:right w:val="nil"/>
            </w:tcBorders>
            <w:shd w:val="clear" w:color="auto" w:fill="FFFFFF"/>
          </w:tcPr>
          <w:p>
            <w:r>
              <w:t>0.001620</w:t>
            </w:r>
          </w:p>
        </w:tc>
      </w:tr>
      <w:tr w14:paraId="0148F98D">
        <w:tc>
          <w:tcPr>
            <w:tcW w:w="2160" w:type="pct"/>
            <w:tcBorders>
              <w:top w:val="nil"/>
              <w:left w:val="nil"/>
              <w:bottom w:val="nil"/>
              <w:right w:val="nil"/>
            </w:tcBorders>
            <w:shd w:val="clear" w:color="auto" w:fill="FFFFFF"/>
          </w:tcPr>
          <w:p>
            <w:r>
              <w:t>冶金-钽精炼</w:t>
            </w:r>
          </w:p>
        </w:tc>
        <w:tc>
          <w:tcPr>
            <w:tcW w:w="988" w:type="pct"/>
            <w:tcBorders>
              <w:top w:val="nil"/>
              <w:left w:val="nil"/>
              <w:bottom w:val="nil"/>
              <w:right w:val="nil"/>
            </w:tcBorders>
            <w:shd w:val="clear" w:color="auto" w:fill="FFFFFF"/>
          </w:tcPr>
          <w:p>
            <w:r>
              <w:t>47</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0.002396</w:t>
            </w:r>
          </w:p>
        </w:tc>
      </w:tr>
      <w:tr w14:paraId="60A5464C">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61A0F0F7">
            <w:pPr>
              <w:pStyle w:val="54"/>
              <w:bidi w:val="0"/>
              <w:rPr>
                <w:b w:val="0"/>
              </w:rPr>
            </w:pPr>
            <w:r>
              <w:rPr>
                <w:rFonts w:hint="eastAsia"/>
                <w:b w:val="0"/>
              </w:rPr>
              <w:t>大型冶金等效设施</w:t>
            </w:r>
          </w:p>
        </w:tc>
        <w:tc>
          <w:tcPr>
            <w:tcW w:w="988" w:type="pct"/>
            <w:tcBorders>
              <w:top w:val="nil"/>
              <w:left w:val="nil"/>
              <w:bottom w:val="nil"/>
              <w:right w:val="nil"/>
            </w:tcBorders>
            <w:shd w:val="clear" w:color="auto" w:fill="FFFFFF"/>
          </w:tcPr>
          <w:p>
            <w:r>
              <w:t>56</w:t>
            </w:r>
          </w:p>
        </w:tc>
        <w:tc>
          <w:tcPr>
            <w:tcW w:w="988" w:type="pct"/>
            <w:tcBorders>
              <w:top w:val="nil"/>
              <w:left w:val="nil"/>
              <w:bottom w:val="nil"/>
              <w:right w:val="nil"/>
            </w:tcBorders>
            <w:shd w:val="clear" w:color="auto" w:fill="FFFFFF"/>
          </w:tcPr>
          <w:p>
            <w:r>
              <w:t>96.4286%</w:t>
            </w:r>
          </w:p>
        </w:tc>
        <w:tc>
          <w:tcPr>
            <w:tcW w:w="862" w:type="pct"/>
            <w:tcBorders>
              <w:top w:val="nil"/>
              <w:left w:val="nil"/>
              <w:bottom w:val="nil"/>
              <w:right w:val="nil"/>
            </w:tcBorders>
            <w:shd w:val="clear" w:color="auto" w:fill="FFFFFF"/>
          </w:tcPr>
          <w:p>
            <w:r>
              <w:t>0.003782</w:t>
            </w:r>
          </w:p>
        </w:tc>
      </w:tr>
      <w:tr w14:paraId="0B9A9C61">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5D95715F">
            <w:pPr>
              <w:pStyle w:val="54"/>
              <w:bidi w:val="0"/>
              <w:rPr>
                <w:b w:val="0"/>
              </w:rPr>
            </w:pPr>
            <w:r>
              <w:rPr>
                <w:rFonts w:hint="eastAsia"/>
                <w:b w:val="0"/>
              </w:rPr>
              <w:t>中型冶金等效设施</w:t>
            </w:r>
          </w:p>
        </w:tc>
        <w:tc>
          <w:tcPr>
            <w:tcW w:w="988" w:type="pct"/>
            <w:tcBorders>
              <w:top w:val="nil"/>
              <w:left w:val="nil"/>
              <w:bottom w:val="nil"/>
              <w:right w:val="nil"/>
            </w:tcBorders>
            <w:shd w:val="clear" w:color="auto" w:fill="FFFFFF"/>
          </w:tcPr>
          <w:p>
            <w:r>
              <w:t>41</w:t>
            </w:r>
          </w:p>
        </w:tc>
        <w:tc>
          <w:tcPr>
            <w:tcW w:w="988" w:type="pct"/>
            <w:tcBorders>
              <w:top w:val="nil"/>
              <w:left w:val="nil"/>
              <w:bottom w:val="nil"/>
              <w:right w:val="nil"/>
            </w:tcBorders>
            <w:shd w:val="clear" w:color="auto" w:fill="FFFFFF"/>
          </w:tcPr>
          <w:p>
            <w:r>
              <w:t>97.5610%</w:t>
            </w:r>
          </w:p>
        </w:tc>
        <w:tc>
          <w:tcPr>
            <w:tcW w:w="862" w:type="pct"/>
            <w:tcBorders>
              <w:top w:val="nil"/>
              <w:left w:val="nil"/>
              <w:bottom w:val="nil"/>
              <w:right w:val="nil"/>
            </w:tcBorders>
            <w:shd w:val="clear" w:color="auto" w:fill="FFFFFF"/>
          </w:tcPr>
          <w:p>
            <w:r>
              <w:t>0.004472</w:t>
            </w:r>
          </w:p>
        </w:tc>
      </w:tr>
      <w:tr w14:paraId="55CDDF69">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14:paraId="06DB3FB8">
            <w:pPr>
              <w:pStyle w:val="54"/>
              <w:bidi w:val="0"/>
              <w:rPr>
                <w:b w:val="0"/>
              </w:rPr>
            </w:pPr>
            <w:r>
              <w:rPr>
                <w:rFonts w:hint="eastAsia"/>
                <w:b w:val="0"/>
              </w:rPr>
              <w:t>小型冶金等效设施</w:t>
            </w:r>
          </w:p>
        </w:tc>
        <w:tc>
          <w:tcPr>
            <w:tcW w:w="988" w:type="pct"/>
            <w:tcBorders>
              <w:top w:val="nil"/>
              <w:left w:val="nil"/>
              <w:bottom w:val="nil"/>
              <w:right w:val="nil"/>
            </w:tcBorders>
            <w:shd w:val="clear" w:color="auto" w:fill="FFFFFF"/>
          </w:tcPr>
          <w:p>
            <w:r>
              <w:t>22</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0.000968</w:t>
            </w:r>
          </w:p>
        </w:tc>
      </w:tr>
      <w:tr w14:paraId="6DF4D065">
        <w:tc>
          <w:tcPr>
            <w:tcW w:w="2160" w:type="pct"/>
            <w:tcBorders>
              <w:top w:val="nil"/>
              <w:left w:val="nil"/>
              <w:bottom w:val="nil"/>
              <w:right w:val="nil"/>
            </w:tcBorders>
            <w:shd w:val="clear" w:color="auto" w:fill="FFFFFF"/>
          </w:tcPr>
          <w:p>
            <w:r>
              <w:t>冶金-发电厂</w:t>
            </w:r>
          </w:p>
        </w:tc>
        <w:tc>
          <w:tcPr>
            <w:tcW w:w="988" w:type="pct"/>
            <w:tcBorders>
              <w:top w:val="nil"/>
              <w:left w:val="nil"/>
              <w:bottom w:val="nil"/>
              <w:right w:val="nil"/>
            </w:tcBorders>
            <w:shd w:val="clear" w:color="auto" w:fill="FFFFFF"/>
          </w:tcPr>
          <w:p>
            <w:r>
              <w:t>39</w:t>
            </w:r>
          </w:p>
        </w:tc>
        <w:tc>
          <w:tcPr>
            <w:tcW w:w="988" w:type="pct"/>
            <w:tcBorders>
              <w:top w:val="nil"/>
              <w:left w:val="nil"/>
              <w:bottom w:val="nil"/>
              <w:right w:val="nil"/>
            </w:tcBorders>
            <w:shd w:val="clear" w:color="auto" w:fill="FFFFFF"/>
          </w:tcPr>
          <w:p>
            <w:r>
              <w:t>100.0000%</w:t>
            </w:r>
          </w:p>
        </w:tc>
        <w:tc>
          <w:tcPr>
            <w:tcW w:w="862" w:type="pct"/>
            <w:tcBorders>
              <w:top w:val="nil"/>
              <w:left w:val="nil"/>
              <w:bottom w:val="nil"/>
              <w:right w:val="nil"/>
            </w:tcBorders>
            <w:shd w:val="clear" w:color="auto" w:fill="FFFFFF"/>
          </w:tcPr>
          <w:p>
            <w:r>
              <w:t>0.003181</w:t>
            </w:r>
          </w:p>
        </w:tc>
      </w:tr>
      <w:tr w14:paraId="38F0E508">
        <w:tblPrEx>
          <w:tblCellMar>
            <w:top w:w="0" w:type="dxa"/>
            <w:left w:w="108" w:type="dxa"/>
            <w:bottom w:w="0" w:type="dxa"/>
            <w:right w:w="108" w:type="dxa"/>
          </w:tblCellMar>
        </w:tblPrEx>
        <w:tc>
          <w:tcPr>
            <w:tcW w:w="2160" w:type="pct"/>
            <w:tcBorders>
              <w:top w:val="nil"/>
              <w:left w:val="nil"/>
              <w:bottom w:val="nil"/>
              <w:right w:val="nil"/>
            </w:tcBorders>
            <w:shd w:val="clear" w:color="auto" w:fill="FFFFFF"/>
          </w:tcPr>
          <w:p>
            <w:r>
              <w:t>冶金-钢铁厂</w:t>
            </w:r>
          </w:p>
        </w:tc>
        <w:tc>
          <w:tcPr>
            <w:tcW w:w="988" w:type="pct"/>
            <w:tcBorders>
              <w:top w:val="nil"/>
              <w:left w:val="nil"/>
              <w:bottom w:val="nil"/>
              <w:right w:val="nil"/>
            </w:tcBorders>
            <w:shd w:val="clear" w:color="auto" w:fill="FFFFFF"/>
          </w:tcPr>
          <w:p>
            <w:r>
              <w:t>37</w:t>
            </w:r>
          </w:p>
        </w:tc>
        <w:tc>
          <w:tcPr>
            <w:tcW w:w="988" w:type="pct"/>
            <w:tcBorders>
              <w:top w:val="nil"/>
              <w:left w:val="nil"/>
              <w:bottom w:val="nil"/>
              <w:right w:val="nil"/>
            </w:tcBorders>
            <w:shd w:val="clear" w:color="auto" w:fill="FFFFFF"/>
          </w:tcPr>
          <w:p>
            <w:r>
              <w:t>97.2973%</w:t>
            </w:r>
          </w:p>
        </w:tc>
        <w:tc>
          <w:tcPr>
            <w:tcW w:w="862" w:type="pct"/>
            <w:tcBorders>
              <w:top w:val="nil"/>
              <w:left w:val="nil"/>
              <w:bottom w:val="nil"/>
              <w:right w:val="nil"/>
            </w:tcBorders>
            <w:shd w:val="clear" w:color="auto" w:fill="FFFFFF"/>
          </w:tcPr>
          <w:p>
            <w:r>
              <w:t>0.008318</w:t>
            </w:r>
          </w:p>
        </w:tc>
      </w:tr>
      <w:tr w14:paraId="3816AEB8">
        <w:tblPrEx>
          <w:tblCellMar>
            <w:top w:w="0" w:type="dxa"/>
            <w:left w:w="108" w:type="dxa"/>
            <w:bottom w:w="0" w:type="dxa"/>
            <w:right w:w="108" w:type="dxa"/>
          </w:tblCellMar>
        </w:tblPrEx>
        <w:tc>
          <w:tcPr>
            <w:tcW w:w="2160" w:type="pct"/>
            <w:tcBorders>
              <w:top w:val="nil"/>
              <w:left w:val="nil"/>
              <w:bottom w:val="single" w:color="000000" w:sz="12" w:space="0"/>
              <w:right w:val="nil"/>
            </w:tcBorders>
            <w:shd w:val="clear" w:color="auto" w:fill="FFFFFF"/>
          </w:tcPr>
          <w:p w14:paraId="1D57AD70">
            <w:pPr>
              <w:pStyle w:val="54"/>
              <w:bidi w:val="0"/>
              <w:rPr>
                <w:b w:val="0"/>
              </w:rPr>
            </w:pPr>
            <w:r>
              <w:rPr>
                <w:rFonts w:hint="eastAsia"/>
                <w:b w:val="0"/>
              </w:rPr>
              <w:t>冶金类合计</w:t>
            </w:r>
          </w:p>
        </w:tc>
        <w:tc>
          <w:tcPr>
            <w:tcW w:w="988" w:type="pct"/>
            <w:tcBorders>
              <w:top w:val="nil"/>
              <w:left w:val="nil"/>
              <w:bottom w:val="single" w:color="000000" w:sz="12" w:space="0"/>
              <w:right w:val="nil"/>
            </w:tcBorders>
            <w:shd w:val="clear" w:color="auto" w:fill="FFFFFF"/>
          </w:tcPr>
          <w:p>
            <w:r>
              <w:t>306</w:t>
            </w:r>
          </w:p>
        </w:tc>
        <w:tc>
          <w:tcPr>
            <w:tcW w:w="988" w:type="pct"/>
            <w:tcBorders>
              <w:top w:val="nil"/>
              <w:left w:val="nil"/>
              <w:bottom w:val="single" w:color="000000" w:sz="12" w:space="0"/>
              <w:right w:val="nil"/>
            </w:tcBorders>
            <w:shd w:val="clear" w:color="auto" w:fill="FFFFFF"/>
          </w:tcPr>
          <w:p>
            <w:r>
              <w:t>98.3660%</w:t>
            </w:r>
          </w:p>
        </w:tc>
        <w:tc>
          <w:tcPr>
            <w:tcW w:w="862" w:type="pct"/>
            <w:tcBorders>
              <w:top w:val="nil"/>
              <w:left w:val="nil"/>
              <w:bottom w:val="single" w:color="000000" w:sz="12" w:space="0"/>
              <w:right w:val="nil"/>
            </w:tcBorders>
            <w:shd w:val="clear" w:color="auto" w:fill="FFFFFF"/>
          </w:tcPr>
          <w:p>
            <w:r>
              <w:t>0.003384</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分设施结果显示，8 个冶金设施的独立测试等级准确率均接近或高于综合模型水平。美铝电解设施的 Dk 数值范围较集中，其等级判断稳定；冶金钢铁厂虽然 MAE 相对较高，但测试工况的等级判断保持一致。大型冶金等效设施有 1 条等级误判，整体准确率为 97.8261%。</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5190"/>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4233"/>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预测结果界面以设施名称和本次热源工况为基础信息，突出显示设施整体毁伤等级，同时给出连续 Dk、模型综合验证准确率和计算耗时。热源参数区分别显示方位角、俯仰角、目标热通量和持续时间，使预测结果能够与具体工况对应。对于需要进一步分析的工况，可根据预测等级和 Dk 与阈值的距离，选择相应 FDS 方案开展精细计算。</w:t>
      </w:r>
      <w:r>
        <w:t>实测 36 个设施参考工况的平均单次预测耗时为 0.188 秒，统计口径包含模型加载、特征计算与推理。</w:t>
      </w:r>
      <w:r>
        <w:t>实测 36 个设施参考工况的平均单次预测耗时为 0.188 秒，统计口径包含模型加载、特征计算与推理。</w:t>
      </w:r>
      <w:r>
        <w:t>实测 36 个设施参考工况的平均单次预测耗时为 0.188 秒，统计口径包含模型加载、特征计算与推理。</w:t>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22544"/>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w:t>
            </w:r>
            <w:r>
              <w:rPr>
                <w:rFonts w:hint="eastAsia" w:ascii="Times New Roman" w:hAnsi="Times New Roman" w:cs="Times New Roman"/>
                <w:b w:val="0"/>
                <w:lang w:eastAsia="zh-CN"/>
              </w:rPr>
              <w:t>冶金设施</w:t>
            </w:r>
            <w:r>
              <w:rPr>
                <w:rFonts w:hint="default" w:ascii="Times New Roman" w:hAnsi="Times New Roman" w:cs="Times New Roman"/>
                <w:b w:val="0"/>
              </w:rPr>
              <w:t>或及规模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432050" cy="1764030"/>
            <wp:effectExtent l="0" t="0" r="6350" b="762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2432050" cy="1764030"/>
                    </a:xfrm>
                    <a:prstGeom prst="rect">
                      <a:avLst/>
                    </a:prstGeom>
                    <a:noFill/>
                    <a:ln>
                      <a:noFill/>
                    </a:ln>
                  </pic:spPr>
                </pic:pic>
              </a:graphicData>
            </a:graphic>
          </wp:inline>
        </w:drawing>
      </w:r>
      <w:r>
        <w:drawing>
          <wp:inline distT="0" distB="0" distL="114300" distR="114300">
            <wp:extent cx="2421255" cy="1764030"/>
            <wp:effectExtent l="0" t="0" r="17145"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6"/>
                    <a:stretch>
                      <a:fillRect/>
                    </a:stretch>
                  </pic:blipFill>
                  <pic:spPr>
                    <a:xfrm>
                      <a:off x="0" y="0"/>
                      <a:ext cx="2421255" cy="176403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11255"/>
      <w:r>
        <w:rPr>
          <w:rFonts w:hint="default" w:ascii="Times New Roman" w:hAnsi="Times New Roman" w:cs="Times New Roman"/>
        </w:rPr>
        <w:t>总结</w:t>
      </w:r>
      <w:bookmarkEnd w:id="30"/>
    </w:p>
    <w:p w14:paraId="3E95A5C8">
      <w:pPr>
        <w:rPr>
          <w:rFonts w:hint="default" w:ascii="Times New Roman" w:hAnsi="Times New Roman" w:cs="Times New Roman"/>
        </w:rPr>
      </w:pPr>
      <w:r>
        <w:rPr>
          <w:rFonts w:hint="default" w:ascii="Times New Roman" w:hAnsi="Times New Roman" w:cs="Times New Roman"/>
        </w:rPr>
        <w:t>本研究建立了面向冶金设施的 FDS 数据驱动工程预测方法。合格数据覆盖 8 个冶金设施、1512 条热辐射工况，并与其他设施数据共同构成 6558 条合格训练样本。模型以热源工况特征与设施构型及目标特征为输入，能够综合表达热通量、持续时间、受热方向、建筑开口和目标分布对设施级 Dk 的影响。</w:t>
      </w:r>
    </w:p>
    <w:p w14:paraId="08111718">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和四级毁伤结果。综合五折等级准确率为 95.9591%，独立测试等级准确率为 97.2075%；冶金类专项独立测试准确率为 98.3660%。五折和独立测试结果接近，说明模型在当前工况范围内具有较稳定的工程预测表现。</w:t>
      </w:r>
    </w:p>
    <w:p w14:paraId="785C3A47">
      <w:pPr>
        <w:rPr>
          <w:rFonts w:hint="default" w:ascii="Times New Roman" w:hAnsi="Times New Roman" w:cs="Times New Roman"/>
        </w:rPr>
      </w:pPr>
      <w:r>
        <w:rPr>
          <w:rFonts w:hint="default" w:ascii="Times New Roman" w:hAnsi="Times New Roman" w:cs="Times New Roman"/>
        </w:rPr>
        <w:t>冶金专项因素分析表明，热通量是影响 Dk 和等级水平的首要工程因素，热剂量、方位角、俯仰角、迎火侧总开口比例和敏感目标比例共同决定方向差异。不同方向和工况下的毁伤响应能够识别各设施更易达到轻微、中等或严重破坏的作用条件，并对尚未跨越等级的区域作出明确区分。</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2111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仿宋">
    <w:altName w:val="宋体"/>
    <w:panose1 w:val="02010609060101010101"/>
    <w:charset w:val="86"/>
    <w:family w:val="modern"/>
    <w:pitch w:val="default"/>
    <w:sig w:usb0="00000000" w:usb1="00000000" w:usb2="00000016" w:usb3="00000000" w:csb0="00040001" w:csb1="0000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1930344"/>
    <w:rsid w:val="02F32B56"/>
    <w:rsid w:val="03B269A4"/>
    <w:rsid w:val="03CC265C"/>
    <w:rsid w:val="05FB130E"/>
    <w:rsid w:val="06807618"/>
    <w:rsid w:val="06AE2400"/>
    <w:rsid w:val="072B7F2A"/>
    <w:rsid w:val="08BC7B38"/>
    <w:rsid w:val="08FA3336"/>
    <w:rsid w:val="0D0567F0"/>
    <w:rsid w:val="0D7E3AFF"/>
    <w:rsid w:val="0FB63E1B"/>
    <w:rsid w:val="10260A90"/>
    <w:rsid w:val="10E87F18"/>
    <w:rsid w:val="11345752"/>
    <w:rsid w:val="119D4831"/>
    <w:rsid w:val="11EC5C6D"/>
    <w:rsid w:val="125D5D38"/>
    <w:rsid w:val="13243011"/>
    <w:rsid w:val="140334FB"/>
    <w:rsid w:val="15341A54"/>
    <w:rsid w:val="160E259E"/>
    <w:rsid w:val="177A2613"/>
    <w:rsid w:val="197A2973"/>
    <w:rsid w:val="1A840C0A"/>
    <w:rsid w:val="1D7F592E"/>
    <w:rsid w:val="2051361B"/>
    <w:rsid w:val="20C0033E"/>
    <w:rsid w:val="26FF4DAE"/>
    <w:rsid w:val="27C26D1A"/>
    <w:rsid w:val="293B7BDB"/>
    <w:rsid w:val="2D8D7A26"/>
    <w:rsid w:val="2D9C2A51"/>
    <w:rsid w:val="2DA61BFF"/>
    <w:rsid w:val="2FD52024"/>
    <w:rsid w:val="32117A7A"/>
    <w:rsid w:val="37EF39B9"/>
    <w:rsid w:val="39EF41D8"/>
    <w:rsid w:val="3B945A4C"/>
    <w:rsid w:val="3BC3469C"/>
    <w:rsid w:val="3D0F3129"/>
    <w:rsid w:val="3ECF4A76"/>
    <w:rsid w:val="3F5973C1"/>
    <w:rsid w:val="411965E8"/>
    <w:rsid w:val="41421CDA"/>
    <w:rsid w:val="43212C92"/>
    <w:rsid w:val="439320F2"/>
    <w:rsid w:val="43E02B9F"/>
    <w:rsid w:val="454313DF"/>
    <w:rsid w:val="4559454E"/>
    <w:rsid w:val="46826ECA"/>
    <w:rsid w:val="47200E11"/>
    <w:rsid w:val="4A227A1C"/>
    <w:rsid w:val="4BA40904"/>
    <w:rsid w:val="4C677226"/>
    <w:rsid w:val="4C9954A0"/>
    <w:rsid w:val="4D8C1D7C"/>
    <w:rsid w:val="4ED765AF"/>
    <w:rsid w:val="4F0E1E0E"/>
    <w:rsid w:val="50CC366C"/>
    <w:rsid w:val="5274688D"/>
    <w:rsid w:val="53C90AD2"/>
    <w:rsid w:val="56A87CBD"/>
    <w:rsid w:val="576A14F1"/>
    <w:rsid w:val="59054CA9"/>
    <w:rsid w:val="59C14BA2"/>
    <w:rsid w:val="5C4F2050"/>
    <w:rsid w:val="5C735ECB"/>
    <w:rsid w:val="5C8F6A67"/>
    <w:rsid w:val="5CDC56C5"/>
    <w:rsid w:val="5E4C7C1E"/>
    <w:rsid w:val="5EC03E77"/>
    <w:rsid w:val="5F5C70D4"/>
    <w:rsid w:val="609E4875"/>
    <w:rsid w:val="60FC3CA7"/>
    <w:rsid w:val="6330596A"/>
    <w:rsid w:val="64DA5735"/>
    <w:rsid w:val="67155394"/>
    <w:rsid w:val="67C41CBB"/>
    <w:rsid w:val="68632EA7"/>
    <w:rsid w:val="6AD66324"/>
    <w:rsid w:val="6C353BC2"/>
    <w:rsid w:val="6C68355C"/>
    <w:rsid w:val="6D344F72"/>
    <w:rsid w:val="6F850D4A"/>
    <w:rsid w:val="706C73A7"/>
    <w:rsid w:val="709324D2"/>
    <w:rsid w:val="70986532"/>
    <w:rsid w:val="716D7E06"/>
    <w:rsid w:val="74087332"/>
    <w:rsid w:val="7620550C"/>
    <w:rsid w:val="786F150D"/>
    <w:rsid w:val="78865B21"/>
    <w:rsid w:val="7A905ABD"/>
    <w:rsid w:val="7D4A15B2"/>
    <w:rsid w:val="7D9F11E6"/>
    <w:rsid w:val="9AA70A00"/>
    <w:rsid w:val="B1F6021B"/>
    <w:rsid w:val="B32BB58B"/>
    <w:rsid w:val="FCDDD0F7"/>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25</Pages>
  <Words>3352</Words>
  <Characters>3718</Characters>
  <Lines>27</Lines>
  <Paragraphs>7</Paragraphs>
  <TotalTime>0</TotalTime>
  <ScaleCrop>false</ScaleCrop>
  <LinksUpToDate>false</LinksUpToDate>
  <CharactersWithSpaces>3968</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2022-11-20T12:35:00Z</dcterms:created>
  <dc:creator>微软用户</dc:creator>
  <cp:lastModifiedBy>blue</cp:lastModifiedBy>
  <cp:lastPrinted>2018-02-07T14:08:00Z</cp:lastPrinted>
  <dcterms:modified xsi:type="dcterms:W3CDTF">2026-09-08T20:40:23Z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