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F925E00">
      <w:pPr>
        <w:pStyle w:val="26"/>
        <w:tabs>
          <w:tab w:val="left" w:pos="8640"/>
        </w:tabs>
        <w:spacing w:line="520" w:lineRule="exact"/>
        <w:ind w:right="489" w:rightChars="204"/>
        <w:rPr>
          <w:rFonts w:hint="default" w:ascii="Times New Roman" w:hAnsi="Times New Roman" w:eastAsia="黑体" w:cs="Times New Roman"/>
          <w:sz w:val="24"/>
        </w:rPr>
      </w:pPr>
    </w:p>
    <w:p w14:paraId="365E1352">
      <w:pPr>
        <w:pStyle w:val="26"/>
        <w:tabs>
          <w:tab w:val="left" w:pos="8640"/>
        </w:tabs>
        <w:spacing w:line="520" w:lineRule="exact"/>
        <w:ind w:right="489" w:rightChars="204"/>
        <w:rPr>
          <w:rFonts w:hint="default" w:ascii="Times New Roman" w:hAnsi="Times New Roman" w:eastAsia="黑体" w:cs="Times New Roman"/>
          <w:sz w:val="24"/>
        </w:rPr>
      </w:pPr>
    </w:p>
    <w:p w14:paraId="6F141003">
      <w:pPr>
        <w:pStyle w:val="26"/>
        <w:tabs>
          <w:tab w:val="left" w:pos="8640"/>
        </w:tabs>
        <w:spacing w:line="520" w:lineRule="exact"/>
        <w:ind w:right="489" w:rightChars="204"/>
        <w:rPr>
          <w:rFonts w:hint="default" w:ascii="Times New Roman" w:hAnsi="Times New Roman" w:eastAsia="黑体" w:cs="Times New Roman"/>
          <w:sz w:val="24"/>
        </w:rPr>
      </w:pPr>
      <w:r>
        <w:rPr>
          <w:rFonts w:hint="default" w:ascii="Times New Roman" w:hAnsi="Times New Roman" w:eastAsia="黑体" w:cs="Times New Roman"/>
          <w:sz w:val="24"/>
        </w:rPr>
        <w:t xml:space="preserve"> </w:t>
      </w:r>
    </w:p>
    <w:p w14:paraId="1F218E95">
      <w:pPr>
        <w:spacing w:line="300" w:lineRule="auto"/>
        <w:jc w:val="center"/>
        <w:rPr>
          <w:rFonts w:hint="default" w:ascii="Times New Roman" w:hAnsi="Times New Roman" w:eastAsia="仿宋" w:cs="Times New Roman"/>
          <w:b/>
          <w:sz w:val="32"/>
          <w:szCs w:val="32"/>
        </w:rPr>
        <w:sectPr>
          <w:footerReference r:id="rId7" w:type="first"/>
          <w:headerReference r:id="rId5" w:type="even"/>
          <w:footerReference r:id="rId6" w:type="even"/>
          <w:pgSz w:w="11906" w:h="16838"/>
          <w:pgMar w:top="1440" w:right="1800" w:bottom="1440" w:left="1800" w:header="851" w:footer="992" w:gutter="0"/>
          <w:pgNumType w:fmt="upperRoman" w:start="1"/>
          <w:cols w:space="720" w:num="1"/>
          <w:docGrid w:type="lines" w:linePitch="312" w:charSpace="0"/>
        </w:sectPr>
      </w:pPr>
      <w:bookmarkStart w:id="32" w:name="_GoBack"/>
      <w:bookmarkEnd w:id="32"/>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宋体" w:cs="Times New Roman"/>
              <w:sz w:val="21"/>
            </w:rPr>
            <w:t>目录</w:t>
          </w:r>
        </w:p>
        <w:p w14:paraId="1C29E20B">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_Toc21349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_Toc21349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6A7CB34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_Toc17395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_Toc17395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341157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_Toc6308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_Toc6308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12FDEA3B">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_Toc4658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 xml:space="preserve">1.1.1. </w:t>
          </w:r>
          <w:r>
            <w:rPr>
              <w:rFonts w:hint="eastAsia" w:ascii="Times New Roman" w:hAnsi="Times New Roman" w:cs="Times New Roman"/>
              <w:szCs w:val="24"/>
              <w:lang w:val="en-US" w:eastAsia="zh-CN"/>
            </w:rPr>
            <w:t>机械制造设施</w:t>
          </w:r>
          <w:r>
            <w:rPr>
              <w:rFonts w:hint="default" w:ascii="Times New Roman" w:hAnsi="Times New Roman" w:cs="Times New Roman"/>
              <w:szCs w:val="24"/>
              <w:lang w:val="en-US" w:eastAsia="zh-CN"/>
            </w:rPr>
            <w:t>分类</w:t>
          </w:r>
          <w:r>
            <w:tab/>
          </w:r>
          <w:r>
            <w:fldChar w:fldCharType="begin"/>
          </w:r>
          <w:r>
            <w:instrText xml:space="preserve"> PAGEREF _Toc4658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B93E8DD">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_Toc16027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_Toc16027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4205E36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_Toc11864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_Toc11864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461DDDD4">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_Toc32677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_Toc32677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33EFD7F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_Toc27615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_Toc27615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05ACEC2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_Toc443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_Toc443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6C6A28BA">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_Toc32698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_Toc32698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22DE5D99">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_Toc6520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_Toc6520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C9FA89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_Toc22976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_Toc22976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12BA43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_Toc22101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_Toc22101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4794BF7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_Toc13947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_Toc13947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59FE754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_Toc10694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_Toc10694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4BB614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_Toc5215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_Toc5215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23EC4E5C">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_Toc18450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_Toc18450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708A899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_Toc20400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_Toc20400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775EB4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_Toc6433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_Toc6433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470997A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_Toc674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_Toc674 \h </w:instrText>
          </w:r>
          <w:r>
            <w:fldChar w:fldCharType="separate"/>
          </w:r>
          <w:r>
            <w:t>14</w:t>
          </w:r>
          <w:r>
            <w:fldChar w:fldCharType="end"/>
          </w:r>
          <w:r>
            <w:rPr>
              <w:rFonts w:hint="default" w:ascii="Times New Roman" w:hAnsi="Times New Roman" w:eastAsia="宋体" w:cs="Times New Roman"/>
              <w:kern w:val="2"/>
              <w:lang w:val="en-US" w:eastAsia="zh-CN" w:bidi="ar-SA"/>
            </w:rPr>
            <w:fldChar w:fldCharType="end"/>
          </w:r>
        </w:p>
        <w:p w14:paraId="5A527B7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_Toc152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B617F80">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_Toc29560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_Toc29560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48DDCEA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_Toc16380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_Toc16380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1F5FA6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_Toc26804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_Toc26804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2CF3A8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_Toc2734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_Toc2734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69A39827">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_Toc15245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_Toc15245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028612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_Toc25339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_Toc25339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72B30FA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_Toc835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_Toc835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1315CE0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_Toc20641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_Toc20641 \h </w:instrText>
          </w:r>
          <w:r>
            <w:fldChar w:fldCharType="separate"/>
          </w:r>
          <w:r>
            <w:t>21</w:t>
          </w:r>
          <w:r>
            <w:fldChar w:fldCharType="end"/>
          </w:r>
          <w:r>
            <w:rPr>
              <w:rFonts w:hint="default" w:ascii="Times New Roman" w:hAnsi="Times New Roman" w:eastAsia="宋体" w:cs="Times New Roman"/>
              <w:kern w:val="2"/>
              <w:lang w:val="en-US" w:eastAsia="zh-CN" w:bidi="ar-SA"/>
            </w:rPr>
            <w:fldChar w:fldCharType="end"/>
          </w:r>
        </w:p>
        <w:p w14:paraId="6D5FC62E">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_Toc18456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_Toc18456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11" w:type="first"/>
          <w:footerReference r:id="rId9" w:type="default"/>
          <w:headerReference r:id="rId8" w:type="even"/>
          <w:footerReference r:id="rId10"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21349"/>
      <w:r>
        <w:rPr>
          <w:rStyle w:val="23"/>
          <w:rFonts w:hint="default" w:ascii="Times New Roman" w:hAnsi="Times New Roman" w:cs="Times New Roman"/>
          <w:b/>
          <w:sz w:val="32"/>
          <w:szCs w:val="32"/>
          <w:lang w:val="en-US" w:eastAsia="zh-CN"/>
        </w:rPr>
        <w:t>引言</w:t>
      </w:r>
      <w:bookmarkEnd w:id="0"/>
      <w:bookmarkEnd w:id="1"/>
    </w:p>
    <w:p w14:paraId="759EE9E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机械制造设施承担零部件加工、部件装配、整机总装和综合制造等任务，生产线连续性、关键机床与控制系统的可用性直接影响产能恢复。本报告覆盖总装、部件装配、切削加工、综合机械制造及不同尺度的通用机械加工厂房。此类设施通常采用大跨生产空间，内部布置机床、装配线、起重与输送设备、控制和配电单元，并伴随油品、涂装材料、包装材料及局部气体供应。外部热辐射从不同方位和俯仰角作用时，围护结构、门窗、物流门和通风开口对能量传递的影响不同，使设施级毁伤同时具有非线性、方向性和尺度效应。</w:t>
      </w:r>
    </w:p>
    <w:p w14:paraId="3369B07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本报告建立基于 FDS 数值模拟数据的机械制造设施工程预测方法。模型以热源工况特征与设施构型及目标特征为输入，同时预测连续毁伤指数 Dk 和四级毁伤结果。通过等级约束机制，连续值与工程等级保持一致，可用于热辐射工况快速筛查、阈值方向分析和代表性工况选择。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12"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合格数据共包含6558条模拟工况，其中机械制造设施为923条工况，包括4个特异设施模型和3个大、中、小等效设施模型。模型对各设施分别训练逐设施代理模型，以保证评价口径和模型参数一致；同时对机械制造类测试子集和各机械制造设施分别进行专项统计，并通过专项因素重要性分析解释阈值分布特征。</w:t>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17395"/>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6308"/>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4658"/>
      <w:r>
        <w:rPr>
          <w:rStyle w:val="23"/>
          <w:rFonts w:hint="eastAsia" w:ascii="Times New Roman" w:hAnsi="Times New Roman" w:cs="Times New Roman"/>
          <w:b/>
          <w:szCs w:val="24"/>
          <w:lang w:val="en-US" w:eastAsia="zh-CN"/>
        </w:rPr>
        <w:t>机械制造设施</w:t>
      </w:r>
      <w:r>
        <w:rPr>
          <w:rStyle w:val="23"/>
          <w:rFonts w:hint="default" w:ascii="Times New Roman" w:hAnsi="Times New Roman" w:cs="Times New Roman"/>
          <w:b/>
          <w:szCs w:val="24"/>
          <w:lang w:val="en-US" w:eastAsia="zh-CN"/>
        </w:rPr>
        <w:t>分类</w:t>
      </w:r>
      <w:bookmarkEnd w:id="4"/>
    </w:p>
    <w:p w14:paraId="78483EEB">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本报告涉及的机械制造设施共 7 个。其中，弗莱马斯特总装设施、格里森切削工具设施、哈比森-费希尔部装设施和特斯拉机械制造设施属于具有明确工程对象的特异设施模型；大型、中型和小型机械制造等效设施用于表征不同尺度下的通用厂房、设备和目标组合，属于等效设施模型。两类模型均包含完整的计算域、建筑与设备几何、开口、测点和资产损伤信息。</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总装设施通常需要连续大空间与较大的物流开口，部装设施以装配工位、局部生产单元和物料暂存区为主，切削加工设施则具有机床密集、切削液与润滑系统集中的特点，综合机械制造设施同时包含加工、装配、物流和辅助动力区域。厂房多采用钢结构或钢筋混凝土结构，外墙、屋面、采光带、门窗和通风系统共同决定外部辐射的衰减与进入路径。物流门、卷帘门及通风百叶较集中的方向，可能使迎火侧设备更直接受热；围护完整或设备远离外墙的方向则可能保持较低设施级损伤。</w:t>
      </w:r>
    </w:p>
    <w:p w14:paraId="61B7A71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设施与分类体系</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0"/>
      </w:tblGrid>
      <w:tr w14:paraId="2C7C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single" w:color="000000" w:sz="12" w:space="0"/>
              <w:left w:val="nil"/>
              <w:bottom w:val="single" w:color="000000" w:sz="4" w:space="0"/>
              <w:right w:val="nil"/>
              <w:tl2br w:val="nil"/>
            </w:tcBorders>
            <w:shd w:val="clear" w:color="auto" w:fill="FFFFFF"/>
          </w:tcPr>
          <w:p w14:paraId="5B860980">
            <w:pPr>
              <w:pStyle w:val="54"/>
              <w:bidi w:val="0"/>
              <w:rPr>
                <w:rFonts w:hint="default"/>
              </w:rPr>
            </w:pPr>
            <w:r>
              <w:rPr>
                <w:rFonts w:hint="default"/>
              </w:rPr>
              <w:t>设施名称</w:t>
            </w:r>
          </w:p>
        </w:tc>
        <w:tc>
          <w:tcPr>
            <w:tcW w:w="1250" w:type="pct"/>
            <w:tcBorders>
              <w:top w:val="single" w:color="000000" w:sz="12" w:space="0"/>
              <w:left w:val="nil"/>
              <w:bottom w:val="single" w:color="000000" w:sz="4" w:space="0"/>
              <w:right w:val="nil"/>
            </w:tcBorders>
            <w:shd w:val="clear" w:color="auto" w:fill="FFFFFF"/>
          </w:tcPr>
          <w:p w14:paraId="0403BEEA">
            <w:pPr>
              <w:pStyle w:val="54"/>
              <w:bidi w:val="0"/>
              <w:rPr>
                <w:rFonts w:hint="default"/>
              </w:rPr>
            </w:pPr>
            <w:r>
              <w:rPr>
                <w:rFonts w:hint="default"/>
              </w:rPr>
              <w:t>模型类型</w:t>
            </w:r>
          </w:p>
        </w:tc>
        <w:tc>
          <w:tcPr>
            <w:tcW w:w="1250" w:type="pct"/>
            <w:tcBorders>
              <w:top w:val="single" w:color="000000" w:sz="12" w:space="0"/>
              <w:left w:val="nil"/>
              <w:bottom w:val="single" w:color="000000" w:sz="4" w:space="0"/>
              <w:right w:val="nil"/>
            </w:tcBorders>
            <w:shd w:val="clear" w:color="auto" w:fill="FFFFFF"/>
          </w:tcPr>
          <w:p w14:paraId="6539DC2C">
            <w:pPr>
              <w:pStyle w:val="54"/>
              <w:bidi w:val="0"/>
              <w:rPr>
                <w:rFonts w:hint="default"/>
              </w:rPr>
            </w:pPr>
            <w:r>
              <w:rPr>
                <w:rFonts w:hint="default"/>
              </w:rPr>
              <w:t>工程分类</w:t>
            </w:r>
          </w:p>
        </w:tc>
        <w:tc>
          <w:tcPr>
            <w:tcW w:w="1250" w:type="pct"/>
            <w:tcBorders>
              <w:top w:val="single" w:color="000000" w:sz="12" w:space="0"/>
              <w:left w:val="nil"/>
              <w:bottom w:val="single" w:color="000000" w:sz="4" w:space="0"/>
              <w:right w:val="nil"/>
            </w:tcBorders>
            <w:shd w:val="clear" w:color="auto" w:fill="FFFFFF"/>
          </w:tcPr>
          <w:p w14:paraId="23452240">
            <w:pPr>
              <w:pStyle w:val="54"/>
              <w:bidi w:val="0"/>
              <w:rPr>
                <w:rFonts w:hint="default"/>
              </w:rPr>
            </w:pPr>
            <w:r>
              <w:rPr>
                <w:rFonts w:hint="default"/>
              </w:rPr>
              <w:t>工况数</w:t>
            </w:r>
          </w:p>
        </w:tc>
      </w:tr>
      <w:tr w14:paraId="2C3B2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9" w:type="pct"/>
            <w:tcBorders>
              <w:top w:val="single" w:color="000000" w:sz="4" w:space="0"/>
              <w:left w:val="nil"/>
              <w:bottom w:val="nil"/>
              <w:right w:val="nil"/>
            </w:tcBorders>
            <w:shd w:val="clear" w:color="auto" w:fill="FFFFFF"/>
            <w:vAlign w:val="top"/>
          </w:tcPr>
          <w:p w14:paraId="5857A957">
            <w:pPr>
              <w:pStyle w:val="54"/>
              <w:bidi w:val="0"/>
              <w:rPr>
                <w:rFonts w:hint="default"/>
              </w:rPr>
            </w:pPr>
            <w:r>
              <w:rPr>
                <w:rFonts w:hint="eastAsia"/>
              </w:rPr>
              <w:t>弗莱马斯特总装设施</w:t>
            </w:r>
          </w:p>
        </w:tc>
        <w:tc>
          <w:tcPr>
            <w:tcW w:w="1250" w:type="pct"/>
            <w:tcBorders>
              <w:top w:val="single" w:color="000000" w:sz="4" w:space="0"/>
              <w:left w:val="nil"/>
              <w:bottom w:val="nil"/>
              <w:right w:val="nil"/>
            </w:tcBorders>
            <w:shd w:val="clear" w:color="auto" w:fill="FFFFFF"/>
            <w:vAlign w:val="top"/>
          </w:tcPr>
          <w:p w14:paraId="0E65D300">
            <w:pPr>
              <w:pStyle w:val="54"/>
              <w:bidi w:val="0"/>
              <w:rPr>
                <w:rFonts w:hint="default"/>
              </w:rPr>
            </w:pPr>
            <w:r>
              <w:rPr>
                <w:rFonts w:hint="eastAsia"/>
              </w:rPr>
              <w:t>特异设施模型</w:t>
            </w:r>
          </w:p>
        </w:tc>
        <w:tc>
          <w:tcPr>
            <w:tcW w:w="1250" w:type="pct"/>
            <w:tcBorders>
              <w:top w:val="single" w:color="000000" w:sz="4" w:space="0"/>
              <w:left w:val="nil"/>
              <w:bottom w:val="nil"/>
              <w:right w:val="nil"/>
            </w:tcBorders>
            <w:shd w:val="clear" w:color="auto" w:fill="FFFFFF"/>
            <w:vAlign w:val="top"/>
          </w:tcPr>
          <w:p w14:paraId="1FF1582D">
            <w:pPr>
              <w:pStyle w:val="54"/>
              <w:bidi w:val="0"/>
              <w:rPr>
                <w:rFonts w:hint="default"/>
              </w:rPr>
            </w:pPr>
            <w:r>
              <w:rPr>
                <w:rFonts w:hint="eastAsia"/>
              </w:rPr>
              <w:t>总装设施</w:t>
            </w:r>
          </w:p>
        </w:tc>
        <w:tc>
          <w:tcPr>
            <w:tcW w:w="1250" w:type="pct"/>
            <w:tcBorders>
              <w:top w:val="single" w:color="000000" w:sz="4" w:space="0"/>
              <w:left w:val="nil"/>
              <w:bottom w:val="nil"/>
              <w:right w:val="nil"/>
            </w:tcBorders>
            <w:shd w:val="clear" w:color="auto" w:fill="FFFFFF"/>
            <w:vAlign w:val="top"/>
          </w:tcPr>
          <w:p w14:paraId="43B38E20">
            <w:pPr>
              <w:pStyle w:val="54"/>
              <w:bidi w:val="0"/>
              <w:rPr>
                <w:rFonts w:hint="default"/>
                <w:lang w:val="en-US" w:eastAsia="zh-CN"/>
              </w:rPr>
            </w:pPr>
            <w:r>
              <w:t>108</w:t>
            </w:r>
          </w:p>
        </w:tc>
      </w:tr>
      <w:tr w14:paraId="4A7C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720A26A9">
            <w:pPr>
              <w:pStyle w:val="54"/>
              <w:bidi w:val="0"/>
              <w:rPr>
                <w:rFonts w:hint="default"/>
              </w:rPr>
            </w:pPr>
            <w:r>
              <w:rPr>
                <w:rFonts w:hint="eastAsia"/>
              </w:rPr>
              <w:t>格里森切削工具设施</w:t>
            </w:r>
          </w:p>
        </w:tc>
        <w:tc>
          <w:tcPr>
            <w:tcW w:w="1250" w:type="pct"/>
            <w:tcBorders>
              <w:top w:val="nil"/>
              <w:left w:val="nil"/>
              <w:bottom w:val="nil"/>
              <w:right w:val="nil"/>
            </w:tcBorders>
            <w:shd w:val="clear" w:color="auto" w:fill="FFFFFF"/>
            <w:vAlign w:val="top"/>
          </w:tcPr>
          <w:p w14:paraId="33B4C62B">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5B31D5AA">
            <w:pPr>
              <w:pStyle w:val="54"/>
              <w:bidi w:val="0"/>
              <w:rPr>
                <w:rFonts w:hint="default"/>
              </w:rPr>
            </w:pPr>
            <w:r>
              <w:rPr>
                <w:rFonts w:hint="eastAsia"/>
              </w:rPr>
              <w:t>切削加工设施</w:t>
            </w:r>
          </w:p>
        </w:tc>
        <w:tc>
          <w:tcPr>
            <w:tcW w:w="1250" w:type="pct"/>
            <w:tcBorders>
              <w:top w:val="nil"/>
              <w:left w:val="nil"/>
              <w:bottom w:val="nil"/>
              <w:right w:val="nil"/>
            </w:tcBorders>
            <w:shd w:val="clear" w:color="auto" w:fill="FFFFFF"/>
            <w:vAlign w:val="top"/>
          </w:tcPr>
          <w:p w14:paraId="137C91A9">
            <w:pPr>
              <w:pStyle w:val="54"/>
              <w:bidi w:val="0"/>
              <w:rPr>
                <w:rFonts w:hint="default"/>
              </w:rPr>
            </w:pPr>
            <w:r>
              <w:t>108</w:t>
            </w:r>
          </w:p>
        </w:tc>
      </w:tr>
      <w:tr w14:paraId="3A14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3D21322A">
            <w:pPr>
              <w:pStyle w:val="54"/>
              <w:bidi w:val="0"/>
              <w:rPr>
                <w:rFonts w:hint="default"/>
              </w:rPr>
            </w:pPr>
            <w:r>
              <w:rPr>
                <w:rFonts w:hint="eastAsia"/>
              </w:rPr>
              <w:t>哈比森-费希尔部装设施</w:t>
            </w:r>
          </w:p>
        </w:tc>
        <w:tc>
          <w:tcPr>
            <w:tcW w:w="1250" w:type="pct"/>
            <w:tcBorders>
              <w:top w:val="nil"/>
              <w:left w:val="nil"/>
              <w:bottom w:val="nil"/>
              <w:right w:val="nil"/>
            </w:tcBorders>
            <w:shd w:val="clear" w:color="auto" w:fill="FFFFFF"/>
            <w:vAlign w:val="top"/>
          </w:tcPr>
          <w:p w14:paraId="49D5C868">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67A44A59">
            <w:pPr>
              <w:pStyle w:val="54"/>
              <w:bidi w:val="0"/>
              <w:rPr>
                <w:rFonts w:hint="default"/>
              </w:rPr>
            </w:pPr>
            <w:r>
              <w:rPr>
                <w:rFonts w:hint="eastAsia"/>
              </w:rPr>
              <w:t>部件装配设施</w:t>
            </w:r>
          </w:p>
        </w:tc>
        <w:tc>
          <w:tcPr>
            <w:tcW w:w="1250" w:type="pct"/>
            <w:tcBorders>
              <w:top w:val="nil"/>
              <w:left w:val="nil"/>
              <w:bottom w:val="nil"/>
              <w:right w:val="nil"/>
            </w:tcBorders>
            <w:shd w:val="clear" w:color="auto" w:fill="FFFFFF"/>
            <w:vAlign w:val="top"/>
          </w:tcPr>
          <w:p w14:paraId="05B75F87">
            <w:pPr>
              <w:pStyle w:val="54"/>
              <w:bidi w:val="0"/>
              <w:rPr>
                <w:rFonts w:hint="default"/>
              </w:rPr>
            </w:pPr>
            <w:r>
              <w:t>108</w:t>
            </w:r>
          </w:p>
        </w:tc>
      </w:tr>
      <w:tr w14:paraId="1BDB9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041B25F4">
            <w:pPr>
              <w:pStyle w:val="54"/>
              <w:bidi w:val="0"/>
              <w:rPr>
                <w:rFonts w:hint="default"/>
              </w:rPr>
            </w:pPr>
            <w:r>
              <w:rPr>
                <w:rFonts w:hint="eastAsia"/>
              </w:rPr>
              <w:t>特斯拉机械制造设施</w:t>
            </w:r>
          </w:p>
        </w:tc>
        <w:tc>
          <w:tcPr>
            <w:tcW w:w="1250" w:type="pct"/>
            <w:tcBorders>
              <w:top w:val="nil"/>
              <w:left w:val="nil"/>
              <w:bottom w:val="nil"/>
              <w:right w:val="nil"/>
            </w:tcBorders>
            <w:shd w:val="clear" w:color="auto" w:fill="FFFFFF"/>
            <w:vAlign w:val="top"/>
          </w:tcPr>
          <w:p w14:paraId="2AB87A8E">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11B467C6">
            <w:pPr>
              <w:pStyle w:val="54"/>
              <w:bidi w:val="0"/>
              <w:rPr>
                <w:rFonts w:hint="default"/>
              </w:rPr>
            </w:pPr>
            <w:r>
              <w:rPr>
                <w:rFonts w:hint="eastAsia"/>
              </w:rPr>
              <w:t>综合机械制造设施</w:t>
            </w:r>
          </w:p>
        </w:tc>
        <w:tc>
          <w:tcPr>
            <w:tcW w:w="1250" w:type="pct"/>
            <w:tcBorders>
              <w:top w:val="nil"/>
              <w:left w:val="nil"/>
              <w:bottom w:val="nil"/>
              <w:right w:val="nil"/>
            </w:tcBorders>
            <w:shd w:val="clear" w:color="auto" w:fill="FFFFFF"/>
            <w:vAlign w:val="top"/>
          </w:tcPr>
          <w:p w14:paraId="0EC78552">
            <w:pPr>
              <w:pStyle w:val="54"/>
              <w:bidi w:val="0"/>
              <w:rPr>
                <w:rFonts w:hint="default"/>
              </w:rPr>
            </w:pPr>
            <w:r>
              <w:t>83</w:t>
            </w:r>
          </w:p>
        </w:tc>
      </w:tr>
      <w:tr w14:paraId="6A9C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9" w:type="pct"/>
            <w:tcBorders>
              <w:top w:val="nil"/>
              <w:left w:val="nil"/>
              <w:bottom w:val="nil"/>
              <w:right w:val="nil"/>
            </w:tcBorders>
            <w:shd w:val="clear" w:color="auto" w:fill="FFFFFF"/>
            <w:vAlign w:val="top"/>
          </w:tcPr>
          <w:p w14:paraId="467277A9">
            <w:pPr>
              <w:pStyle w:val="54"/>
              <w:bidi w:val="0"/>
              <w:rPr>
                <w:rFonts w:hint="default"/>
              </w:rPr>
            </w:pPr>
            <w:r>
              <w:rPr>
                <w:rFonts w:hint="eastAsia"/>
              </w:rPr>
              <w:t>大型机械制造等效设施</w:t>
            </w:r>
          </w:p>
        </w:tc>
        <w:tc>
          <w:tcPr>
            <w:tcW w:w="1250" w:type="pct"/>
            <w:tcBorders>
              <w:top w:val="nil"/>
              <w:left w:val="nil"/>
              <w:bottom w:val="nil"/>
              <w:right w:val="nil"/>
            </w:tcBorders>
            <w:shd w:val="clear" w:color="auto" w:fill="FFFFFF"/>
            <w:vAlign w:val="top"/>
          </w:tcPr>
          <w:p w14:paraId="7918F26A">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07EA38C2">
            <w:pPr>
              <w:pStyle w:val="54"/>
              <w:bidi w:val="0"/>
              <w:rPr>
                <w:rFonts w:hint="default"/>
              </w:rPr>
            </w:pPr>
            <w:r>
              <w:rPr>
                <w:rFonts w:hint="eastAsia"/>
              </w:rPr>
              <w:t>通用机械制造设施（大）</w:t>
            </w:r>
          </w:p>
        </w:tc>
        <w:tc>
          <w:tcPr>
            <w:tcW w:w="1250" w:type="pct"/>
            <w:tcBorders>
              <w:top w:val="nil"/>
              <w:left w:val="nil"/>
              <w:bottom w:val="nil"/>
              <w:right w:val="nil"/>
            </w:tcBorders>
            <w:shd w:val="clear" w:color="auto" w:fill="FFFFFF"/>
            <w:vAlign w:val="top"/>
          </w:tcPr>
          <w:p w14:paraId="00D69DE4">
            <w:pPr>
              <w:pStyle w:val="54"/>
              <w:bidi w:val="0"/>
              <w:rPr>
                <w:rFonts w:hint="default"/>
              </w:rPr>
            </w:pPr>
            <w:r>
              <w:t>108</w:t>
            </w:r>
          </w:p>
        </w:tc>
      </w:tr>
      <w:tr w14:paraId="7E20C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16ED943F">
            <w:pPr>
              <w:pStyle w:val="54"/>
              <w:bidi w:val="0"/>
              <w:rPr>
                <w:rFonts w:hint="default"/>
              </w:rPr>
            </w:pPr>
            <w:r>
              <w:rPr>
                <w:rFonts w:hint="eastAsia"/>
              </w:rPr>
              <w:t>中型机械制造等效设施</w:t>
            </w:r>
          </w:p>
        </w:tc>
        <w:tc>
          <w:tcPr>
            <w:tcW w:w="1250" w:type="pct"/>
            <w:tcBorders>
              <w:top w:val="nil"/>
              <w:left w:val="nil"/>
              <w:bottom w:val="nil"/>
              <w:right w:val="nil"/>
            </w:tcBorders>
            <w:shd w:val="clear" w:color="auto" w:fill="FFFFFF"/>
            <w:vAlign w:val="top"/>
          </w:tcPr>
          <w:p w14:paraId="70C968A7">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22B991A6">
            <w:pPr>
              <w:pStyle w:val="54"/>
              <w:bidi w:val="0"/>
              <w:rPr>
                <w:rFonts w:hint="default"/>
              </w:rPr>
            </w:pPr>
            <w:r>
              <w:rPr>
                <w:rFonts w:hint="eastAsia"/>
              </w:rPr>
              <w:t>通用机械制造设施（中）</w:t>
            </w:r>
          </w:p>
        </w:tc>
        <w:tc>
          <w:tcPr>
            <w:tcW w:w="1250" w:type="pct"/>
            <w:tcBorders>
              <w:top w:val="nil"/>
              <w:left w:val="nil"/>
              <w:bottom w:val="nil"/>
              <w:right w:val="nil"/>
            </w:tcBorders>
            <w:shd w:val="clear" w:color="auto" w:fill="FFFFFF"/>
            <w:vAlign w:val="top"/>
          </w:tcPr>
          <w:p w14:paraId="2A279B46">
            <w:pPr>
              <w:pStyle w:val="54"/>
              <w:bidi w:val="0"/>
              <w:rPr>
                <w:rFonts w:hint="default"/>
              </w:rPr>
            </w:pPr>
            <w:r>
              <w:t>132</w:t>
            </w:r>
          </w:p>
        </w:tc>
      </w:tr>
      <w:tr w14:paraId="2B07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6BC04F7E">
            <w:pPr>
              <w:pStyle w:val="54"/>
              <w:bidi w:val="0"/>
              <w:rPr>
                <w:rFonts w:hint="default"/>
              </w:rPr>
            </w:pPr>
            <w:r>
              <w:rPr>
                <w:rFonts w:hint="eastAsia"/>
              </w:rPr>
              <w:t>小型机械制造等效设施</w:t>
            </w:r>
          </w:p>
        </w:tc>
        <w:tc>
          <w:tcPr>
            <w:tcW w:w="1250" w:type="pct"/>
            <w:tcBorders>
              <w:top w:val="nil"/>
              <w:left w:val="nil"/>
              <w:bottom w:val="nil"/>
              <w:right w:val="nil"/>
            </w:tcBorders>
            <w:shd w:val="clear" w:color="auto" w:fill="FFFFFF"/>
            <w:vAlign w:val="top"/>
          </w:tcPr>
          <w:p w14:paraId="43699418">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4458B166">
            <w:pPr>
              <w:pStyle w:val="54"/>
              <w:bidi w:val="0"/>
              <w:rPr>
                <w:rFonts w:hint="default"/>
              </w:rPr>
            </w:pPr>
            <w:r>
              <w:rPr>
                <w:rFonts w:hint="eastAsia"/>
              </w:rPr>
              <w:t>通用机械制造设施（小）</w:t>
            </w:r>
          </w:p>
        </w:tc>
        <w:tc>
          <w:tcPr>
            <w:tcW w:w="1250" w:type="pct"/>
            <w:tcBorders>
              <w:top w:val="nil"/>
              <w:left w:val="nil"/>
              <w:bottom w:val="nil"/>
              <w:right w:val="nil"/>
            </w:tcBorders>
            <w:shd w:val="clear" w:color="auto" w:fill="FFFFFF"/>
            <w:vAlign w:val="top"/>
          </w:tcPr>
          <w:p w14:paraId="21B376D3">
            <w:pPr>
              <w:pStyle w:val="54"/>
              <w:bidi w:val="0"/>
              <w:rPr>
                <w:rFonts w:hint="default"/>
              </w:rPr>
            </w:pPr>
            <w:r>
              <w:t>156</w:t>
            </w:r>
          </w:p>
        </w:tc>
      </w:tr>
      <w:tr w14:paraId="67F12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single" w:color="000000" w:sz="12" w:space="0"/>
              <w:right w:val="nil"/>
            </w:tcBorders>
            <w:shd w:val="clear" w:color="auto" w:fill="FFFFFF"/>
            <w:vAlign w:val="top"/>
          </w:tcPr>
          <w:p w14:paraId="6992E017">
            <w:pPr>
              <w:pStyle w:val="54"/>
              <w:bidi w:val="0"/>
              <w:rPr>
                <w:rFonts w:hint="default"/>
              </w:rPr>
            </w:pPr>
            <w:r>
              <w:t xml:space="preserve">7 </w:t>
            </w:r>
            <w:r>
              <w:rPr>
                <w:rFonts w:hint="eastAsia"/>
              </w:rPr>
              <w:t>个设施</w:t>
            </w:r>
          </w:p>
        </w:tc>
        <w:tc>
          <w:tcPr>
            <w:tcW w:w="1250" w:type="pct"/>
            <w:tcBorders>
              <w:top w:val="nil"/>
              <w:left w:val="nil"/>
              <w:bottom w:val="single" w:color="000000" w:sz="12" w:space="0"/>
              <w:right w:val="nil"/>
            </w:tcBorders>
            <w:shd w:val="clear" w:color="auto" w:fill="FFFFFF"/>
            <w:vAlign w:val="top"/>
          </w:tcPr>
          <w:p w14:paraId="1A4619AB">
            <w:pPr>
              <w:pStyle w:val="54"/>
              <w:bidi w:val="0"/>
              <w:rPr>
                <w:rFonts w:hint="default"/>
              </w:rPr>
            </w:pPr>
            <w:r>
              <w:t xml:space="preserve">4 </w:t>
            </w:r>
            <w:r>
              <w:rPr>
                <w:rFonts w:hint="eastAsia"/>
              </w:rPr>
              <w:t>个特异设施模型、3</w:t>
            </w:r>
            <w:r>
              <w:t xml:space="preserve"> </w:t>
            </w:r>
            <w:r>
              <w:rPr>
                <w:rFonts w:hint="eastAsia"/>
              </w:rPr>
              <w:t>个等效设施模型</w:t>
            </w:r>
          </w:p>
        </w:tc>
        <w:tc>
          <w:tcPr>
            <w:tcW w:w="1250" w:type="pct"/>
            <w:tcBorders>
              <w:top w:val="nil"/>
              <w:left w:val="nil"/>
              <w:bottom w:val="single" w:color="000000" w:sz="12" w:space="0"/>
              <w:right w:val="nil"/>
            </w:tcBorders>
            <w:shd w:val="clear" w:color="auto" w:fill="FFFFFF"/>
            <w:vAlign w:val="top"/>
          </w:tcPr>
          <w:p w14:paraId="0676C7DC">
            <w:pPr>
              <w:pStyle w:val="54"/>
              <w:bidi w:val="0"/>
              <w:rPr>
                <w:rFonts w:hint="default"/>
              </w:rPr>
            </w:pPr>
            <w:r>
              <w:t>—</w:t>
            </w:r>
          </w:p>
        </w:tc>
        <w:tc>
          <w:tcPr>
            <w:tcW w:w="1250" w:type="pct"/>
            <w:tcBorders>
              <w:top w:val="nil"/>
              <w:left w:val="nil"/>
              <w:bottom w:val="single" w:color="000000" w:sz="12" w:space="0"/>
              <w:right w:val="nil"/>
            </w:tcBorders>
            <w:shd w:val="clear" w:color="auto" w:fill="FFFFFF"/>
            <w:vAlign w:val="top"/>
          </w:tcPr>
          <w:p>
            <w:r>
              <w:t>923</w:t>
            </w:r>
          </w:p>
        </w:tc>
      </w:tr>
    </w:tbl>
    <w:p w14:paraId="419CACE4">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16027"/>
      <w:r>
        <w:rPr>
          <w:rStyle w:val="23"/>
          <w:rFonts w:hint="default" w:ascii="Times New Roman" w:hAnsi="Times New Roman" w:cs="Times New Roman"/>
          <w:szCs w:val="24"/>
          <w:lang w:val="en-US" w:eastAsia="zh-CN"/>
        </w:rPr>
        <w:t>热辐射HS与建筑响应特征</w:t>
      </w:r>
      <w:bookmarkEnd w:id="5"/>
    </w:p>
    <w:p w14:paraId="50043004">
      <w:pPr>
        <w:rPr>
          <w:rFonts w:hint="eastAsia" w:ascii="Times New Roman" w:hAnsi="Times New Roman" w:cs="Times New Roman"/>
          <w:lang w:val="en-US" w:eastAsia="zh-CN"/>
        </w:rPr>
      </w:pPr>
      <w:r>
        <w:rPr>
          <w:rFonts w:hint="eastAsia" w:ascii="Times New Roman" w:hAnsi="Times New Roman" w:cs="Times New Roman"/>
          <w:lang w:val="en-US" w:eastAsia="zh-CN"/>
        </w:rPr>
        <w:t>机械制造设施的设施级毁伤主要受热源强度、作用时间、受热方向、厂房尺度、迎火侧开口和生产设备分布共同影响。热通量和热剂量决定输入能量；方位角和俯仰角决定具体受热墙面以及辐射进入厂房的路径；厂房尺度通过迎火侧墙面面积、总开口比例等模型输入反映热量作用的空间条件；迎火侧机床、控制设备、油品及其他敏感目标比例则决定可能形成有效损伤的资产数量和价值。</w:t>
      </w:r>
    </w:p>
    <w:p w14:paraId="7CD2D4C7">
      <w:pPr>
        <w:rPr>
          <w:rFonts w:hint="default" w:ascii="Times New Roman" w:hAnsi="Times New Roman" w:cs="Times New Roman"/>
          <w:lang w:val="en-US" w:eastAsia="zh-CN"/>
        </w:rPr>
      </w:pPr>
      <w:r>
        <w:rPr>
          <w:rFonts w:hint="eastAsia" w:ascii="Times New Roman" w:hAnsi="Times New Roman" w:cs="Times New Roman"/>
          <w:lang w:val="en-US" w:eastAsia="zh-CN"/>
        </w:rPr>
        <w:t>不同工程对象的响应可能存在显著差异。围护较完整、敏感资产距外墙较远的总装或加工设施，在现有短时作用下可能只产生局部温升；设备集中、迎火侧开口较大或高价值目标直接暴露的方向，则可能在较低热通量下跨越设施级阈值。大、中、小等效设施进一步反映了建筑体量、目标密度和局部损伤占总资产价值比例随尺度变化的影响。</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11864"/>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本研究面向机械制造设施的工程快速评估需求，在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各机械制造设施在不同方向与工况下的毁伤响应规律，为重点方向识别和精细仿真工况选择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w:t>
      </w:r>
      <w:r>
        <w:rPr>
          <w:rFonts w:hint="eastAsia" w:ascii="Times New Roman" w:hAnsi="Times New Roman" w:cs="Times New Roman"/>
          <w:lang w:eastAsia="zh-CN"/>
        </w:rPr>
        <w:t>机械制造</w:t>
      </w:r>
      <w:r>
        <w:rPr>
          <w:rFonts w:hint="default" w:ascii="Times New Roman" w:hAnsi="Times New Roman" w:cs="Times New Roman"/>
        </w:rPr>
        <w:t>设施和的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实测平均 0.188 s，含模型加载</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eastAsia"/>
                <w:lang w:eastAsia="zh-CN"/>
              </w:rPr>
              <w:t>机械制造</w:t>
            </w:r>
            <w:r>
              <w:rPr>
                <w:rFonts w:hint="default"/>
              </w:rPr>
              <w:t>设施</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3"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32677"/>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27615"/>
      <w:r>
        <w:rPr>
          <w:rFonts w:hint="default" w:ascii="Times New Roman" w:hAnsi="Times New Roman" w:cs="Times New Roman"/>
          <w:lang w:val="en-US" w:eastAsia="zh-CN"/>
        </w:rPr>
        <w:t>数据组成</w:t>
      </w:r>
      <w:bookmarkEnd w:id="8"/>
    </w:p>
    <w:p w14:paraId="12060DCA">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模型提供建筑计算域、障碍物、门窗与通风口、设备测点、敏感目标位置以及热辐射输入；损伤计算结果提供设施修复成本、资产价值和连续毁伤指数 Dk。经过完整性、有效性和取值范围检查后，形成 6558 条合格工况，其中机械制造设施 923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厂房尺度是连续分布，无法逐一模拟，各规模档以一段长度、宽度范围定义，模拟时取该范围内的代表值。机械制造等效设施涵盖总装、部装和机械加工等典型生产空间，各规模的几何参数范围与代表值如下表所示。</w:t>
      </w:r>
    </w:p>
    <w:p w14:paraId="037D313A">
      <w:pPr>
        <w:pStyle w:val="16"/>
        <w:bidi w:val="0"/>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机械制造等效设施规模分级与典型几何参数</w:t>
      </w:r>
    </w:p>
    <w:tbl>
      <w:tblPr>
        <w:tblStyle w:val="12"/>
        <w:tblW w:w="0" w:type="auto"/>
        <w:tblInd w:w="0" w:type="dxa"/>
        <w:tblLayout w:type="autofit"/>
        <w:tblCellMar>
          <w:top w:w="0" w:type="dxa"/>
          <w:left w:w="108" w:type="dxa"/>
          <w:bottom w:w="0" w:type="dxa"/>
          <w:right w:w="108" w:type="dxa"/>
        </w:tblCellMar>
      </w:tblPr>
      <w:tblGrid>
        <w:gridCol w:w="1018"/>
        <w:gridCol w:w="568"/>
        <w:gridCol w:w="1424"/>
        <w:gridCol w:w="1360"/>
        <w:gridCol w:w="1332"/>
        <w:gridCol w:w="2251"/>
        <w:gridCol w:w="569"/>
      </w:tblGrid>
      <w:tr w14:paraId="2175D395">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43BBBDCC">
            <w:pPr>
              <w:pStyle w:val="54"/>
              <w:bidi w:val="0"/>
            </w:pPr>
            <w:r>
              <w:rPr>
                <w:rFonts w:hint="eastAsia"/>
              </w:rPr>
              <w:t>建筑功能</w:t>
            </w:r>
          </w:p>
        </w:tc>
        <w:tc>
          <w:tcPr>
            <w:tcBorders>
              <w:top w:val="single" w:color="000000" w:sz="12" w:space="0"/>
              <w:left w:val="nil"/>
              <w:bottom w:val="single" w:color="000000" w:sz="4" w:space="0"/>
              <w:right w:val="nil"/>
            </w:tcBorders>
            <w:shd w:val="clear" w:color="auto" w:fill="FFFFFF"/>
          </w:tcPr>
          <w:p w14:paraId="7B1EE486">
            <w:pPr>
              <w:pStyle w:val="54"/>
              <w:bidi w:val="0"/>
            </w:pPr>
            <w:r>
              <w:rPr>
                <w:rFonts w:hint="eastAsia"/>
              </w:rPr>
              <w:t>规模</w:t>
            </w:r>
          </w:p>
        </w:tc>
        <w:tc>
          <w:tcPr>
            <w:tcBorders>
              <w:top w:val="single" w:color="000000" w:sz="12" w:space="0"/>
              <w:left w:val="nil"/>
              <w:bottom w:val="single" w:color="000000" w:sz="4" w:space="0"/>
              <w:right w:val="nil"/>
            </w:tcBorders>
            <w:shd w:val="clear" w:color="auto" w:fill="FFFFFF"/>
          </w:tcPr>
          <w:p w14:paraId="55DA6C52">
            <w:pPr>
              <w:pStyle w:val="54"/>
              <w:bidi w:val="0"/>
            </w:pPr>
            <w:r>
              <w:rPr>
                <w:rFonts w:hint="eastAsia"/>
              </w:rPr>
              <w:t>长度范围（m）</w:t>
            </w:r>
          </w:p>
        </w:tc>
        <w:tc>
          <w:tcPr>
            <w:tcBorders>
              <w:top w:val="single" w:color="000000" w:sz="12" w:space="0"/>
              <w:left w:val="nil"/>
              <w:bottom w:val="single" w:color="000000" w:sz="4" w:space="0"/>
              <w:right w:val="nil"/>
            </w:tcBorders>
            <w:shd w:val="clear" w:color="auto" w:fill="FFFFFF"/>
          </w:tcPr>
          <w:p w14:paraId="2532710D">
            <w:pPr>
              <w:pStyle w:val="54"/>
              <w:bidi w:val="0"/>
            </w:pPr>
            <w:r>
              <w:rPr>
                <w:rFonts w:hint="eastAsia"/>
              </w:rPr>
              <w:t>宽度范围（m）</w:t>
            </w:r>
          </w:p>
        </w:tc>
        <w:tc>
          <w:tcPr>
            <w:tcBorders>
              <w:top w:val="single" w:color="000000" w:sz="12" w:space="0"/>
              <w:left w:val="nil"/>
              <w:bottom w:val="single" w:color="000000" w:sz="4" w:space="0"/>
              <w:right w:val="nil"/>
            </w:tcBorders>
            <w:shd w:val="clear" w:color="auto" w:fill="FFFFFF"/>
          </w:tcPr>
          <w:p w14:paraId="6E1899B5">
            <w:pPr>
              <w:pStyle w:val="54"/>
              <w:bidi w:val="0"/>
            </w:pPr>
            <w:r>
              <w:rPr>
                <w:rFonts w:hint="eastAsia"/>
              </w:rPr>
              <w:t>高度范围（m）</w:t>
            </w:r>
          </w:p>
        </w:tc>
        <w:tc>
          <w:tcPr>
            <w:tcBorders>
              <w:top w:val="single" w:color="000000" w:sz="12" w:space="0"/>
              <w:left w:val="nil"/>
              <w:bottom w:val="single" w:color="000000" w:sz="4" w:space="0"/>
              <w:right w:val="nil"/>
            </w:tcBorders>
            <w:shd w:val="clear" w:color="auto" w:fill="FFFFFF"/>
          </w:tcPr>
          <w:p w14:paraId="027F6C83">
            <w:pPr>
              <w:pStyle w:val="54"/>
              <w:bidi w:val="0"/>
            </w:pPr>
            <w:r>
              <w:rPr>
                <w:rFonts w:hint="eastAsia"/>
              </w:rPr>
              <w:t>模拟代表值（长×宽×高）</w:t>
            </w:r>
          </w:p>
        </w:tc>
        <w:tc>
          <w:tcPr>
            <w:tcBorders>
              <w:top w:val="single" w:color="000000" w:sz="12" w:space="0"/>
              <w:left w:val="nil"/>
              <w:bottom w:val="single" w:color="000000" w:sz="4" w:space="0"/>
              <w:right w:val="nil"/>
            </w:tcBorders>
            <w:shd w:val="clear" w:color="auto" w:fill="FFFFFF"/>
          </w:tcPr>
          <w:p w14:paraId="4D654625">
            <w:pPr>
              <w:pStyle w:val="54"/>
              <w:bidi w:val="0"/>
            </w:pPr>
            <w:r>
              <w:rPr>
                <w:rFonts w:hint="eastAsia"/>
              </w:rPr>
              <w:t>层数</w:t>
            </w:r>
          </w:p>
        </w:tc>
      </w:tr>
      <w:tr w14:paraId="1F317834">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08EFD7F4">
            <w:pPr>
              <w:pStyle w:val="54"/>
              <w:bidi w:val="0"/>
            </w:pPr>
            <w:r>
              <w:rPr>
                <w:rFonts w:hint="eastAsia"/>
              </w:rPr>
              <w:t>总装车间</w:t>
            </w:r>
          </w:p>
        </w:tc>
        <w:tc>
          <w:tcPr>
            <w:tcBorders>
              <w:top w:val="single" w:color="000000" w:sz="4" w:space="0"/>
              <w:left w:val="nil"/>
              <w:bottom w:val="nil"/>
              <w:right w:val="nil"/>
            </w:tcBorders>
            <w:shd w:val="clear" w:color="auto" w:fill="FFFFFF"/>
          </w:tcPr>
          <w:p w14:paraId="68F81BD5">
            <w:pPr>
              <w:pStyle w:val="54"/>
              <w:bidi w:val="0"/>
            </w:pPr>
            <w:r>
              <w:rPr>
                <w:rFonts w:hint="eastAsia"/>
              </w:rPr>
              <w:t>小</w:t>
            </w:r>
          </w:p>
        </w:tc>
        <w:tc>
          <w:tcPr>
            <w:tcBorders>
              <w:top w:val="single" w:color="000000" w:sz="4" w:space="0"/>
              <w:left w:val="nil"/>
              <w:bottom w:val="nil"/>
              <w:right w:val="nil"/>
            </w:tcBorders>
            <w:shd w:val="clear" w:color="auto" w:fill="FFFFFF"/>
          </w:tcPr>
          <w:p w14:paraId="5A199EB0">
            <w:pPr>
              <w:pStyle w:val="54"/>
              <w:bidi w:val="0"/>
            </w:pPr>
            <w:r>
              <w:rPr>
                <w:rFonts w:hint="eastAsia"/>
                <w:lang w:val="en-US" w:eastAsia="zh-CN"/>
              </w:rPr>
              <w:t>&lt;</w:t>
            </w:r>
            <w:r>
              <w:t>140</w:t>
            </w:r>
          </w:p>
        </w:tc>
        <w:tc>
          <w:tcPr>
            <w:tcBorders>
              <w:top w:val="single" w:color="000000" w:sz="4" w:space="0"/>
              <w:left w:val="nil"/>
              <w:bottom w:val="nil"/>
              <w:right w:val="nil"/>
            </w:tcBorders>
            <w:shd w:val="clear" w:color="auto" w:fill="FFFFFF"/>
          </w:tcPr>
          <w:p w14:paraId="69B7F519">
            <w:pPr>
              <w:pStyle w:val="54"/>
              <w:bidi w:val="0"/>
            </w:pPr>
            <w:r>
              <w:rPr>
                <w:rFonts w:hint="eastAsia"/>
                <w:lang w:val="en-US" w:eastAsia="zh-CN"/>
              </w:rPr>
              <w:t>&lt;</w:t>
            </w:r>
            <w:r>
              <w:t>75</w:t>
            </w:r>
          </w:p>
        </w:tc>
        <w:tc>
          <w:tcPr>
            <w:tcBorders>
              <w:top w:val="single" w:color="000000" w:sz="4" w:space="0"/>
              <w:left w:val="nil"/>
              <w:bottom w:val="nil"/>
              <w:right w:val="nil"/>
            </w:tcBorders>
            <w:shd w:val="clear" w:color="auto" w:fill="FFFFFF"/>
          </w:tcPr>
          <w:p w14:paraId="65DF5C21">
            <w:pPr>
              <w:pStyle w:val="54"/>
              <w:bidi w:val="0"/>
            </w:pPr>
            <w:r>
              <w:rPr>
                <w:rFonts w:hint="eastAsia"/>
                <w:lang w:val="en-US" w:eastAsia="zh-CN"/>
              </w:rPr>
              <w:t>&lt;</w:t>
            </w:r>
            <w:r>
              <w:t>10</w:t>
            </w:r>
          </w:p>
        </w:tc>
        <w:tc>
          <w:tcPr>
            <w:tcBorders>
              <w:top w:val="single" w:color="000000" w:sz="4" w:space="0"/>
              <w:left w:val="nil"/>
              <w:bottom w:val="nil"/>
              <w:right w:val="nil"/>
            </w:tcBorders>
            <w:shd w:val="clear" w:color="auto" w:fill="FFFFFF"/>
          </w:tcPr>
          <w:p w14:paraId="660CD4B1">
            <w:pPr>
              <w:pStyle w:val="54"/>
              <w:bidi w:val="0"/>
            </w:pPr>
            <w:r>
              <w:t>120×60×8</w:t>
            </w:r>
          </w:p>
        </w:tc>
        <w:tc>
          <w:tcPr>
            <w:tcBorders>
              <w:top w:val="single" w:color="000000" w:sz="4" w:space="0"/>
              <w:left w:val="nil"/>
              <w:bottom w:val="nil"/>
              <w:right w:val="nil"/>
            </w:tcBorders>
            <w:shd w:val="clear" w:color="auto" w:fill="FFFFFF"/>
          </w:tcPr>
          <w:p w14:paraId="7B7C92CB">
            <w:pPr>
              <w:pStyle w:val="54"/>
              <w:bidi w:val="0"/>
            </w:pPr>
            <w:r>
              <w:t>1</w:t>
            </w:r>
          </w:p>
        </w:tc>
      </w:tr>
      <w:tr w14:paraId="47D2F276">
        <w:tblPrEx>
          <w:tblCellMar>
            <w:top w:w="0" w:type="dxa"/>
            <w:left w:w="108" w:type="dxa"/>
            <w:bottom w:w="0" w:type="dxa"/>
            <w:right w:w="108" w:type="dxa"/>
          </w:tblCellMar>
        </w:tblPrEx>
        <w:tc>
          <w:tcPr>
            <w:tcBorders>
              <w:top w:val="nil"/>
              <w:left w:val="nil"/>
              <w:bottom w:val="nil"/>
              <w:right w:val="nil"/>
            </w:tcBorders>
            <w:shd w:val="clear" w:color="auto" w:fill="FFFFFF"/>
          </w:tcPr>
          <w:p w14:paraId="093D7596">
            <w:pPr>
              <w:pStyle w:val="54"/>
              <w:bidi w:val="0"/>
            </w:pPr>
            <w:r>
              <w:rPr>
                <w:rFonts w:hint="eastAsia"/>
              </w:rPr>
              <w:t>总装车间</w:t>
            </w:r>
          </w:p>
        </w:tc>
        <w:tc>
          <w:tcPr>
            <w:tcBorders>
              <w:top w:val="nil"/>
              <w:left w:val="nil"/>
              <w:bottom w:val="nil"/>
              <w:right w:val="nil"/>
            </w:tcBorders>
            <w:shd w:val="clear" w:color="auto" w:fill="FFFFFF"/>
          </w:tcPr>
          <w:p w14:paraId="0AFEB22F">
            <w:pPr>
              <w:pStyle w:val="54"/>
              <w:bidi w:val="0"/>
            </w:pPr>
            <w:r>
              <w:rPr>
                <w:rFonts w:hint="eastAsia"/>
              </w:rPr>
              <w:t>中</w:t>
            </w:r>
          </w:p>
        </w:tc>
        <w:tc>
          <w:tcPr>
            <w:tcBorders>
              <w:top w:val="nil"/>
              <w:left w:val="nil"/>
              <w:bottom w:val="nil"/>
              <w:right w:val="nil"/>
            </w:tcBorders>
            <w:shd w:val="clear" w:color="auto" w:fill="FFFFFF"/>
          </w:tcPr>
          <w:p w14:paraId="1A12C685">
            <w:pPr>
              <w:pStyle w:val="54"/>
              <w:bidi w:val="0"/>
            </w:pPr>
            <w:r>
              <w:t>140–185</w:t>
            </w:r>
          </w:p>
        </w:tc>
        <w:tc>
          <w:tcPr>
            <w:tcBorders>
              <w:top w:val="nil"/>
              <w:left w:val="nil"/>
              <w:bottom w:val="nil"/>
              <w:right w:val="nil"/>
            </w:tcBorders>
            <w:shd w:val="clear" w:color="auto" w:fill="FFFFFF"/>
          </w:tcPr>
          <w:p w14:paraId="4C3654C5">
            <w:pPr>
              <w:pStyle w:val="54"/>
              <w:bidi w:val="0"/>
            </w:pPr>
            <w:r>
              <w:t>75–100</w:t>
            </w:r>
          </w:p>
        </w:tc>
        <w:tc>
          <w:tcPr>
            <w:tcBorders>
              <w:top w:val="nil"/>
              <w:left w:val="nil"/>
              <w:bottom w:val="nil"/>
              <w:right w:val="nil"/>
            </w:tcBorders>
            <w:shd w:val="clear" w:color="auto" w:fill="FFFFFF"/>
          </w:tcPr>
          <w:p w14:paraId="12BCE08E">
            <w:pPr>
              <w:pStyle w:val="54"/>
              <w:bidi w:val="0"/>
            </w:pPr>
            <w:r>
              <w:t>10–14</w:t>
            </w:r>
          </w:p>
        </w:tc>
        <w:tc>
          <w:tcPr>
            <w:tcBorders>
              <w:top w:val="nil"/>
              <w:left w:val="nil"/>
              <w:bottom w:val="nil"/>
              <w:right w:val="nil"/>
            </w:tcBorders>
            <w:shd w:val="clear" w:color="auto" w:fill="FFFFFF"/>
          </w:tcPr>
          <w:p w14:paraId="100DAC8F">
            <w:pPr>
              <w:pStyle w:val="54"/>
              <w:bidi w:val="0"/>
            </w:pPr>
            <w:r>
              <w:t>157.5×86×12</w:t>
            </w:r>
          </w:p>
        </w:tc>
        <w:tc>
          <w:tcPr>
            <w:tcBorders>
              <w:top w:val="nil"/>
              <w:left w:val="nil"/>
              <w:bottom w:val="nil"/>
              <w:right w:val="nil"/>
            </w:tcBorders>
            <w:shd w:val="clear" w:color="auto" w:fill="FFFFFF"/>
          </w:tcPr>
          <w:p w14:paraId="393068F6">
            <w:pPr>
              <w:pStyle w:val="54"/>
              <w:bidi w:val="0"/>
            </w:pPr>
            <w:r>
              <w:t>1</w:t>
            </w:r>
          </w:p>
        </w:tc>
      </w:tr>
      <w:tr w14:paraId="1AE901FF">
        <w:tc>
          <w:tcPr>
            <w:tcBorders>
              <w:top w:val="nil"/>
              <w:left w:val="nil"/>
              <w:bottom w:val="nil"/>
              <w:right w:val="nil"/>
            </w:tcBorders>
            <w:shd w:val="clear" w:color="auto" w:fill="FFFFFF"/>
          </w:tcPr>
          <w:p w14:paraId="18E62B41">
            <w:pPr>
              <w:pStyle w:val="54"/>
              <w:bidi w:val="0"/>
            </w:pPr>
            <w:r>
              <w:rPr>
                <w:rFonts w:hint="eastAsia"/>
              </w:rPr>
              <w:t>总装车间</w:t>
            </w:r>
          </w:p>
        </w:tc>
        <w:tc>
          <w:tcPr>
            <w:tcBorders>
              <w:top w:val="nil"/>
              <w:left w:val="nil"/>
              <w:bottom w:val="nil"/>
              <w:right w:val="nil"/>
            </w:tcBorders>
            <w:shd w:val="clear" w:color="auto" w:fill="FFFFFF"/>
          </w:tcPr>
          <w:p w14:paraId="1A413D47">
            <w:pPr>
              <w:pStyle w:val="54"/>
              <w:bidi w:val="0"/>
            </w:pPr>
            <w:r>
              <w:rPr>
                <w:rFonts w:hint="eastAsia"/>
              </w:rPr>
              <w:t>大</w:t>
            </w:r>
          </w:p>
        </w:tc>
        <w:tc>
          <w:tcPr>
            <w:tcBorders>
              <w:top w:val="nil"/>
              <w:left w:val="nil"/>
              <w:bottom w:val="nil"/>
              <w:right w:val="nil"/>
            </w:tcBorders>
            <w:shd w:val="clear" w:color="auto" w:fill="FFFFFF"/>
          </w:tcPr>
          <w:p w14:paraId="0AAA85BF">
            <w:pPr>
              <w:pStyle w:val="54"/>
              <w:bidi w:val="0"/>
            </w:pPr>
            <w:r>
              <w:rPr>
                <w:rFonts w:hint="eastAsia"/>
                <w:lang w:val="en-US" w:eastAsia="zh-CN"/>
              </w:rPr>
              <w:t>&gt;</w:t>
            </w:r>
            <w:r>
              <w:t>185</w:t>
            </w:r>
          </w:p>
        </w:tc>
        <w:tc>
          <w:tcPr>
            <w:tcBorders>
              <w:top w:val="nil"/>
              <w:left w:val="nil"/>
              <w:bottom w:val="nil"/>
              <w:right w:val="nil"/>
            </w:tcBorders>
            <w:shd w:val="clear" w:color="auto" w:fill="FFFFFF"/>
          </w:tcPr>
          <w:p w14:paraId="0A353E9E">
            <w:pPr>
              <w:pStyle w:val="54"/>
              <w:bidi w:val="0"/>
            </w:pPr>
            <w:r>
              <w:rPr>
                <w:rFonts w:hint="eastAsia"/>
                <w:lang w:val="en-US" w:eastAsia="zh-CN"/>
              </w:rPr>
              <w:t>&gt;</w:t>
            </w:r>
            <w:r>
              <w:t>100</w:t>
            </w:r>
          </w:p>
        </w:tc>
        <w:tc>
          <w:tcPr>
            <w:tcBorders>
              <w:top w:val="nil"/>
              <w:left w:val="nil"/>
              <w:bottom w:val="nil"/>
              <w:right w:val="nil"/>
            </w:tcBorders>
            <w:shd w:val="clear" w:color="auto" w:fill="FFFFFF"/>
          </w:tcPr>
          <w:p w14:paraId="60F6A125">
            <w:pPr>
              <w:pStyle w:val="54"/>
              <w:bidi w:val="0"/>
            </w:pPr>
            <w:r>
              <w:rPr>
                <w:rFonts w:hint="eastAsia"/>
                <w:lang w:val="en-US" w:eastAsia="zh-CN"/>
              </w:rPr>
              <w:t>&gt;</w:t>
            </w:r>
            <w:r>
              <w:t>14</w:t>
            </w:r>
          </w:p>
        </w:tc>
        <w:tc>
          <w:tcPr>
            <w:tcBorders>
              <w:top w:val="nil"/>
              <w:left w:val="nil"/>
              <w:bottom w:val="nil"/>
              <w:right w:val="nil"/>
            </w:tcBorders>
            <w:shd w:val="clear" w:color="auto" w:fill="FFFFFF"/>
          </w:tcPr>
          <w:p w14:paraId="0870E4AD">
            <w:pPr>
              <w:pStyle w:val="54"/>
              <w:bidi w:val="0"/>
            </w:pPr>
            <w:r>
              <w:t>210×115×16</w:t>
            </w:r>
          </w:p>
        </w:tc>
        <w:tc>
          <w:tcPr>
            <w:tcBorders>
              <w:top w:val="nil"/>
              <w:left w:val="nil"/>
              <w:bottom w:val="nil"/>
              <w:right w:val="nil"/>
            </w:tcBorders>
            <w:shd w:val="clear" w:color="auto" w:fill="FFFFFF"/>
          </w:tcPr>
          <w:p w14:paraId="5106BA7F">
            <w:pPr>
              <w:pStyle w:val="54"/>
              <w:bidi w:val="0"/>
            </w:pPr>
            <w:r>
              <w:t>1</w:t>
            </w:r>
          </w:p>
        </w:tc>
      </w:tr>
      <w:tr w14:paraId="1BBC5EEA">
        <w:tblPrEx>
          <w:tblCellMar>
            <w:top w:w="0" w:type="dxa"/>
            <w:left w:w="108" w:type="dxa"/>
            <w:bottom w:w="0" w:type="dxa"/>
            <w:right w:w="108" w:type="dxa"/>
          </w:tblCellMar>
        </w:tblPrEx>
        <w:tc>
          <w:tcPr>
            <w:tcBorders>
              <w:top w:val="nil"/>
              <w:left w:val="nil"/>
              <w:bottom w:val="nil"/>
              <w:right w:val="nil"/>
            </w:tcBorders>
            <w:shd w:val="clear" w:color="auto" w:fill="FFFFFF"/>
          </w:tcPr>
          <w:p w14:paraId="2D33D985">
            <w:pPr>
              <w:pStyle w:val="54"/>
              <w:bidi w:val="0"/>
            </w:pPr>
            <w:r>
              <w:rPr>
                <w:rFonts w:hint="eastAsia"/>
              </w:rPr>
              <w:t>部装车间</w:t>
            </w:r>
          </w:p>
        </w:tc>
        <w:tc>
          <w:tcPr>
            <w:tcBorders>
              <w:top w:val="nil"/>
              <w:left w:val="nil"/>
              <w:bottom w:val="nil"/>
              <w:right w:val="nil"/>
            </w:tcBorders>
            <w:shd w:val="clear" w:color="auto" w:fill="FFFFFF"/>
          </w:tcPr>
          <w:p w14:paraId="014250CD">
            <w:pPr>
              <w:pStyle w:val="54"/>
              <w:bidi w:val="0"/>
            </w:pPr>
            <w:r>
              <w:rPr>
                <w:rFonts w:hint="eastAsia"/>
              </w:rPr>
              <w:t>小</w:t>
            </w:r>
          </w:p>
        </w:tc>
        <w:tc>
          <w:tcPr>
            <w:tcBorders>
              <w:top w:val="nil"/>
              <w:left w:val="nil"/>
              <w:bottom w:val="nil"/>
              <w:right w:val="nil"/>
            </w:tcBorders>
            <w:shd w:val="clear" w:color="auto" w:fill="FFFFFF"/>
          </w:tcPr>
          <w:p w14:paraId="33CBFBBA">
            <w:pPr>
              <w:pStyle w:val="54"/>
              <w:bidi w:val="0"/>
            </w:pPr>
            <w:r>
              <w:rPr>
                <w:rFonts w:hint="eastAsia"/>
                <w:lang w:val="en-US" w:eastAsia="zh-CN"/>
              </w:rPr>
              <w:t>&lt;</w:t>
            </w:r>
            <w:r>
              <w:t>110</w:t>
            </w:r>
          </w:p>
        </w:tc>
        <w:tc>
          <w:tcPr>
            <w:tcBorders>
              <w:top w:val="nil"/>
              <w:left w:val="nil"/>
              <w:bottom w:val="nil"/>
              <w:right w:val="nil"/>
            </w:tcBorders>
            <w:shd w:val="clear" w:color="auto" w:fill="FFFFFF"/>
          </w:tcPr>
          <w:p w14:paraId="208344BB">
            <w:pPr>
              <w:pStyle w:val="54"/>
              <w:bidi w:val="0"/>
            </w:pPr>
            <w:r>
              <w:rPr>
                <w:rFonts w:hint="eastAsia"/>
                <w:lang w:val="en-US" w:eastAsia="zh-CN"/>
              </w:rPr>
              <w:t>&lt;</w:t>
            </w:r>
            <w:r>
              <w:t>60</w:t>
            </w:r>
          </w:p>
        </w:tc>
        <w:tc>
          <w:tcPr>
            <w:tcBorders>
              <w:top w:val="nil"/>
              <w:left w:val="nil"/>
              <w:bottom w:val="nil"/>
              <w:right w:val="nil"/>
            </w:tcBorders>
            <w:shd w:val="clear" w:color="auto" w:fill="FFFFFF"/>
          </w:tcPr>
          <w:p w14:paraId="5C43ABF1">
            <w:pPr>
              <w:pStyle w:val="54"/>
              <w:bidi w:val="0"/>
            </w:pPr>
            <w:r>
              <w:rPr>
                <w:rFonts w:hint="eastAsia"/>
                <w:lang w:val="en-US" w:eastAsia="zh-CN"/>
              </w:rPr>
              <w:t>&lt;</w:t>
            </w:r>
            <w:r>
              <w:t>8</w:t>
            </w:r>
          </w:p>
        </w:tc>
        <w:tc>
          <w:tcPr>
            <w:tcBorders>
              <w:top w:val="nil"/>
              <w:left w:val="nil"/>
              <w:bottom w:val="nil"/>
              <w:right w:val="nil"/>
            </w:tcBorders>
            <w:shd w:val="clear" w:color="auto" w:fill="FFFFFF"/>
          </w:tcPr>
          <w:p w14:paraId="062EB36D">
            <w:pPr>
              <w:pStyle w:val="54"/>
              <w:bidi w:val="0"/>
            </w:pPr>
            <w:r>
              <w:t>95×50×7</w:t>
            </w:r>
          </w:p>
        </w:tc>
        <w:tc>
          <w:tcPr>
            <w:tcBorders>
              <w:top w:val="nil"/>
              <w:left w:val="nil"/>
              <w:bottom w:val="nil"/>
              <w:right w:val="nil"/>
            </w:tcBorders>
            <w:shd w:val="clear" w:color="auto" w:fill="FFFFFF"/>
          </w:tcPr>
          <w:p w14:paraId="610957F9">
            <w:pPr>
              <w:pStyle w:val="54"/>
              <w:bidi w:val="0"/>
            </w:pPr>
            <w:r>
              <w:t>1</w:t>
            </w:r>
          </w:p>
        </w:tc>
      </w:tr>
      <w:tr w14:paraId="32F4057A">
        <w:tblPrEx>
          <w:tblCellMar>
            <w:top w:w="0" w:type="dxa"/>
            <w:left w:w="108" w:type="dxa"/>
            <w:bottom w:w="0" w:type="dxa"/>
            <w:right w:w="108" w:type="dxa"/>
          </w:tblCellMar>
        </w:tblPrEx>
        <w:tc>
          <w:tcPr>
            <w:tcBorders>
              <w:top w:val="nil"/>
              <w:left w:val="nil"/>
              <w:bottom w:val="nil"/>
              <w:right w:val="nil"/>
            </w:tcBorders>
            <w:shd w:val="clear" w:color="auto" w:fill="FFFFFF"/>
          </w:tcPr>
          <w:p w14:paraId="53871772">
            <w:pPr>
              <w:pStyle w:val="54"/>
              <w:bidi w:val="0"/>
            </w:pPr>
            <w:r>
              <w:rPr>
                <w:rFonts w:hint="eastAsia"/>
              </w:rPr>
              <w:t>部装车间</w:t>
            </w:r>
          </w:p>
        </w:tc>
        <w:tc>
          <w:tcPr>
            <w:tcBorders>
              <w:top w:val="nil"/>
              <w:left w:val="nil"/>
              <w:bottom w:val="nil"/>
              <w:right w:val="nil"/>
            </w:tcBorders>
            <w:shd w:val="clear" w:color="auto" w:fill="FFFFFF"/>
          </w:tcPr>
          <w:p w14:paraId="56DE6F92">
            <w:pPr>
              <w:pStyle w:val="54"/>
              <w:bidi w:val="0"/>
            </w:pPr>
            <w:r>
              <w:rPr>
                <w:rFonts w:hint="eastAsia"/>
              </w:rPr>
              <w:t>中</w:t>
            </w:r>
          </w:p>
        </w:tc>
        <w:tc>
          <w:tcPr>
            <w:tcBorders>
              <w:top w:val="nil"/>
              <w:left w:val="nil"/>
              <w:bottom w:val="nil"/>
              <w:right w:val="nil"/>
            </w:tcBorders>
            <w:shd w:val="clear" w:color="auto" w:fill="FFFFFF"/>
          </w:tcPr>
          <w:p w14:paraId="0D394E17">
            <w:pPr>
              <w:pStyle w:val="54"/>
              <w:bidi w:val="0"/>
            </w:pPr>
            <w:r>
              <w:t>110–150</w:t>
            </w:r>
          </w:p>
        </w:tc>
        <w:tc>
          <w:tcPr>
            <w:tcBorders>
              <w:top w:val="nil"/>
              <w:left w:val="nil"/>
              <w:bottom w:val="nil"/>
              <w:right w:val="nil"/>
            </w:tcBorders>
            <w:shd w:val="clear" w:color="auto" w:fill="FFFFFF"/>
          </w:tcPr>
          <w:p w14:paraId="261A26E1">
            <w:pPr>
              <w:pStyle w:val="54"/>
              <w:bidi w:val="0"/>
            </w:pPr>
            <w:r>
              <w:t>60–82</w:t>
            </w:r>
          </w:p>
        </w:tc>
        <w:tc>
          <w:tcPr>
            <w:tcBorders>
              <w:top w:val="nil"/>
              <w:left w:val="nil"/>
              <w:bottom w:val="nil"/>
              <w:right w:val="nil"/>
            </w:tcBorders>
            <w:shd w:val="clear" w:color="auto" w:fill="FFFFFF"/>
          </w:tcPr>
          <w:p w14:paraId="3C3C73EA">
            <w:pPr>
              <w:pStyle w:val="54"/>
              <w:bidi w:val="0"/>
            </w:pPr>
            <w:r>
              <w:t>8–10</w:t>
            </w:r>
          </w:p>
        </w:tc>
        <w:tc>
          <w:tcPr>
            <w:tcBorders>
              <w:top w:val="nil"/>
              <w:left w:val="nil"/>
              <w:bottom w:val="nil"/>
              <w:right w:val="nil"/>
            </w:tcBorders>
            <w:shd w:val="clear" w:color="auto" w:fill="FFFFFF"/>
          </w:tcPr>
          <w:p w14:paraId="36571FC7">
            <w:pPr>
              <w:pStyle w:val="54"/>
              <w:bidi w:val="0"/>
            </w:pPr>
            <w:r>
              <w:t>130×70×9</w:t>
            </w:r>
          </w:p>
        </w:tc>
        <w:tc>
          <w:tcPr>
            <w:tcBorders>
              <w:top w:val="nil"/>
              <w:left w:val="nil"/>
              <w:bottom w:val="nil"/>
              <w:right w:val="nil"/>
            </w:tcBorders>
            <w:shd w:val="clear" w:color="auto" w:fill="FFFFFF"/>
          </w:tcPr>
          <w:p w14:paraId="297CDE94">
            <w:pPr>
              <w:pStyle w:val="54"/>
              <w:bidi w:val="0"/>
            </w:pPr>
            <w:r>
              <w:t>1</w:t>
            </w:r>
          </w:p>
        </w:tc>
      </w:tr>
      <w:tr w14:paraId="2A6A3DB2">
        <w:tblPrEx>
          <w:tblCellMar>
            <w:top w:w="0" w:type="dxa"/>
            <w:left w:w="108" w:type="dxa"/>
            <w:bottom w:w="0" w:type="dxa"/>
            <w:right w:w="108" w:type="dxa"/>
          </w:tblCellMar>
        </w:tblPrEx>
        <w:tc>
          <w:tcPr>
            <w:tcBorders>
              <w:top w:val="nil"/>
              <w:left w:val="nil"/>
              <w:bottom w:val="nil"/>
              <w:right w:val="nil"/>
            </w:tcBorders>
            <w:shd w:val="clear" w:color="auto" w:fill="FFFFFF"/>
          </w:tcPr>
          <w:p w14:paraId="527B60C8">
            <w:pPr>
              <w:pStyle w:val="54"/>
              <w:bidi w:val="0"/>
            </w:pPr>
            <w:r>
              <w:rPr>
                <w:rFonts w:hint="eastAsia"/>
              </w:rPr>
              <w:t>部装车间</w:t>
            </w:r>
          </w:p>
        </w:tc>
        <w:tc>
          <w:tcPr>
            <w:tcBorders>
              <w:top w:val="nil"/>
              <w:left w:val="nil"/>
              <w:bottom w:val="nil"/>
              <w:right w:val="nil"/>
            </w:tcBorders>
            <w:shd w:val="clear" w:color="auto" w:fill="FFFFFF"/>
          </w:tcPr>
          <w:p w14:paraId="25CE81D0">
            <w:pPr>
              <w:pStyle w:val="54"/>
              <w:bidi w:val="0"/>
            </w:pPr>
            <w:r>
              <w:rPr>
                <w:rFonts w:hint="eastAsia"/>
              </w:rPr>
              <w:t>大</w:t>
            </w:r>
          </w:p>
        </w:tc>
        <w:tc>
          <w:tcPr>
            <w:tcBorders>
              <w:top w:val="nil"/>
              <w:left w:val="nil"/>
              <w:bottom w:val="nil"/>
              <w:right w:val="nil"/>
            </w:tcBorders>
            <w:shd w:val="clear" w:color="auto" w:fill="FFFFFF"/>
          </w:tcPr>
          <w:p w14:paraId="63E6F617">
            <w:pPr>
              <w:pStyle w:val="54"/>
              <w:bidi w:val="0"/>
            </w:pPr>
            <w:r>
              <w:rPr>
                <w:rFonts w:hint="eastAsia"/>
                <w:lang w:val="en-US" w:eastAsia="zh-CN"/>
              </w:rPr>
              <w:t>&gt;</w:t>
            </w:r>
            <w:r>
              <w:t>150</w:t>
            </w:r>
          </w:p>
        </w:tc>
        <w:tc>
          <w:tcPr>
            <w:tcBorders>
              <w:top w:val="nil"/>
              <w:left w:val="nil"/>
              <w:bottom w:val="nil"/>
              <w:right w:val="nil"/>
            </w:tcBorders>
            <w:shd w:val="clear" w:color="auto" w:fill="FFFFFF"/>
          </w:tcPr>
          <w:p w14:paraId="4BDCC905">
            <w:pPr>
              <w:pStyle w:val="54"/>
              <w:bidi w:val="0"/>
            </w:pPr>
            <w:r>
              <w:rPr>
                <w:rFonts w:hint="eastAsia"/>
                <w:lang w:val="en-US" w:eastAsia="zh-CN"/>
              </w:rPr>
              <w:t>&gt;</w:t>
            </w:r>
            <w:r>
              <w:t>82</w:t>
            </w:r>
          </w:p>
        </w:tc>
        <w:tc>
          <w:tcPr>
            <w:tcBorders>
              <w:top w:val="nil"/>
              <w:left w:val="nil"/>
              <w:bottom w:val="nil"/>
              <w:right w:val="nil"/>
            </w:tcBorders>
            <w:shd w:val="clear" w:color="auto" w:fill="FFFFFF"/>
          </w:tcPr>
          <w:p w14:paraId="35178B9B">
            <w:pPr>
              <w:pStyle w:val="54"/>
              <w:bidi w:val="0"/>
            </w:pPr>
            <w:r>
              <w:rPr>
                <w:rFonts w:hint="eastAsia"/>
                <w:lang w:val="en-US" w:eastAsia="zh-CN"/>
              </w:rPr>
              <w:t>&gt;</w:t>
            </w:r>
            <w:r>
              <w:t>10</w:t>
            </w:r>
          </w:p>
        </w:tc>
        <w:tc>
          <w:tcPr>
            <w:tcBorders>
              <w:top w:val="nil"/>
              <w:left w:val="nil"/>
              <w:bottom w:val="nil"/>
              <w:right w:val="nil"/>
            </w:tcBorders>
            <w:shd w:val="clear" w:color="auto" w:fill="FFFFFF"/>
          </w:tcPr>
          <w:p w14:paraId="77FC60F1">
            <w:pPr>
              <w:pStyle w:val="54"/>
              <w:bidi w:val="0"/>
            </w:pPr>
            <w:r>
              <w:t>175×95×11</w:t>
            </w:r>
          </w:p>
        </w:tc>
        <w:tc>
          <w:tcPr>
            <w:tcBorders>
              <w:top w:val="nil"/>
              <w:left w:val="nil"/>
              <w:bottom w:val="nil"/>
              <w:right w:val="nil"/>
            </w:tcBorders>
            <w:shd w:val="clear" w:color="auto" w:fill="FFFFFF"/>
          </w:tcPr>
          <w:p w14:paraId="1FC32CAF">
            <w:pPr>
              <w:pStyle w:val="54"/>
              <w:bidi w:val="0"/>
            </w:pPr>
            <w:r>
              <w:t>1</w:t>
            </w:r>
          </w:p>
        </w:tc>
      </w:tr>
      <w:tr w14:paraId="184AADF0">
        <w:tc>
          <w:tcPr>
            <w:tcBorders>
              <w:top w:val="nil"/>
              <w:left w:val="nil"/>
              <w:bottom w:val="nil"/>
              <w:right w:val="nil"/>
            </w:tcBorders>
            <w:shd w:val="clear" w:color="auto" w:fill="FFFFFF"/>
          </w:tcPr>
          <w:p w14:paraId="3D2AD77A">
            <w:pPr>
              <w:pStyle w:val="54"/>
              <w:bidi w:val="0"/>
            </w:pPr>
            <w:r>
              <w:rPr>
                <w:rFonts w:hint="eastAsia"/>
              </w:rPr>
              <w:t>机械加工车间</w:t>
            </w:r>
          </w:p>
        </w:tc>
        <w:tc>
          <w:tcPr>
            <w:tcBorders>
              <w:top w:val="nil"/>
              <w:left w:val="nil"/>
              <w:bottom w:val="nil"/>
              <w:right w:val="nil"/>
            </w:tcBorders>
            <w:shd w:val="clear" w:color="auto" w:fill="FFFFFF"/>
          </w:tcPr>
          <w:p w14:paraId="33842194">
            <w:pPr>
              <w:pStyle w:val="54"/>
              <w:bidi w:val="0"/>
            </w:pPr>
            <w:r>
              <w:rPr>
                <w:rFonts w:hint="eastAsia"/>
              </w:rPr>
              <w:t>小</w:t>
            </w:r>
          </w:p>
        </w:tc>
        <w:tc>
          <w:tcPr>
            <w:tcBorders>
              <w:top w:val="nil"/>
              <w:left w:val="nil"/>
              <w:bottom w:val="nil"/>
              <w:right w:val="nil"/>
            </w:tcBorders>
            <w:shd w:val="clear" w:color="auto" w:fill="FFFFFF"/>
          </w:tcPr>
          <w:p w14:paraId="5888C5D7">
            <w:pPr>
              <w:pStyle w:val="54"/>
              <w:bidi w:val="0"/>
            </w:pPr>
            <w:r>
              <w:rPr>
                <w:rFonts w:hint="eastAsia"/>
                <w:lang w:val="en-US" w:eastAsia="zh-CN"/>
              </w:rPr>
              <w:t>&lt;</w:t>
            </w:r>
            <w:r>
              <w:t>115</w:t>
            </w:r>
          </w:p>
        </w:tc>
        <w:tc>
          <w:tcPr>
            <w:tcBorders>
              <w:top w:val="nil"/>
              <w:left w:val="nil"/>
              <w:bottom w:val="nil"/>
              <w:right w:val="nil"/>
            </w:tcBorders>
            <w:shd w:val="clear" w:color="auto" w:fill="FFFFFF"/>
          </w:tcPr>
          <w:p w14:paraId="04F4965B">
            <w:pPr>
              <w:pStyle w:val="54"/>
              <w:bidi w:val="0"/>
            </w:pPr>
            <w:r>
              <w:rPr>
                <w:rFonts w:hint="eastAsia"/>
                <w:lang w:val="en-US" w:eastAsia="zh-CN"/>
              </w:rPr>
              <w:t>&lt;</w:t>
            </w:r>
            <w:r>
              <w:t>60</w:t>
            </w:r>
          </w:p>
        </w:tc>
        <w:tc>
          <w:tcPr>
            <w:tcBorders>
              <w:top w:val="nil"/>
              <w:left w:val="nil"/>
              <w:bottom w:val="nil"/>
              <w:right w:val="nil"/>
            </w:tcBorders>
            <w:shd w:val="clear" w:color="auto" w:fill="FFFFFF"/>
          </w:tcPr>
          <w:p w14:paraId="5F128ABE">
            <w:pPr>
              <w:pStyle w:val="54"/>
              <w:bidi w:val="0"/>
            </w:pPr>
            <w:r>
              <w:rPr>
                <w:rFonts w:hint="eastAsia"/>
                <w:lang w:val="en-US" w:eastAsia="zh-CN"/>
              </w:rPr>
              <w:t>&lt;</w:t>
            </w:r>
            <w:r>
              <w:t>8</w:t>
            </w:r>
          </w:p>
        </w:tc>
        <w:tc>
          <w:tcPr>
            <w:tcBorders>
              <w:top w:val="nil"/>
              <w:left w:val="nil"/>
              <w:bottom w:val="nil"/>
              <w:right w:val="nil"/>
            </w:tcBorders>
            <w:shd w:val="clear" w:color="auto" w:fill="FFFFFF"/>
          </w:tcPr>
          <w:p w14:paraId="7AE651CB">
            <w:pPr>
              <w:pStyle w:val="54"/>
              <w:bidi w:val="0"/>
            </w:pPr>
            <w:r>
              <w:t>100×52×7</w:t>
            </w:r>
          </w:p>
        </w:tc>
        <w:tc>
          <w:tcPr>
            <w:tcBorders>
              <w:top w:val="nil"/>
              <w:left w:val="nil"/>
              <w:bottom w:val="nil"/>
              <w:right w:val="nil"/>
            </w:tcBorders>
            <w:shd w:val="clear" w:color="auto" w:fill="FFFFFF"/>
          </w:tcPr>
          <w:p w14:paraId="09A3B206">
            <w:pPr>
              <w:pStyle w:val="54"/>
              <w:bidi w:val="0"/>
            </w:pPr>
            <w:r>
              <w:t>1</w:t>
            </w:r>
          </w:p>
        </w:tc>
      </w:tr>
      <w:tr w14:paraId="6E0E97A6">
        <w:tblPrEx>
          <w:tblCellMar>
            <w:top w:w="0" w:type="dxa"/>
            <w:left w:w="108" w:type="dxa"/>
            <w:bottom w:w="0" w:type="dxa"/>
            <w:right w:w="108" w:type="dxa"/>
          </w:tblCellMar>
        </w:tblPrEx>
        <w:tc>
          <w:tcPr>
            <w:tcBorders>
              <w:top w:val="nil"/>
              <w:left w:val="nil"/>
              <w:bottom w:val="nil"/>
              <w:right w:val="nil"/>
            </w:tcBorders>
            <w:shd w:val="clear" w:color="auto" w:fill="FFFFFF"/>
          </w:tcPr>
          <w:p w14:paraId="69F926D5">
            <w:pPr>
              <w:pStyle w:val="54"/>
              <w:bidi w:val="0"/>
            </w:pPr>
            <w:r>
              <w:rPr>
                <w:rFonts w:hint="eastAsia"/>
              </w:rPr>
              <w:t>机械加工车间</w:t>
            </w:r>
          </w:p>
        </w:tc>
        <w:tc>
          <w:tcPr>
            <w:tcBorders>
              <w:top w:val="nil"/>
              <w:left w:val="nil"/>
              <w:bottom w:val="nil"/>
              <w:right w:val="nil"/>
            </w:tcBorders>
            <w:shd w:val="clear" w:color="auto" w:fill="FFFFFF"/>
          </w:tcPr>
          <w:p w14:paraId="324DE8CB">
            <w:pPr>
              <w:pStyle w:val="54"/>
              <w:bidi w:val="0"/>
            </w:pPr>
            <w:r>
              <w:rPr>
                <w:rFonts w:hint="eastAsia"/>
              </w:rPr>
              <w:t>中</w:t>
            </w:r>
          </w:p>
        </w:tc>
        <w:tc>
          <w:tcPr>
            <w:tcBorders>
              <w:top w:val="nil"/>
              <w:left w:val="nil"/>
              <w:bottom w:val="nil"/>
              <w:right w:val="nil"/>
            </w:tcBorders>
            <w:shd w:val="clear" w:color="auto" w:fill="FFFFFF"/>
          </w:tcPr>
          <w:p w14:paraId="3582D24F">
            <w:pPr>
              <w:pStyle w:val="54"/>
              <w:bidi w:val="0"/>
            </w:pPr>
            <w:r>
              <w:t>115–155</w:t>
            </w:r>
          </w:p>
        </w:tc>
        <w:tc>
          <w:tcPr>
            <w:tcBorders>
              <w:top w:val="nil"/>
              <w:left w:val="nil"/>
              <w:bottom w:val="nil"/>
              <w:right w:val="nil"/>
            </w:tcBorders>
            <w:shd w:val="clear" w:color="auto" w:fill="FFFFFF"/>
          </w:tcPr>
          <w:p w14:paraId="4C5E7C0F">
            <w:pPr>
              <w:pStyle w:val="54"/>
              <w:bidi w:val="0"/>
            </w:pPr>
            <w:r>
              <w:t>60–82</w:t>
            </w:r>
          </w:p>
        </w:tc>
        <w:tc>
          <w:tcPr>
            <w:tcBorders>
              <w:top w:val="nil"/>
              <w:left w:val="nil"/>
              <w:bottom w:val="nil"/>
              <w:right w:val="nil"/>
            </w:tcBorders>
            <w:shd w:val="clear" w:color="auto" w:fill="FFFFFF"/>
          </w:tcPr>
          <w:p w14:paraId="5E327ACC">
            <w:pPr>
              <w:pStyle w:val="54"/>
              <w:bidi w:val="0"/>
            </w:pPr>
            <w:r>
              <w:t>8–9</w:t>
            </w:r>
          </w:p>
        </w:tc>
        <w:tc>
          <w:tcPr>
            <w:tcBorders>
              <w:top w:val="nil"/>
              <w:left w:val="nil"/>
              <w:bottom w:val="nil"/>
              <w:right w:val="nil"/>
            </w:tcBorders>
            <w:shd w:val="clear" w:color="auto" w:fill="FFFFFF"/>
          </w:tcPr>
          <w:p w14:paraId="3092652D">
            <w:pPr>
              <w:pStyle w:val="54"/>
              <w:bidi w:val="0"/>
            </w:pPr>
            <w:r>
              <w:t>135×70×8</w:t>
            </w:r>
          </w:p>
        </w:tc>
        <w:tc>
          <w:tcPr>
            <w:tcBorders>
              <w:top w:val="nil"/>
              <w:left w:val="nil"/>
              <w:bottom w:val="nil"/>
              <w:right w:val="nil"/>
            </w:tcBorders>
            <w:shd w:val="clear" w:color="auto" w:fill="FFFFFF"/>
          </w:tcPr>
          <w:p w14:paraId="7E715B01">
            <w:pPr>
              <w:pStyle w:val="54"/>
              <w:bidi w:val="0"/>
            </w:pPr>
            <w:r>
              <w:t>1</w:t>
            </w:r>
          </w:p>
        </w:tc>
      </w:tr>
      <w:tr w14:paraId="3D8A6460">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564BC539">
            <w:pPr>
              <w:pStyle w:val="54"/>
              <w:bidi w:val="0"/>
            </w:pPr>
            <w:r>
              <w:rPr>
                <w:rFonts w:hint="eastAsia"/>
              </w:rPr>
              <w:t>机械加工车间</w:t>
            </w:r>
          </w:p>
        </w:tc>
        <w:tc>
          <w:tcPr>
            <w:tcBorders>
              <w:top w:val="nil"/>
              <w:left w:val="nil"/>
              <w:bottom w:val="single" w:color="000000" w:sz="12" w:space="0"/>
              <w:right w:val="nil"/>
            </w:tcBorders>
            <w:shd w:val="clear" w:color="auto" w:fill="FFFFFF"/>
          </w:tcPr>
          <w:p w14:paraId="22CDE34E">
            <w:pPr>
              <w:pStyle w:val="54"/>
              <w:bidi w:val="0"/>
            </w:pPr>
            <w:r>
              <w:rPr>
                <w:rFonts w:hint="eastAsia"/>
              </w:rPr>
              <w:t>大</w:t>
            </w:r>
          </w:p>
        </w:tc>
        <w:tc>
          <w:tcPr>
            <w:tcBorders>
              <w:top w:val="nil"/>
              <w:left w:val="nil"/>
              <w:bottom w:val="single" w:color="000000" w:sz="12" w:space="0"/>
              <w:right w:val="nil"/>
            </w:tcBorders>
            <w:shd w:val="clear" w:color="auto" w:fill="FFFFFF"/>
          </w:tcPr>
          <w:p w14:paraId="548D4B52">
            <w:pPr>
              <w:pStyle w:val="54"/>
              <w:bidi w:val="0"/>
            </w:pPr>
            <w:r>
              <w:rPr>
                <w:rFonts w:hint="eastAsia"/>
                <w:lang w:val="en-US" w:eastAsia="zh-CN"/>
              </w:rPr>
              <w:t>&gt;</w:t>
            </w:r>
            <w:r>
              <w:t>155</w:t>
            </w:r>
          </w:p>
        </w:tc>
        <w:tc>
          <w:tcPr>
            <w:tcBorders>
              <w:top w:val="nil"/>
              <w:left w:val="nil"/>
              <w:bottom w:val="single" w:color="000000" w:sz="12" w:space="0"/>
              <w:right w:val="nil"/>
            </w:tcBorders>
            <w:shd w:val="clear" w:color="auto" w:fill="FFFFFF"/>
          </w:tcPr>
          <w:p w14:paraId="5D0D1F18">
            <w:pPr>
              <w:pStyle w:val="54"/>
              <w:bidi w:val="0"/>
            </w:pPr>
            <w:r>
              <w:rPr>
                <w:rFonts w:hint="eastAsia"/>
                <w:lang w:val="en-US" w:eastAsia="zh-CN"/>
              </w:rPr>
              <w:t>&gt;</w:t>
            </w:r>
            <w:r>
              <w:t>82</w:t>
            </w:r>
          </w:p>
        </w:tc>
        <w:tc>
          <w:tcPr>
            <w:tcBorders>
              <w:top w:val="nil"/>
              <w:left w:val="nil"/>
              <w:bottom w:val="single" w:color="000000" w:sz="12" w:space="0"/>
              <w:right w:val="nil"/>
            </w:tcBorders>
            <w:shd w:val="clear" w:color="auto" w:fill="FFFFFF"/>
          </w:tcPr>
          <w:p w14:paraId="0F03F491">
            <w:pPr>
              <w:pStyle w:val="54"/>
              <w:bidi w:val="0"/>
            </w:pPr>
            <w:r>
              <w:rPr>
                <w:rFonts w:hint="eastAsia"/>
                <w:lang w:val="en-US" w:eastAsia="zh-CN"/>
              </w:rPr>
              <w:t>&gt;</w:t>
            </w:r>
            <w:r>
              <w:t>9</w:t>
            </w:r>
          </w:p>
        </w:tc>
        <w:tc>
          <w:tcPr>
            <w:tcBorders>
              <w:top w:val="nil"/>
              <w:left w:val="nil"/>
              <w:bottom w:val="single" w:color="000000" w:sz="12" w:space="0"/>
              <w:right w:val="nil"/>
            </w:tcBorders>
            <w:shd w:val="clear" w:color="auto" w:fill="FFFFFF"/>
          </w:tcPr>
          <w:p w14:paraId="6593FAC6">
            <w:pPr>
              <w:pStyle w:val="54"/>
              <w:bidi w:val="0"/>
            </w:pPr>
            <w:r>
              <w:t>180×95×9</w:t>
            </w:r>
          </w:p>
        </w:tc>
        <w:tc>
          <w:tcPr>
            <w:tcBorders>
              <w:top w:val="nil"/>
              <w:left w:val="nil"/>
              <w:bottom w:val="single" w:color="000000" w:sz="12" w:space="0"/>
              <w:right w:val="nil"/>
            </w:tcBorders>
            <w:shd w:val="clear" w:color="auto" w:fill="FFFFFF"/>
          </w:tcPr>
          <w:p w14:paraId="3F0D9DBD">
            <w:pPr>
              <w:pStyle w:val="54"/>
              <w:bidi w:val="0"/>
            </w:pPr>
            <w:r>
              <w:t>1</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从规模分级看，总装车间跨度最大，反映整机装配对连续大空间和物流开口的需求；部装车间以装配工位和局部生产单元为主，尺度相对紧凑；机械加工车间介于两者之间，以机床密集布置为主要特征。三种功能空间在大、中、小三个尺度下均保持单层大跨结构，高度随规模小幅增加，体现了厂房在满足生产净空前提下向水平方向扩展的典型形态。模拟代表值即各规模档在 FDS 建模中实际采用的长宽高，相邻档位之间以代表值中点划分边界。</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443"/>
      <w:r>
        <w:rPr>
          <w:rStyle w:val="23"/>
          <w:rFonts w:hint="default" w:ascii="Times New Roman" w:hAnsi="Times New Roman" w:cs="Times New Roman"/>
          <w:b/>
          <w:szCs w:val="28"/>
          <w:lang w:val="en-US" w:eastAsia="zh-CN"/>
        </w:rPr>
        <w:t>工况覆盖</w:t>
      </w:r>
      <w:bookmarkEnd w:id="9"/>
    </w:p>
    <w:p w14:paraId="09E42A79">
      <w:pPr>
        <w:rPr>
          <w:rFonts w:hint="eastAsia" w:ascii="Times New Roman" w:hAnsi="Times New Roman" w:cs="Times New Roman"/>
          <w:lang w:val="en-US" w:eastAsia="zh-CN"/>
        </w:rPr>
      </w:pPr>
      <w:r>
        <w:rPr>
          <w:rFonts w:hint="eastAsia" w:ascii="Times New Roman" w:hAnsi="Times New Roman" w:cs="Times New Roman"/>
          <w:lang w:val="en-US" w:eastAsia="zh-CN"/>
        </w:rPr>
        <w:t>机械制造设施工况统一覆盖热通量、方位角、俯仰角和辐射持续时间四类热源条件。全部机械制造数据综合覆盖 500～20000 kW/m²热通量，主要方位角为 0°、90°、180°和 270°，俯仰角为 0°、30°、45°和 60°，辐射持续时间为 1.36 s、2.10 s 和 7.50 s。三个持续时间分别包含 242、243 和 273 条合格工况，可用于比较不同短时热作用条件下的毁伤响应。</w:t>
      </w:r>
    </w:p>
    <w:p w14:paraId="6946762D">
      <w:pPr>
        <w:rPr>
          <w:rFonts w:hint="default" w:ascii="Times New Roman" w:hAnsi="Times New Roman" w:cs="Times New Roman"/>
          <w:lang w:val="en-US" w:eastAsia="zh-CN"/>
        </w:rPr>
      </w:pPr>
      <w:r>
        <w:rPr>
          <w:rFonts w:hint="eastAsia" w:ascii="Times New Roman" w:hAnsi="Times New Roman" w:cs="Times New Roman"/>
          <w:lang w:val="en-US" w:eastAsia="zh-CN"/>
        </w:rPr>
        <w:t>设施计算域、开口与敏感目标采用各自 FDS 模型中的实际参数。工况组合在统一规则下组织，使模型能够学习热源条件与设施工程特征之间的耦合作用，同时保持特异设施模型和等效设施模型的数据表达一致。</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32698"/>
      <w:r>
        <w:rPr>
          <w:rFonts w:hint="eastAsia"/>
        </w:rPr>
        <w:t>设施构型与目标特征覆盖</w:t>
      </w:r>
      <w:bookmarkEnd w:id="10"/>
    </w:p>
    <w:p w14:paraId="47DB4138">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机械制造设施中的可燃物与敏感目标具有明显的工艺聚集性。切削和磨削区域关注切削液、润滑油、液压油、油雾及金属粉尘，装配和总装区域关注电缆、塑料和橡胶部件、包装材料、涂装或清洗用液体以及局部气瓶和供气装置；机床、机器人、数控系统、配电柜和生产线控制单元则属于高价值敏感目标。不同物料的燃烧、挥发或粉尘风险并不直接构成新的模型变量，而是用于解释实际 FDS 模型中目标布置和方向响应的差异。</w:t>
      </w:r>
    </w:p>
    <w:p w14:paraId="378CA83F">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上述信息统一归并到当前特征体系：热通量、持续时间和入射方向归入热源工况特征；厂房尺度、迎火侧墙面、门窗和总开口比例，以及可燃物与敏感目标的密度及迎火侧比例统一归入设施构型及目标特征。设施类别通过"每设施一个模型"的结构体现，不作为独立输入特征，也不恢复旧式材料权重或旧模型输入。</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设施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071"/>
        <w:gridCol w:w="2071"/>
        <w:gridCol w:w="2308"/>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215" w:type="pct"/>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215" w:type="pct"/>
            <w:tcBorders>
              <w:top w:val="single" w:color="000000" w:sz="12" w:space="0"/>
              <w:left w:val="nil"/>
              <w:bottom w:val="single" w:color="000000" w:sz="4" w:space="0"/>
              <w:right w:val="nil"/>
            </w:tcBorders>
            <w:shd w:val="clear" w:color="auto" w:fill="FFFFFF"/>
          </w:tcPr>
          <w:p w14:paraId="1163E685">
            <w:pPr>
              <w:pStyle w:val="54"/>
              <w:bidi w:val="0"/>
              <w:rPr>
                <w:rFonts w:hint="eastAsia"/>
                <w:lang w:eastAsia="zh-CN"/>
              </w:rPr>
            </w:pPr>
            <w:r>
              <w:rPr>
                <w:rFonts w:hint="eastAsia"/>
                <w:lang w:val="en-US" w:eastAsia="zh-CN"/>
              </w:rPr>
              <w:t>工况数</w:t>
            </w:r>
          </w:p>
        </w:tc>
        <w:tc>
          <w:tcPr>
            <w:tcW w:w="1354" w:type="pct"/>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215" w:type="pct"/>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Dk &lt; 0.04</w:t>
            </w:r>
          </w:p>
        </w:tc>
        <w:tc>
          <w:tcPr>
            <w:tcW w:w="1215" w:type="pct"/>
            <w:tcBorders>
              <w:top w:val="single" w:color="000000" w:sz="4" w:space="0"/>
              <w:left w:val="nil"/>
              <w:bottom w:val="nil"/>
              <w:right w:val="nil"/>
            </w:tcBorders>
            <w:shd w:val="clear" w:color="auto" w:fill="FFFFFF"/>
            <w:vAlign w:val="top"/>
          </w:tcPr>
          <w:p>
            <w:r>
              <w:t>809</w:t>
            </w:r>
          </w:p>
        </w:tc>
        <w:tc>
          <w:tcPr>
            <w:tcW w:w="1354" w:type="pct"/>
            <w:tcBorders>
              <w:top w:val="single" w:color="000000" w:sz="4" w:space="0"/>
              <w:left w:val="nil"/>
              <w:bottom w:val="nil"/>
              <w:right w:val="nil"/>
            </w:tcBorders>
            <w:shd w:val="clear" w:color="auto" w:fill="FFFFFF"/>
            <w:vAlign w:val="top"/>
          </w:tcPr>
          <w:p>
            <w:r>
              <w:t>78.39%</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215" w:type="pct"/>
            <w:tcBorders>
              <w:top w:val="nil"/>
              <w:left w:val="nil"/>
              <w:bottom w:val="nil"/>
              <w:right w:val="nil"/>
            </w:tcBorders>
            <w:shd w:val="clear" w:color="auto" w:fill="FFFFFF"/>
          </w:tcPr>
          <w:p w14:paraId="225E7AAF">
            <w:pPr>
              <w:pStyle w:val="54"/>
              <w:bidi w:val="0"/>
              <w:rPr>
                <w:rFonts w:hint="default"/>
              </w:rPr>
            </w:pPr>
            <w:r>
              <w:rPr>
                <w:rFonts w:hint="default"/>
              </w:rPr>
              <w:t>0.04 &lt;= Dk &lt; 0.10</w:t>
            </w:r>
          </w:p>
        </w:tc>
        <w:tc>
          <w:tcPr>
            <w:tcW w:w="1215" w:type="pct"/>
            <w:tcBorders>
              <w:top w:val="nil"/>
              <w:left w:val="nil"/>
              <w:bottom w:val="nil"/>
              <w:right w:val="nil"/>
            </w:tcBorders>
            <w:shd w:val="clear" w:color="auto" w:fill="FFFFFF"/>
            <w:vAlign w:val="top"/>
          </w:tcPr>
          <w:p>
            <w:r>
              <w:t>78</w:t>
            </w:r>
          </w:p>
        </w:tc>
        <w:tc>
          <w:tcPr>
            <w:tcW w:w="1354" w:type="pct"/>
            <w:tcBorders>
              <w:top w:val="nil"/>
              <w:left w:val="nil"/>
              <w:bottom w:val="nil"/>
              <w:right w:val="nil"/>
            </w:tcBorders>
            <w:shd w:val="clear" w:color="auto" w:fill="FFFFFF"/>
            <w:vAlign w:val="top"/>
          </w:tcPr>
          <w:p>
            <w:r>
              <w:t>7.56%</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5" w:type="pct"/>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215" w:type="pct"/>
            <w:tcBorders>
              <w:top w:val="nil"/>
              <w:left w:val="nil"/>
              <w:bottom w:val="nil"/>
              <w:right w:val="nil"/>
            </w:tcBorders>
            <w:shd w:val="clear" w:color="auto" w:fill="FFFFFF"/>
          </w:tcPr>
          <w:p w14:paraId="3F4CB289">
            <w:pPr>
              <w:pStyle w:val="54"/>
              <w:bidi w:val="0"/>
              <w:rPr>
                <w:rFonts w:hint="default"/>
              </w:rPr>
            </w:pPr>
            <w:r>
              <w:rPr>
                <w:rFonts w:hint="default"/>
              </w:rPr>
              <w:t>0.10 &lt;= Dk &lt; 0.40</w:t>
            </w:r>
          </w:p>
        </w:tc>
        <w:tc>
          <w:tcPr>
            <w:tcW w:w="1215" w:type="pct"/>
            <w:tcBorders>
              <w:top w:val="nil"/>
              <w:left w:val="nil"/>
              <w:bottom w:val="nil"/>
              <w:right w:val="nil"/>
            </w:tcBorders>
            <w:shd w:val="clear" w:color="auto" w:fill="FFFFFF"/>
            <w:vAlign w:val="top"/>
          </w:tcPr>
          <w:p>
            <w:r>
              <w:t>76</w:t>
            </w:r>
          </w:p>
        </w:tc>
        <w:tc>
          <w:tcPr>
            <w:tcW w:w="1354" w:type="pct"/>
            <w:tcBorders>
              <w:top w:val="nil"/>
              <w:left w:val="nil"/>
              <w:bottom w:val="nil"/>
              <w:right w:val="nil"/>
            </w:tcBorders>
            <w:shd w:val="clear" w:color="auto" w:fill="FFFFFF"/>
            <w:vAlign w:val="top"/>
          </w:tcPr>
          <w:p>
            <w:r>
              <w:t>7.36%</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215" w:type="pct"/>
            <w:tcBorders>
              <w:top w:val="nil"/>
              <w:left w:val="nil"/>
              <w:bottom w:val="nil"/>
              <w:right w:val="nil"/>
            </w:tcBorders>
            <w:shd w:val="clear" w:color="auto" w:fill="FFFFFF"/>
          </w:tcPr>
          <w:p w14:paraId="5FE32770">
            <w:pPr>
              <w:pStyle w:val="54"/>
              <w:bidi w:val="0"/>
              <w:rPr>
                <w:rFonts w:hint="default"/>
              </w:rPr>
            </w:pPr>
            <w:r>
              <w:rPr>
                <w:rFonts w:hint="default"/>
              </w:rPr>
              <w:t>0.40 &lt;= Dk &lt;= 1.00</w:t>
            </w:r>
          </w:p>
        </w:tc>
        <w:tc>
          <w:tcPr>
            <w:tcW w:w="1215" w:type="pct"/>
            <w:tcBorders>
              <w:top w:val="nil"/>
              <w:left w:val="nil"/>
              <w:bottom w:val="nil"/>
              <w:right w:val="nil"/>
            </w:tcBorders>
            <w:shd w:val="clear" w:color="auto" w:fill="FFFFFF"/>
            <w:vAlign w:val="top"/>
          </w:tcPr>
          <w:p>
            <w:r>
              <w:t>69</w:t>
            </w:r>
          </w:p>
        </w:tc>
        <w:tc>
          <w:tcPr>
            <w:tcW w:w="1354" w:type="pct"/>
            <w:tcBorders>
              <w:top w:val="nil"/>
              <w:left w:val="nil"/>
              <w:bottom w:val="nil"/>
              <w:right w:val="nil"/>
            </w:tcBorders>
            <w:shd w:val="clear" w:color="auto" w:fill="FFFFFF"/>
            <w:vAlign w:val="top"/>
          </w:tcPr>
          <w:p>
            <w:r>
              <w:t>6.69%</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215" w:type="pct"/>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1215" w:type="pct"/>
            <w:tcBorders>
              <w:top w:val="nil"/>
              <w:left w:val="nil"/>
              <w:bottom w:val="single" w:color="000000" w:sz="12" w:space="0"/>
              <w:right w:val="nil"/>
            </w:tcBorders>
            <w:shd w:val="clear" w:color="auto" w:fill="FFFFFF"/>
            <w:vAlign w:val="top"/>
          </w:tcPr>
          <w:p>
            <w:r>
              <w:t>1032</w:t>
            </w:r>
          </w:p>
        </w:tc>
        <w:tc>
          <w:tcPr>
            <w:tcW w:w="1354" w:type="pct"/>
            <w:tcBorders>
              <w:top w:val="nil"/>
              <w:left w:val="nil"/>
              <w:bottom w:val="single" w:color="000000" w:sz="12" w:space="0"/>
              <w:right w:val="nil"/>
            </w:tcBorders>
            <w:shd w:val="clear" w:color="auto" w:fill="FFFFFF"/>
            <w:vAlign w:val="top"/>
          </w:tcPr>
          <w:p>
            <w:r>
              <w:t>100.00%</w:t>
            </w:r>
          </w:p>
        </w:tc>
      </w:tr>
    </w:tbl>
    <w:p w14:paraId="02E92AAB">
      <w:pPr>
        <w:spacing w:line="312" w:lineRule="auto"/>
        <w:ind w:firstLine="480" w:firstLineChars="200"/>
        <w:rPr>
          <w:rFonts w:hint="default" w:ascii="Times New Roman" w:hAnsi="Times New Roman" w:cs="Times New Roman"/>
          <w:sz w:val="24"/>
          <w:szCs w:val="24"/>
        </w:rPr>
      </w:pPr>
    </w:p>
    <w:p w14:paraId="546FBD59">
      <w:pPr>
        <w:spacing w:line="312" w:lineRule="auto"/>
        <w:ind w:firstLine="480" w:firstLineChars="200"/>
        <w:rPr>
          <w:rFonts w:hint="eastAsia"/>
        </w:rPr>
      </w:pPr>
      <w:r>
        <w:rPr>
          <w:rFonts w:hint="eastAsia"/>
        </w:rPr>
        <w:t>机械制造数据以基本完好工况为主，同时保留了轻微、中等和严重破坏样本。严重破坏主要集中于特定设施及不利方向，轻微和中等破坏位于较窄的等级区间。模型分类任务采用类别平衡方式训练，使各毁伤等级在树节点划分中获得适当权重。</w:t>
      </w:r>
    </w:p>
    <w:p w14:paraId="646B1CD1">
      <w:r>
        <w:rPr>
          <w:rFonts w:hint="eastAsia"/>
        </w:rPr>
        <w:t>基本完好表示设施整体</w:t>
      </w:r>
      <w:r>
        <w:t xml:space="preserve"> Dk </w:t>
      </w:r>
      <w:r>
        <w:rPr>
          <w:rFonts w:hint="eastAsia"/>
        </w:rPr>
        <w:t>未达到</w:t>
      </w:r>
      <w:r>
        <w:t xml:space="preserve"> </w:t>
      </w:r>
      <w:r>
        <w:rPr>
          <w:rFonts w:hint="eastAsia"/>
        </w:rPr>
        <w:t>0.04，不代表每一项设备都没有温升或局部维修费用。围护结构、受热距离、开口方向和遮挡可能使资产实际受热低于名义入射热通量；短时热脉冲也可能不足以使厚重机床、钢制设备或受保护控制单元达到有效损伤条件。对于资产价值基数较大的设施，少量局部损伤经价值加权后仍可能保持较低</w:t>
      </w:r>
      <w:r>
        <w:t xml:space="preserve"> Dk。</w:t>
      </w:r>
    </w:p>
    <w:p w14:paraId="5B45782C">
      <w:pPr>
        <w:spacing w:line="312" w:lineRule="auto"/>
        <w:ind w:firstLine="480" w:firstLineChars="200"/>
        <w:rPr>
          <w:rFonts w:hint="default"/>
        </w:rPr>
      </w:pPr>
      <w:r>
        <w:rPr>
          <w:rFonts w:hint="eastAsia"/>
        </w:rPr>
        <w:t>这一特征在弗莱马斯特总装设施、格里森切削工具设施、哈比森-费希尔部装设施和大型机械制造等效设施中较为明显。四者合格工况的最大</w:t>
      </w:r>
      <w:r>
        <w:t xml:space="preserve"> Dk </w:t>
      </w:r>
      <w:r>
        <w:rPr>
          <w:rFonts w:hint="eastAsia"/>
        </w:rPr>
        <w:t>分别约为</w:t>
      </w:r>
      <w:r>
        <w:t xml:space="preserve"> 0.028742、0.001864、0.003845 </w:t>
      </w:r>
      <w:r>
        <w:rPr>
          <w:rFonts w:hint="eastAsia"/>
        </w:rPr>
        <w:t>和</w:t>
      </w:r>
      <w:r>
        <w:t xml:space="preserve"> </w:t>
      </w:r>
      <w:r>
        <w:rPr>
          <w:rFonts w:hint="eastAsia"/>
        </w:rPr>
        <w:t>0.037740，均低于轻微破坏阈值。该结果说明现有观测条件下损伤主要局限于少量局部资产或受到围护衰减，而不是说明这些设施在任意热辐射条件下均不会受损。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6520"/>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22976"/>
      <w:r>
        <w:rPr>
          <w:rFonts w:hint="default" w:ascii="Times New Roman" w:hAnsi="Times New Roman" w:cs="Times New Roman"/>
          <w:lang w:val="en-US" w:eastAsia="zh-CN"/>
        </w:rPr>
        <w:t>特征分类</w:t>
      </w:r>
      <w:bookmarkEnd w:id="12"/>
    </w:p>
    <w:p w14:paraId="47478AAB">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毁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2215C9D6">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4CA5E291">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w:t>
      </w:r>
      <w:r>
        <w:rPr>
          <w:rFonts w:hint="default" w:ascii="Times New Roman" w:hAnsi="Times New Roman" w:cs="Times New Roman"/>
          <w:vertAlign w:val="subscript"/>
        </w:rPr>
        <w:t>k</w:t>
      </w:r>
      <w:r>
        <w:rPr>
          <w:rFonts w:hint="default" w:ascii="Times New Roman" w:hAnsi="Times New Roman" w:cs="Times New Roman"/>
        </w:rPr>
        <w:t xml:space="preserve">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毁伤变化。两者结合，使模型能够在统一的特征空间内表达"外部能量输入—围护衰减—目标暴露—价值加权损伤"的完整响应链。</w:t>
      </w:r>
    </w:p>
    <w:p w14:paraId="1E1529D7">
      <w:pPr>
        <w:rPr>
          <w:rFonts w:hint="default" w:ascii="Times New Roman" w:hAnsi="Times New Roman" w:cs="Times New Roman"/>
        </w:rPr>
      </w:pPr>
    </w:p>
    <w:p w14:paraId="39808CD4">
      <w:pPr>
        <w:pStyle w:val="3"/>
        <w:rPr>
          <w:rFonts w:hint="default" w:ascii="Times New Roman" w:hAnsi="Times New Roman" w:cs="Times New Roman"/>
        </w:rPr>
      </w:pPr>
      <w:bookmarkStart w:id="13" w:name="_Toc22101"/>
      <w:r>
        <w:rPr>
          <w:rFonts w:hint="default" w:ascii="Times New Roman" w:hAnsi="Times New Roman" w:cs="Times New Roman"/>
          <w:lang w:val="en-US" w:eastAsia="zh-CN"/>
        </w:rPr>
        <w:t>特征处理</w:t>
      </w:r>
      <w:bookmarkEnd w:id="13"/>
    </w:p>
    <w:p w14:paraId="1378EA3B">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62661702">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毁伤程度。</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13947"/>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分析逐设施模型在机械制造设施上的实际使用特征，在五折交叉验证框架下进行重复置换重要性分析：对某个输入特征，在各折测试集上随机打乱该特征取值后重新预测，记录等级准确率的下降量。下降量越大，说明模型在该类设施上对该特征越敏感。该分析只针对所有机械制造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54" name="Picture" descr="图 1 机械制造设施专项因素置换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图 1 机械制造设施专项因素置换重要性"/>
                    <pic:cNvPicPr>
                      <a:picLocks noChangeAspect="1" noChangeArrowheads="1"/>
                    </pic:cNvPicPr>
                  </pic:nvPicPr>
                  <pic:blipFill>
                    <a:blip r:embed="rId15"/>
                    <a:stretch>
                      <a:fillRect/>
                    </a:stretch>
                  </pic:blipFill>
                  <pic:spPr>
                    <a:xfrm>
                      <a:off x="0" y="0"/>
                      <a:ext cx="5270500" cy="3220861"/>
                    </a:xfrm>
                    <a:prstGeom prst="rect">
                      <a:avLst/>
                    </a:prstGeom>
                    <a:noFill/>
                    <a:ln w="9525">
                      <a:noFill/>
                    </a:ln>
                  </pic:spPr>
                </pic:pic>
              </a:graphicData>
            </a:graphic>
          </wp:inline>
        </w:drawing>
      </w:r>
    </w:p>
    <w:p w14:paraId="1FFD284D">
      <w:pPr>
        <w:pStyle w:val="16"/>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与主要工程因素及其阈值影响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热通量（对数）</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0.0158</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热剂量（对数）</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0.0116</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俯仰角</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0.0111</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0.0102</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迎火侧可燃物/敏感目标比例</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0.0065</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方位角正弦项</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0.0062</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0.0060</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迎火侧墙面面积（对数）</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0.0057</w:t>
            </w:r>
          </w:p>
        </w:tc>
      </w:tr>
    </w:tbl>
    <w:p w14:paraId="14244ABD">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热通量、热剂量与俯仰角是机械制造设施等级判断最主要的驱动因素：热通量直接控制毁伤水平，热剂量体现持续时间累积，俯仰角则决定辐射作用于墙面、屋面还是生产设备。方位角通过迎火侧墙面与开口比例改变方向响应，可燃物/敏感目标比例则反映高价值设备暴露程度。这些结果表明，机械制造等级判断不能仅按热通量排序，还需要结合入射角度、开口路径和迎火侧设备比例进行解释。除上述共用特征外，个别设施（如小型机械制造等效设施）还补充了开口热剂量、辐射热剂量等扩展特征，以刻画其特有的开口受热路径。</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10694"/>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5215"/>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18450"/>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m:oMathPara>
        <m:oMath>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m:oMathPara>
    </w:p>
    <w:p w14:paraId="77A0F4DD">
      <w:pPr>
        <w:rPr>
          <w:rFonts w:hint="default" w:ascii="Times New Roman" w:hAnsi="Times New Roman" w:cs="Times New Roman"/>
        </w:rPr>
      </w:pPr>
      <w:r>
        <w:rPr>
          <w:rFonts w:hint="default" w:ascii="Times New Roman" w:hAnsi="Times New Roman" w:cs="Times New Roman"/>
        </w:rPr>
        <w:t>其中，</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oMath>
      <w:r>
        <w:rPr>
          <w:rFonts w:hint="default" w:ascii="Times New Roman" w:hAnsi="Times New Roman" w:cs="Times New Roman"/>
        </w:rPr>
        <w:t xml:space="preserve"> 为热源特征，</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oMath>
      <w:r>
        <w:rPr>
          <w:rFonts w:hint="default" w:ascii="Times New Roman" w:hAnsi="Times New Roman" w:cs="Times New Roman"/>
        </w:rPr>
        <w:t xml:space="preserve"> 为建筑特征（包括设施类别），</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oMath>
      <w:r>
        <w:rPr>
          <w:rFonts w:hint="default" w:ascii="Times New Roman" w:hAnsi="Times New Roman" w:cs="Times New Roman"/>
        </w:rPr>
        <w:t xml:space="preserve"> 为可燃物与敏感目标特征。对于包含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棵树的回归森林，第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棵树的输出记为 </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m:oMathPara>
        <m:oMath>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T</m:t>
              </m:r>
              <m:ctrlPr>
                <w:rPr>
                  <w:rFonts w:hint="default" w:ascii="Cambria Math" w:hAnsi="Cambria Math" w:cs="Times New Roman"/>
                  <w:sz w:val="24"/>
                  <w:u w:val="none"/>
                </w:rPr>
              </m:ctrlPr>
            </m:den>
          </m:f>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ctrlPr>
                <w:rPr>
                  <w:rFonts w:hint="default" w:ascii="Cambria Math" w:hAnsi="Cambria Math" w:cs="Times New Roman"/>
                  <w:sz w:val="24"/>
                  <w:u w:val="none"/>
                </w:rPr>
              </m:ctrlPr>
            </m:e>
          </m:nary>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m: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20400"/>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棵分类树的输出记为 </w:t>
      </w:r>
      <m:oMath>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m:oMathPara>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rPr>
                <w:rPr>
                  <w:rFonts w:hint="default" w:ascii="Times New Roman" w:hAnsi="Times New Roman" w:cs="Times New Roman"/>
                  <w:i/>
                  <w:sz w:val="24"/>
                  <w:u w:val="none"/>
                </w:rPr>
                <m:t>arg</m:t>
              </m:r>
              <m:ctrlPr>
                <w:rPr>
                  <w:rFonts w:hint="default" w:ascii="Cambria Math" w:hAnsi="Cambria Math" w:cs="Times New Roman"/>
                  <w:sz w:val="24"/>
                  <w:u w:val="none"/>
                </w:rPr>
              </m:ctrlPr>
            </m:fName>
            <m:e>
              <m:func>
                <m:funcPr>
                  <m:ctrlPr>
                    <w:rPr>
                      <w:rFonts w:hint="default" w:ascii="Cambria Math" w:hAnsi="Cambria Math" w:cs="Times New Roman"/>
                      <w:sz w:val="24"/>
                      <w:u w:val="none"/>
                    </w:rPr>
                  </m:ctrlPr>
                </m:funcPr>
                <m:fName>
                  <m:limLow>
                    <m:limLowPr>
                      <m:ctrlPr>
                        <w:rPr>
                          <w:rFonts w:hint="default" w:ascii="Cambria Math" w:hAnsi="Cambria Math" w:cs="Times New Roman"/>
                          <w:sz w:val="24"/>
                          <w:u w:val="none"/>
                        </w:rPr>
                      </m:ctrlPr>
                    </m:limLowPr>
                    <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e>
                    <m:lim>
                      <m:r>
                        <m:rPr>
                          <m:nor/>
                        </m:rPr>
                        <w:rPr>
                          <w:rFonts w:hint="default" w:ascii="Times New Roman" w:hAnsi="Times New Roman" w:cs="Times New Roman"/>
                          <w:i/>
                          <w:sz w:val="24"/>
                          <w:u w:val="none"/>
                        </w:rPr>
                        <m:t>c</m:t>
                      </m:r>
                      <m:r>
                        <m:rPr>
                          <m:nor/>
                          <m:sty m:val="p"/>
                        </m:rPr>
                        <w:rPr>
                          <w:rFonts w:hint="default" w:ascii="Times New Roman" w:hAnsi="Times New Roman" w:cs="Times New Roman"/>
                          <w:b w:val="0"/>
                          <w:i w:val="0"/>
                          <w:sz w:val="24"/>
                          <w:u w:val="none"/>
                        </w:rPr>
                        <m:t>∈{0,1,2,3}</m:t>
                      </m:r>
                      <m:ctrlPr>
                        <w:rPr>
                          <w:rFonts w:hint="default" w:ascii="Cambria Math" w:hAnsi="Cambria Math" w:cs="Times New Roman"/>
                          <w:sz w:val="24"/>
                          <w:u w:val="none"/>
                        </w:rPr>
                      </m:ctrlPr>
                    </m:lim>
                  </m:limLow>
                  <m:ctrlPr>
                    <w:rPr>
                      <w:rFonts w:hint="default" w:ascii="Cambria Math" w:hAnsi="Cambria Math" w:cs="Times New Roman"/>
                      <w:sz w:val="24"/>
                      <w:u w:val="none"/>
                    </w:rPr>
                  </m:ctrlPr>
                </m:fName>
                <m:e>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r>
                        <m:rPr>
                          <m:nor/>
                          <m:sty m:val="b"/>
                        </m:rPr>
                        <w:rPr>
                          <w:rFonts w:hint="default" w:ascii="Times New Roman" w:hAnsi="Times New Roman" w:cs="Times New Roman"/>
                          <w:b/>
                          <w:i w:val="0"/>
                          <w:sz w:val="24"/>
                          <w:u w:val="none"/>
                        </w:rPr>
                        <m:t>1</m:t>
                      </m:r>
                      <m:ctrlPr>
                        <w:rPr>
                          <w:rFonts w:hint="default" w:ascii="Cambria Math" w:hAnsi="Cambria Math" w:cs="Times New Roman"/>
                          <w:sz w:val="24"/>
                          <w:u w:val="none"/>
                        </w:rPr>
                      </m:ctrlPr>
                    </m:e>
                  </m:nary>
                  <m:ctrlPr>
                    <w:rPr>
                      <w:rFonts w:hint="default" w:ascii="Cambria Math" w:hAnsi="Cambria Math" w:cs="Times New Roman"/>
                      <w:i/>
                      <w:sz w:val="24"/>
                      <w:u w:val="none"/>
                    </w:rPr>
                  </m:ctrlPr>
                </m:e>
              </m:func>
              <m:ctrlPr>
                <w:rPr>
                  <w:rFonts w:hint="default" w:ascii="Cambria Math" w:hAnsi="Cambria Math" w:cs="Times New Roman"/>
                  <w:sz w:val="24"/>
                  <w:u w:val="none"/>
                </w:rPr>
              </m:ctrlPr>
            </m:e>
          </m:func>
          <m:d>
            <m:dPr>
              <m:begChr m:val="["/>
              <m:endChr m:val="]"/>
              <m:ctrlPr>
                <w:rPr>
                  <w:rFonts w:hint="default" w:ascii="Cambria Math" w:hAnsi="Cambria Math" w:cs="Times New Roman"/>
                  <w:i/>
                  <w:sz w:val="24"/>
                  <w:u w:val="none"/>
                </w:rPr>
              </m:ctrlPr>
            </m:dPr>
            <m:e>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i/>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i/>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c</m:t>
              </m:r>
              <m:ctrlPr>
                <w:rPr>
                  <w:rFonts w:hint="default" w:ascii="Cambria Math" w:hAnsi="Cambria Math" w:cs="Times New Roman"/>
                  <w:sz w:val="24"/>
                  <w:u w:val="none"/>
                </w:rPr>
              </m:ctrlPr>
            </m:e>
          </m:d>
        </m:oMath>
      </m: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6433"/>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oMath>
      <w:r>
        <w:rPr>
          <w:rFonts w:hint="default" w:ascii="Times New Roman" w:hAnsi="Times New Roman" w:cs="Times New Roman"/>
        </w:rPr>
        <w:t xml:space="preserve"> 对应的 Dk 合法区间为 </w:t>
      </w:r>
      <m:oMath>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，最终连续值为：</w:t>
      </w:r>
    </w:p>
    <w:p w14:paraId="31A2B4B7">
      <w:pPr>
        <w:rPr>
          <w:rFonts w:hint="default" w:ascii="Times New Roman" w:hAnsi="Times New Roman" w:cs="Times New Roman"/>
        </w:rPr>
      </w:pPr>
      <m:oMathPara>
        <m:oMath>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min</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i/>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oMath>
      </m: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674"/>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14:paraId="2041F833">
            <w:pPr>
              <w:pStyle w:val="54"/>
              <w:bidi w:val="0"/>
              <w:rPr>
                <w:rFonts w:hint="default"/>
              </w:rPr>
            </w:pPr>
            <w:r>
              <w:t>95.7657%</w:t>
            </w:r>
          </w:p>
        </w:tc>
        <w:tc>
          <w:tcPr>
            <w:tcW w:w="2769" w:type="dxa"/>
            <w:tcBorders>
              <w:top w:val="single" w:color="000000" w:sz="4" w:space="0"/>
              <w:left w:val="nil"/>
              <w:bottom w:val="nil"/>
              <w:right w:val="nil"/>
            </w:tcBorders>
            <w:shd w:val="clear" w:color="auto" w:fill="FFFFFF"/>
            <w:vAlign w:val="top"/>
          </w:tcPr>
          <w:p w14:paraId="470C2683">
            <w:pPr>
              <w:pStyle w:val="54"/>
              <w:bidi w:val="0"/>
              <w:rPr>
                <w:rFonts w:hint="default"/>
              </w:rPr>
            </w:pPr>
            <w:r>
              <w:t>—</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14:paraId="2E6A2F46">
            <w:pPr>
              <w:pStyle w:val="54"/>
              <w:bidi w:val="0"/>
              <w:rPr>
                <w:rFonts w:hint="default"/>
              </w:rPr>
            </w:pPr>
            <w:r>
              <w:t>95.6561%</w:t>
            </w:r>
          </w:p>
        </w:tc>
        <w:tc>
          <w:tcPr>
            <w:tcW w:w="2769" w:type="dxa"/>
            <w:tcBorders>
              <w:top w:val="nil"/>
              <w:left w:val="nil"/>
              <w:bottom w:val="nil"/>
              <w:right w:val="nil"/>
            </w:tcBorders>
            <w:shd w:val="clear" w:color="auto" w:fill="FFFFFF"/>
            <w:vAlign w:val="top"/>
          </w:tcPr>
          <w:p w14:paraId="2C67C5A0">
            <w:pPr>
              <w:pStyle w:val="54"/>
              <w:bidi w:val="0"/>
              <w:rPr>
                <w:rFonts w:hint="default"/>
              </w:rPr>
            </w:pPr>
            <w:r>
              <w:t>95.2555%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14:paraId="5B2D0C6E">
            <w:pPr>
              <w:pStyle w:val="54"/>
              <w:bidi w:val="0"/>
              <w:rPr>
                <w:rFonts w:hint="default"/>
              </w:rPr>
            </w:pPr>
            <w:r>
              <w:t>95.7657%</w:t>
            </w:r>
          </w:p>
        </w:tc>
        <w:tc>
          <w:tcPr>
            <w:tcW w:w="2769" w:type="dxa"/>
            <w:tcBorders>
              <w:top w:val="nil"/>
              <w:left w:val="nil"/>
              <w:bottom w:val="nil"/>
              <w:right w:val="nil"/>
            </w:tcBorders>
            <w:shd w:val="clear" w:color="auto" w:fill="FFFFFF"/>
            <w:vAlign w:val="top"/>
          </w:tcPr>
          <w:p w14:paraId="6CD39108">
            <w:pPr>
              <w:pStyle w:val="54"/>
              <w:bidi w:val="0"/>
              <w:rPr>
                <w:rFonts w:hint="default"/>
              </w:rPr>
            </w:pPr>
            <w:r>
              <w:t>95.5292%</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14:paraId="52509856">
            <w:pPr>
              <w:pStyle w:val="54"/>
              <w:bidi w:val="0"/>
              <w:rPr>
                <w:rFonts w:hint="default"/>
              </w:rPr>
            </w:pPr>
            <w:r>
              <w:t>95.8204%</w:t>
            </w:r>
          </w:p>
        </w:tc>
        <w:tc>
          <w:tcPr>
            <w:tcW w:w="2769" w:type="dxa"/>
            <w:tcBorders>
              <w:top w:val="nil"/>
              <w:left w:val="nil"/>
              <w:bottom w:val="nil"/>
              <w:right w:val="nil"/>
            </w:tcBorders>
            <w:shd w:val="clear" w:color="auto" w:fill="FFFFFF"/>
            <w:vAlign w:val="top"/>
          </w:tcPr>
          <w:p w14:paraId="63F3CB8B">
            <w:pPr>
              <w:pStyle w:val="54"/>
              <w:bidi w:val="0"/>
              <w:rPr>
                <w:rFonts w:hint="default"/>
              </w:rPr>
            </w:pPr>
            <w:r>
              <w:t>95.5292%</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14:paraId="434A9AD9">
            <w:pPr>
              <w:pStyle w:val="54"/>
              <w:bidi w:val="0"/>
              <w:rPr>
                <w:rFonts w:hint="default"/>
              </w:rPr>
            </w:pPr>
            <w:r>
              <w:t>95.7839%</w:t>
            </w:r>
          </w:p>
        </w:tc>
        <w:tc>
          <w:tcPr>
            <w:tcW w:w="2769" w:type="dxa"/>
            <w:tcBorders>
              <w:top w:val="nil"/>
              <w:left w:val="nil"/>
              <w:bottom w:val="nil"/>
              <w:right w:val="nil"/>
            </w:tcBorders>
            <w:shd w:val="clear" w:color="auto" w:fill="FFFFFF"/>
            <w:vAlign w:val="top"/>
          </w:tcPr>
          <w:p w14:paraId="223DDA28">
            <w:pPr>
              <w:pStyle w:val="54"/>
              <w:bidi w:val="0"/>
              <w:rPr>
                <w:rFonts w:hint="default"/>
              </w:rPr>
            </w:pPr>
            <w:r>
              <w:t>95.1642%</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14:paraId="7010CC8D">
            <w:pPr>
              <w:pStyle w:val="54"/>
              <w:bidi w:val="0"/>
              <w:rPr>
                <w:rFonts w:hint="default"/>
              </w:rPr>
            </w:pPr>
            <w:r>
              <w:t>95.8204%</w:t>
            </w:r>
          </w:p>
        </w:tc>
        <w:tc>
          <w:tcPr>
            <w:tcW w:w="2769" w:type="dxa"/>
            <w:tcBorders>
              <w:top w:val="nil"/>
              <w:left w:val="nil"/>
              <w:bottom w:val="single" w:color="000000" w:sz="12" w:space="0"/>
              <w:right w:val="nil"/>
            </w:tcBorders>
            <w:shd w:val="clear" w:color="auto" w:fill="FFFFFF"/>
            <w:vAlign w:val="top"/>
          </w:tcPr>
          <w:p w14:paraId="46A71CD8">
            <w:pPr>
              <w:pStyle w:val="54"/>
              <w:bidi w:val="0"/>
              <w:rPr>
                <w:rFonts w:hint="default"/>
              </w:rPr>
            </w:pPr>
            <w:r>
              <w:t>95.1642%</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6"/>
                    <a:stretch>
                      <a:fillRect/>
                    </a:stretch>
                  </pic:blipFill>
                  <pic:spPr>
                    <a:xfrm>
                      <a:off x="0" y="0"/>
                      <a:ext cx="5361940" cy="1871345"/>
                    </a:xfrm>
                    <a:prstGeom prst="rect">
                      <a:avLst/>
                    </a:prstGeom>
                    <a:noFill/>
                    <a:ln w="9525">
                      <a:noFill/>
                    </a:ln>
                  </pic:spPr>
                </pic:pic>
              </a:graphicData>
            </a:graphic>
          </wp:inline>
        </w:drawing>
      </w:r>
    </w:p>
    <w:p w14:paraId="2A2080C7">
      <w:pPr>
        <w:pStyle w:val="16"/>
        <w:bidi w:val="0"/>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52"/>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29560"/>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条合格工况按毁伤等级分层划分为训练集和独立测试集，其中独立测试集约占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6380"/>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m:oMathPara>
              <m:oMath>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d>
                      <m:dPr>
                        <m:begChr m:val="|"/>
                        <m:endChr m:val="|"/>
                        <m:ctrlPr>
                          <w:rPr>
                            <w:rFonts w:hint="default" w:ascii="Cambria Math" w:hAnsi="Cambria Math" w:cs="Times New Roman"/>
                            <w:sz w:val="24"/>
                            <w:u w:val="none"/>
                          </w:rPr>
                        </m:ctrlPr>
                      </m:dPr>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sty m:val="p"/>
                          </m:rPr>
                          <w:rPr>
                            <w:rFonts w:hint="default" w:ascii="Times New Roman" w:hAnsi="Times New Roman" w:cs="Times New Roman"/>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sz w:val="24"/>
                        <w:u w:val="none"/>
                      </w:rPr>
                    </m:ctrlPr>
                  </m:e>
                </m:nary>
              </m:oMath>
            </m: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m:oMathPara>
              <m:oMath>
                <m:rad>
                  <m:radPr>
                    <m:degHide m:val="1"/>
                    <m:ctrlPr>
                      <w:rPr>
                        <w:rFonts w:hint="default" w:ascii="Cambria Math" w:hAnsi="Cambria Math" w:cs="Times New Roman"/>
                        <w:i/>
                        <w:sz w:val="24"/>
                        <w:u w:val="none"/>
                      </w:rPr>
                    </m:ctrlPr>
                  </m:radPr>
                  <m:deg>
                    <m:ctrlPr>
                      <w:rPr>
                        <w:rFonts w:hint="default" w:ascii="Cambria Math" w:hAnsi="Cambria Math" w:cs="Times New Roman"/>
                        <w:sz w:val="24"/>
                        <w:u w:val="none"/>
                      </w:rPr>
                    </m:ctrlPr>
                  </m:deg>
                  <m:e>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nary>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sSup>
                      <m:sSupPr>
                        <m:ctrlPr>
                          <w:rPr>
                            <w:rFonts w:hint="default" w:ascii="Cambria Math" w:hAnsi="Cambria Math" w:cs="Times New Roman"/>
                            <w:sz w:val="24"/>
                            <w:u w:val="none"/>
                          </w:rPr>
                        </m:ctrlPr>
                      </m:sSupPr>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sup>
                        <m:r>
                          <m:rPr>
                            <m:nor/>
                            <m:sty m:val="p"/>
                          </m:rPr>
                          <w:rPr>
                            <w:rFonts w:hint="default" w:ascii="Times New Roman" w:hAnsi="Times New Roman" w:cs="Times New Roman"/>
                            <w:b w:val="0"/>
                            <w:i w:val="0"/>
                            <w:sz w:val="24"/>
                            <w:u w:val="none"/>
                          </w:rPr>
                          <m:t>2</m:t>
                        </m:r>
                        <m:ctrlPr>
                          <w:rPr>
                            <w:rFonts w:hint="default" w:ascii="Cambria Math" w:hAnsi="Cambria Math" w:cs="Times New Roman"/>
                            <w:sz w:val="24"/>
                            <w:u w:val="none"/>
                          </w:rPr>
                        </m:ctrlPr>
                      </m:sup>
                    </m:sSup>
                    <m:ctrlPr>
                      <w:rPr>
                        <w:rFonts w:hint="default" w:ascii="Cambria Math" w:hAnsi="Cambria Math" w:cs="Times New Roman"/>
                        <w:sz w:val="24"/>
                        <w:u w:val="none"/>
                      </w:rPr>
                    </m:ctrlPr>
                  </m:e>
                </m:rad>
              </m:oMath>
            </m: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26804"/>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95%，且两者差异较小，表明模型在不同划分方式下保持了较稳定的四级毁伤判定能力。独立测试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646930" cy="4216400"/>
            <wp:effectExtent l="0" t="0" r="0" b="0"/>
            <wp:docPr id="67" name="Picture" descr="图 2 机械制造设施五折交叉验证等级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descr="图 2 机械制造设施五折交叉验证等级混淆矩阵"/>
                    <pic:cNvPicPr>
                      <a:picLocks noChangeAspect="1" noChangeArrowheads="1"/>
                    </pic:cNvPicPr>
                  </pic:nvPicPr>
                  <pic:blipFill>
                    <a:blip r:embed="rId17"/>
                    <a:srcRect l="11831"/>
                    <a:stretch>
                      <a:fillRect/>
                    </a:stretch>
                  </pic:blipFill>
                  <pic:spPr>
                    <a:xfrm>
                      <a:off x="0" y="0"/>
                      <a:ext cx="4646930"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2734"/>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机械制造与的功能、建筑开口和高价值目标组合更复杂，专项应用采用逐设施模型与 FDS 复核相结合的工程流程。模型直接输出连续 Dk 和四级毁伤结果；对于等级边界附近或方向响应不稳定的工况，程序提示转入 FDS 精细计算，避免低置信度边界工况被直接输出为确定等级。</w:t>
      </w:r>
    </w:p>
    <w:p w14:paraId="0D52A1EB">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rPr>
          <w:rFonts w:hint="default" w:ascii="Times New Roman" w:hAnsi="Times New Roman" w:cs="Times New Roman"/>
        </w:rPr>
        <w:t xml:space="preserve"> 测试结果</w:t>
      </w:r>
    </w:p>
    <w:tbl>
      <w:tblPr>
        <w:tblStyle w:val="12"/>
        <w:tblW w:w="5000" w:type="pct"/>
        <w:tblInd w:w="0" w:type="dxa"/>
        <w:tblLayout w:type="autofit"/>
        <w:tblCellMar>
          <w:top w:w="0" w:type="dxa"/>
          <w:left w:w="108" w:type="dxa"/>
          <w:bottom w:w="0" w:type="dxa"/>
          <w:right w:w="108" w:type="dxa"/>
        </w:tblCellMar>
      </w:tblPr>
      <w:tblGrid>
        <w:gridCol w:w="3033"/>
        <w:gridCol w:w="1829"/>
        <w:gridCol w:w="1886"/>
        <w:gridCol w:w="1774"/>
      </w:tblGrid>
      <w:tr w14:paraId="4795DB35">
        <w:tblPrEx>
          <w:tblCellMar>
            <w:top w:w="0" w:type="dxa"/>
            <w:left w:w="108" w:type="dxa"/>
            <w:bottom w:w="0" w:type="dxa"/>
            <w:right w:w="108" w:type="dxa"/>
          </w:tblCellMar>
        </w:tblPrEx>
        <w:trPr>
          <w:tblHeader/>
        </w:trPr>
        <w:tc>
          <w:tcPr>
            <w:tcW w:w="1779" w:type="pct"/>
            <w:tcBorders>
              <w:top w:val="single" w:color="000000" w:sz="12" w:space="0"/>
              <w:left w:val="nil"/>
              <w:bottom w:val="single" w:color="000000" w:sz="4" w:space="0"/>
              <w:right w:val="nil"/>
              <w:tl2br w:val="nil"/>
            </w:tcBorders>
            <w:shd w:val="clear" w:color="auto" w:fill="FFFFFF"/>
          </w:tcPr>
          <w:p w14:paraId="13404E2D">
            <w:pPr>
              <w:pStyle w:val="54"/>
              <w:bidi w:val="0"/>
              <w:rPr>
                <w:b w:val="0"/>
              </w:rPr>
            </w:pPr>
            <w:r>
              <w:rPr>
                <w:rFonts w:hint="eastAsia"/>
                <w:b w:val="0"/>
              </w:rPr>
              <w:t>设施名称</w:t>
            </w:r>
          </w:p>
        </w:tc>
        <w:tc>
          <w:tcPr>
            <w:tcW w:w="1073" w:type="pct"/>
            <w:tcBorders>
              <w:top w:val="single" w:color="000000" w:sz="12" w:space="0"/>
              <w:left w:val="nil"/>
              <w:bottom w:val="single" w:color="000000" w:sz="4" w:space="0"/>
              <w:right w:val="nil"/>
            </w:tcBorders>
            <w:shd w:val="clear" w:color="auto" w:fill="FFFFFF"/>
          </w:tcPr>
          <w:p w14:paraId="1FEC8AEF">
            <w:pPr>
              <w:pStyle w:val="54"/>
              <w:bidi w:val="0"/>
              <w:rPr>
                <w:b w:val="0"/>
              </w:rPr>
            </w:pPr>
            <w:r>
              <w:rPr>
                <w:rFonts w:hint="eastAsia"/>
                <w:b w:val="0"/>
              </w:rPr>
              <w:t>测试工况数</w:t>
            </w:r>
          </w:p>
        </w:tc>
        <w:tc>
          <w:tcPr>
            <w:tcW w:w="1106" w:type="pct"/>
            <w:tcBorders>
              <w:top w:val="single" w:color="000000" w:sz="12" w:space="0"/>
              <w:left w:val="nil"/>
              <w:bottom w:val="single" w:color="000000" w:sz="4" w:space="0"/>
              <w:right w:val="nil"/>
            </w:tcBorders>
            <w:shd w:val="clear" w:color="auto" w:fill="FFFFFF"/>
          </w:tcPr>
          <w:p w14:paraId="06DC7687">
            <w:pPr>
              <w:pStyle w:val="54"/>
              <w:bidi w:val="0"/>
              <w:rPr>
                <w:b w:val="0"/>
              </w:rPr>
            </w:pPr>
            <w:r>
              <w:rPr>
                <w:rFonts w:hint="eastAsia"/>
                <w:b w:val="0"/>
              </w:rPr>
              <w:t>等级准确率</w:t>
            </w:r>
          </w:p>
        </w:tc>
        <w:tc>
          <w:tcPr>
            <w:tcW w:w="1040" w:type="pct"/>
            <w:tcBorders>
              <w:top w:val="single" w:color="000000" w:sz="12" w:space="0"/>
              <w:left w:val="nil"/>
              <w:bottom w:val="single" w:color="000000" w:sz="4" w:space="0"/>
              <w:right w:val="nil"/>
            </w:tcBorders>
            <w:shd w:val="clear" w:color="auto" w:fill="FFFFFF"/>
          </w:tcPr>
          <w:p w14:paraId="5024ABF8">
            <w:pPr>
              <w:pStyle w:val="54"/>
              <w:bidi w:val="0"/>
              <w:rPr>
                <w:b w:val="0"/>
              </w:rPr>
            </w:pPr>
            <w:r>
              <w:rPr>
                <w:b w:val="0"/>
              </w:rPr>
              <w:t>MAE</w:t>
            </w:r>
          </w:p>
        </w:tc>
      </w:tr>
      <w:tr w14:paraId="5D126604">
        <w:tblPrEx>
          <w:tblCellMar>
            <w:top w:w="0" w:type="dxa"/>
            <w:left w:w="108" w:type="dxa"/>
            <w:bottom w:w="0" w:type="dxa"/>
            <w:right w:w="108" w:type="dxa"/>
          </w:tblCellMar>
        </w:tblPrEx>
        <w:tc>
          <w:tcPr>
            <w:tcW w:w="1779" w:type="pct"/>
            <w:tcBorders>
              <w:top w:val="single" w:color="000000" w:sz="4" w:space="0"/>
              <w:left w:val="nil"/>
              <w:bottom w:val="nil"/>
              <w:right w:val="nil"/>
            </w:tcBorders>
            <w:shd w:val="clear" w:color="auto" w:fill="FFFFFF"/>
          </w:tcPr>
          <w:p>
            <w:r>
              <w:t>机械-总装</w:t>
            </w:r>
          </w:p>
        </w:tc>
        <w:tc>
          <w:tcPr>
            <w:tcW w:w="1073" w:type="pct"/>
            <w:tcBorders>
              <w:top w:val="single" w:color="000000" w:sz="4" w:space="0"/>
              <w:left w:val="nil"/>
              <w:bottom w:val="nil"/>
              <w:right w:val="nil"/>
            </w:tcBorders>
            <w:shd w:val="clear" w:color="auto" w:fill="FFFFFF"/>
          </w:tcPr>
          <w:p>
            <w:r>
              <w:t>22</w:t>
            </w:r>
          </w:p>
        </w:tc>
        <w:tc>
          <w:tcPr>
            <w:tcW w:w="1106" w:type="pct"/>
            <w:tcBorders>
              <w:top w:val="single" w:color="000000" w:sz="4" w:space="0"/>
              <w:left w:val="nil"/>
              <w:bottom w:val="nil"/>
              <w:right w:val="nil"/>
            </w:tcBorders>
            <w:shd w:val="clear" w:color="auto" w:fill="FFFFFF"/>
          </w:tcPr>
          <w:p>
            <w:r>
              <w:t>100.0000%</w:t>
            </w:r>
          </w:p>
        </w:tc>
        <w:tc>
          <w:tcPr>
            <w:tcW w:w="1040" w:type="pct"/>
            <w:tcBorders>
              <w:top w:val="single" w:color="000000" w:sz="4" w:space="0"/>
              <w:left w:val="nil"/>
              <w:bottom w:val="nil"/>
              <w:right w:val="nil"/>
            </w:tcBorders>
            <w:shd w:val="clear" w:color="auto" w:fill="FFFFFF"/>
          </w:tcPr>
          <w:p>
            <w:r>
              <w:t>0.000639</w:t>
            </w:r>
          </w:p>
        </w:tc>
      </w:tr>
      <w:tr w14:paraId="72D3FD2F">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r>
              <w:t>机械-机械加工</w:t>
            </w:r>
          </w:p>
        </w:tc>
        <w:tc>
          <w:tcPr>
            <w:tcW w:w="1073" w:type="pct"/>
            <w:tcBorders>
              <w:top w:val="nil"/>
              <w:left w:val="nil"/>
              <w:bottom w:val="nil"/>
              <w:right w:val="nil"/>
            </w:tcBorders>
            <w:shd w:val="clear" w:color="auto" w:fill="FFFFFF"/>
          </w:tcPr>
          <w:p>
            <w:r>
              <w:t>22</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0.000159</w:t>
            </w:r>
          </w:p>
        </w:tc>
      </w:tr>
      <w:tr w14:paraId="11B8A2B5">
        <w:tc>
          <w:tcPr>
            <w:tcW w:w="1779" w:type="pct"/>
            <w:tcBorders>
              <w:top w:val="nil"/>
              <w:left w:val="nil"/>
              <w:bottom w:val="nil"/>
              <w:right w:val="nil"/>
            </w:tcBorders>
            <w:shd w:val="clear" w:color="auto" w:fill="FFFFFF"/>
          </w:tcPr>
          <w:p>
            <w:r>
              <w:t>机械-部装</w:t>
            </w:r>
          </w:p>
        </w:tc>
        <w:tc>
          <w:tcPr>
            <w:tcW w:w="1073" w:type="pct"/>
            <w:tcBorders>
              <w:top w:val="nil"/>
              <w:left w:val="nil"/>
              <w:bottom w:val="nil"/>
              <w:right w:val="nil"/>
            </w:tcBorders>
            <w:shd w:val="clear" w:color="auto" w:fill="FFFFFF"/>
          </w:tcPr>
          <w:p>
            <w:r>
              <w:t>22</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0.000000</w:t>
            </w:r>
          </w:p>
        </w:tc>
      </w:tr>
      <w:tr w14:paraId="59EB52B4">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r>
              <w:t>机械制造设施</w:t>
            </w:r>
          </w:p>
        </w:tc>
        <w:tc>
          <w:tcPr>
            <w:tcW w:w="1073" w:type="pct"/>
            <w:tcBorders>
              <w:top w:val="nil"/>
              <w:left w:val="nil"/>
              <w:bottom w:val="nil"/>
              <w:right w:val="nil"/>
            </w:tcBorders>
            <w:shd w:val="clear" w:color="auto" w:fill="FFFFFF"/>
          </w:tcPr>
          <w:p>
            <w:r>
              <w:t>17</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0.009555</w:t>
            </w:r>
          </w:p>
        </w:tc>
      </w:tr>
      <w:tr w14:paraId="5B5D4610">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14:paraId="7114E89F">
            <w:pPr>
              <w:pStyle w:val="54"/>
              <w:bidi w:val="0"/>
              <w:rPr>
                <w:b w:val="0"/>
              </w:rPr>
            </w:pPr>
            <w:r>
              <w:rPr>
                <w:rFonts w:hint="eastAsia"/>
                <w:b w:val="0"/>
              </w:rPr>
              <w:t>大型机械制造等效设施</w:t>
            </w:r>
          </w:p>
        </w:tc>
        <w:tc>
          <w:tcPr>
            <w:tcW w:w="1073" w:type="pct"/>
            <w:tcBorders>
              <w:top w:val="nil"/>
              <w:left w:val="nil"/>
              <w:bottom w:val="nil"/>
              <w:right w:val="nil"/>
            </w:tcBorders>
            <w:shd w:val="clear" w:color="auto" w:fill="FFFFFF"/>
          </w:tcPr>
          <w:p>
            <w:r>
              <w:t>36</w:t>
            </w:r>
          </w:p>
        </w:tc>
        <w:tc>
          <w:tcPr>
            <w:tcW w:w="1106" w:type="pct"/>
            <w:tcBorders>
              <w:top w:val="nil"/>
              <w:left w:val="nil"/>
              <w:bottom w:val="nil"/>
              <w:right w:val="nil"/>
            </w:tcBorders>
            <w:shd w:val="clear" w:color="auto" w:fill="FFFFFF"/>
          </w:tcPr>
          <w:p>
            <w:r>
              <w:t>94.4444%</w:t>
            </w:r>
          </w:p>
        </w:tc>
        <w:tc>
          <w:tcPr>
            <w:tcW w:w="1040" w:type="pct"/>
            <w:tcBorders>
              <w:top w:val="nil"/>
              <w:left w:val="nil"/>
              <w:bottom w:val="nil"/>
              <w:right w:val="nil"/>
            </w:tcBorders>
            <w:shd w:val="clear" w:color="auto" w:fill="FFFFFF"/>
          </w:tcPr>
          <w:p>
            <w:r>
              <w:t>0.000785</w:t>
            </w:r>
          </w:p>
        </w:tc>
      </w:tr>
      <w:tr w14:paraId="2BBFB77C">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14:paraId="157B407C">
            <w:pPr>
              <w:pStyle w:val="54"/>
              <w:bidi w:val="0"/>
              <w:rPr>
                <w:b w:val="0"/>
              </w:rPr>
            </w:pPr>
            <w:r>
              <w:rPr>
                <w:rFonts w:hint="eastAsia"/>
                <w:b w:val="0"/>
              </w:rPr>
              <w:t>中型机械制造等效设施</w:t>
            </w:r>
          </w:p>
        </w:tc>
        <w:tc>
          <w:tcPr>
            <w:tcW w:w="1073" w:type="pct"/>
            <w:tcBorders>
              <w:top w:val="nil"/>
              <w:left w:val="nil"/>
              <w:bottom w:val="nil"/>
              <w:right w:val="nil"/>
            </w:tcBorders>
            <w:shd w:val="clear" w:color="auto" w:fill="FFFFFF"/>
          </w:tcPr>
          <w:p>
            <w:r>
              <w:t>32</w:t>
            </w:r>
          </w:p>
        </w:tc>
        <w:tc>
          <w:tcPr>
            <w:tcW w:w="1106" w:type="pct"/>
            <w:tcBorders>
              <w:top w:val="nil"/>
              <w:left w:val="nil"/>
              <w:bottom w:val="nil"/>
              <w:right w:val="nil"/>
            </w:tcBorders>
            <w:shd w:val="clear" w:color="auto" w:fill="FFFFFF"/>
          </w:tcPr>
          <w:p>
            <w:r>
              <w:t>90.6250%</w:t>
            </w:r>
          </w:p>
        </w:tc>
        <w:tc>
          <w:tcPr>
            <w:tcW w:w="1040" w:type="pct"/>
            <w:tcBorders>
              <w:top w:val="nil"/>
              <w:left w:val="nil"/>
              <w:bottom w:val="nil"/>
              <w:right w:val="nil"/>
            </w:tcBorders>
            <w:shd w:val="clear" w:color="auto" w:fill="FFFFFF"/>
          </w:tcPr>
          <w:p>
            <w:r>
              <w:t>0.012832</w:t>
            </w:r>
          </w:p>
        </w:tc>
      </w:tr>
      <w:tr w14:paraId="3DA34803">
        <w:tc>
          <w:tcPr>
            <w:tcW w:w="1779" w:type="pct"/>
            <w:tcBorders>
              <w:top w:val="nil"/>
              <w:left w:val="nil"/>
              <w:bottom w:val="nil"/>
              <w:right w:val="nil"/>
            </w:tcBorders>
            <w:shd w:val="clear" w:color="auto" w:fill="FFFFFF"/>
          </w:tcPr>
          <w:p w14:paraId="5DCB7657">
            <w:pPr>
              <w:pStyle w:val="54"/>
              <w:bidi w:val="0"/>
              <w:rPr>
                <w:b w:val="0"/>
              </w:rPr>
            </w:pPr>
            <w:r>
              <w:rPr>
                <w:rFonts w:hint="eastAsia"/>
                <w:b w:val="0"/>
              </w:rPr>
              <w:t>小型机械制造等效设施</w:t>
            </w:r>
          </w:p>
        </w:tc>
        <w:tc>
          <w:tcPr>
            <w:tcW w:w="1073" w:type="pct"/>
            <w:tcBorders>
              <w:top w:val="nil"/>
              <w:left w:val="nil"/>
              <w:bottom w:val="nil"/>
              <w:right w:val="nil"/>
            </w:tcBorders>
            <w:shd w:val="clear" w:color="auto" w:fill="FFFFFF"/>
          </w:tcPr>
          <w:p>
            <w:r>
              <w:t>36</w:t>
            </w:r>
          </w:p>
        </w:tc>
        <w:tc>
          <w:tcPr>
            <w:tcW w:w="1106" w:type="pct"/>
            <w:tcBorders>
              <w:top w:val="nil"/>
              <w:left w:val="nil"/>
              <w:bottom w:val="nil"/>
              <w:right w:val="nil"/>
            </w:tcBorders>
            <w:shd w:val="clear" w:color="auto" w:fill="FFFFFF"/>
          </w:tcPr>
          <w:p>
            <w:r>
              <w:t>94.4444%</w:t>
            </w:r>
          </w:p>
        </w:tc>
        <w:tc>
          <w:tcPr>
            <w:tcW w:w="1040" w:type="pct"/>
            <w:tcBorders>
              <w:top w:val="nil"/>
              <w:left w:val="nil"/>
              <w:bottom w:val="nil"/>
              <w:right w:val="nil"/>
            </w:tcBorders>
            <w:shd w:val="clear" w:color="auto" w:fill="FFFFFF"/>
          </w:tcPr>
          <w:p>
            <w:r>
              <w:t>0.009282</w:t>
            </w:r>
          </w:p>
        </w:tc>
      </w:tr>
      <w:tr w14:paraId="591DD614">
        <w:tblPrEx>
          <w:tblCellMar>
            <w:top w:w="0" w:type="dxa"/>
            <w:left w:w="108" w:type="dxa"/>
            <w:bottom w:w="0" w:type="dxa"/>
            <w:right w:w="108" w:type="dxa"/>
          </w:tblCellMar>
        </w:tblPrEx>
        <w:tc>
          <w:tcPr>
            <w:tcW w:w="1779" w:type="pct"/>
            <w:tcBorders>
              <w:top w:val="nil"/>
              <w:left w:val="nil"/>
              <w:bottom w:val="single" w:color="000000" w:sz="12" w:space="0"/>
              <w:right w:val="nil"/>
            </w:tcBorders>
            <w:shd w:val="clear" w:color="auto" w:fill="FFFFFF"/>
          </w:tcPr>
          <w:p w14:paraId="3459F746">
            <w:pPr>
              <w:pStyle w:val="54"/>
              <w:bidi w:val="0"/>
              <w:rPr>
                <w:b w:val="0"/>
              </w:rPr>
            </w:pPr>
            <w:r>
              <w:rPr>
                <w:rFonts w:hint="eastAsia"/>
                <w:b w:val="0"/>
              </w:rPr>
              <w:t>机械制造类合计</w:t>
            </w:r>
          </w:p>
        </w:tc>
        <w:tc>
          <w:tcPr>
            <w:tcW w:w="1073" w:type="pct"/>
            <w:tcBorders>
              <w:top w:val="nil"/>
              <w:left w:val="nil"/>
              <w:bottom w:val="single" w:color="000000" w:sz="12" w:space="0"/>
              <w:right w:val="nil"/>
            </w:tcBorders>
            <w:shd w:val="clear" w:color="auto" w:fill="FFFFFF"/>
          </w:tcPr>
          <w:p>
            <w:r>
              <w:t>187</w:t>
            </w:r>
          </w:p>
        </w:tc>
        <w:tc>
          <w:tcPr>
            <w:tcW w:w="1106" w:type="pct"/>
            <w:tcBorders>
              <w:top w:val="nil"/>
              <w:left w:val="nil"/>
              <w:bottom w:val="single" w:color="000000" w:sz="12" w:space="0"/>
              <w:right w:val="nil"/>
            </w:tcBorders>
            <w:shd w:val="clear" w:color="auto" w:fill="FFFFFF"/>
          </w:tcPr>
          <w:p>
            <w:r>
              <w:t>96.2567%</w:t>
            </w:r>
          </w:p>
        </w:tc>
        <w:tc>
          <w:tcPr>
            <w:tcW w:w="1040" w:type="pct"/>
            <w:tcBorders>
              <w:top w:val="nil"/>
              <w:left w:val="nil"/>
              <w:bottom w:val="single" w:color="000000" w:sz="12" w:space="0"/>
              <w:right w:val="nil"/>
            </w:tcBorders>
            <w:shd w:val="clear" w:color="auto" w:fill="FFFFFF"/>
          </w:tcPr>
          <w:p>
            <w:r>
              <w:t>0.005096</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分设施结果显示，弗莱马斯特、格里森、哈比森-费希尔以及大、小型等效设施在独立测试中保持了稳定的等级判断。特斯拉机械制造设施覆盖从基本完好到严重破坏的较宽 Dk 范围，测试准确率为 100.0000%。中型等效设施的等级误差主要出现在阈值邻近工况；结合连续 MAE 可对这些边界条件进行进一步排序。</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15245"/>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25339"/>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预测结果界面以设施名称和本次热源工况为基础信息，突出显示设施整体毁伤等级，同时给出连续 Dk、模型综合验证准确率和计算耗时。热源参数区分别显示方位角、俯仰角、目标热通量和持续时间，使预测结果能够与具体工况对应。对于需要进一步分析的工况，可根据预测等级和 Dk 与阈值的距离，选择相应 FDS 方案开展精细计算。</w:t>
      </w:r>
      <w:r>
        <w:t>实测 36 个设施参考工况的平均单次预测耗时为 0.188 秒，统计口径包含模型加载、特征计算与推理。</w:t>
      </w:r>
      <w:r>
        <w:t>实测 36 个设施参考工况的平均单次预测耗时为 0.188 秒，统计口径包含模型加载、特征计算与推理。</w:t>
      </w:r>
      <w:r>
        <w:t>实测 36 个设施参考工况的平均单次预测耗时为 0.188 秒，统计口径包含模型加载、特征计算与推理。</w:t>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835"/>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w:t>
            </w:r>
            <w:r>
              <w:rPr>
                <w:rFonts w:hint="eastAsia" w:ascii="Times New Roman" w:hAnsi="Times New Roman" w:cs="Times New Roman"/>
                <w:b w:val="0"/>
                <w:lang w:eastAsia="zh-CN"/>
              </w:rPr>
              <w:t>机械制造</w:t>
            </w:r>
            <w:r>
              <w:rPr>
                <w:rFonts w:hint="default" w:ascii="Times New Roman" w:hAnsi="Times New Roman" w:cs="Times New Roman"/>
                <w:b w:val="0"/>
              </w:rPr>
              <w:t>设施或及规模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626360" cy="1871980"/>
            <wp:effectExtent l="0" t="0" r="254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2626360" cy="1871980"/>
                    </a:xfrm>
                    <a:prstGeom prst="rect">
                      <a:avLst/>
                    </a:prstGeom>
                    <a:noFill/>
                    <a:ln>
                      <a:noFill/>
                    </a:ln>
                  </pic:spPr>
                </pic:pic>
              </a:graphicData>
            </a:graphic>
          </wp:inline>
        </w:drawing>
      </w:r>
      <w:r>
        <w:drawing>
          <wp:inline distT="0" distB="0" distL="114300" distR="114300">
            <wp:extent cx="2541905" cy="1871980"/>
            <wp:effectExtent l="0" t="0" r="10795" b="1397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9"/>
                    <a:stretch>
                      <a:fillRect/>
                    </a:stretch>
                  </pic:blipFill>
                  <pic:spPr>
                    <a:xfrm>
                      <a:off x="0" y="0"/>
                      <a:ext cx="2541905" cy="187198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20641"/>
      <w:r>
        <w:rPr>
          <w:rFonts w:hint="default" w:ascii="Times New Roman" w:hAnsi="Times New Roman" w:cs="Times New Roman"/>
        </w:rPr>
        <w:t>总结</w:t>
      </w:r>
      <w:bookmarkEnd w:id="30"/>
    </w:p>
    <w:p w14:paraId="73A38EC1">
      <w:pPr>
        <w:rPr>
          <w:rFonts w:hint="default" w:ascii="Times New Roman" w:hAnsi="Times New Roman" w:cs="Times New Roman"/>
        </w:rPr>
      </w:pPr>
      <w:r>
        <w:rPr>
          <w:rFonts w:hint="default" w:ascii="Times New Roman" w:hAnsi="Times New Roman" w:cs="Times New Roman"/>
        </w:rPr>
        <w:t>本研究建立了面向机械制造设施的 FDS 数据驱动工程预测方法。合格数据覆盖 7 个机械制造设施、923 条热辐射工况，并与其他设施数据共同构成 6558 条合格训练样本。模型以热源工况特征与设施构型及目标特征为输入，能够综合表达热通量、持续时间、受热方向、厂房尺度、建筑开口和生产设备分布对设施级 Dk 的影响。</w:t>
      </w:r>
    </w:p>
    <w:p w14:paraId="6EE54DEA">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和四级毁伤结果。综合五折等级准确率为 95.9591%，独立测试等级准确率为 97.2075%；机械制造类专项独立测试准确率为 96.2567%。综合结果与专项结果共同表明，模型在当前工况范围内能够稳定完成机械制造设施的工程等级判断。</w:t>
      </w:r>
    </w:p>
    <w:p w14:paraId="785C3A47">
      <w:pPr>
        <w:rPr>
          <w:rFonts w:hint="default" w:ascii="Times New Roman" w:hAnsi="Times New Roman" w:cs="Times New Roman"/>
        </w:rPr>
      </w:pPr>
      <w:r>
        <w:rPr>
          <w:rFonts w:hint="default" w:ascii="Times New Roman" w:hAnsi="Times New Roman" w:cs="Times New Roman"/>
        </w:rPr>
        <w:t>机械制造专项因素分析表明，俯仰角、热剂量和热通量是影响 Dk 与等级水平的重要因素，方位角、迎火侧总开口比例和敏感目标比例进一步决定方向差异。不同方向和工况下的毁伤响应差异反映了特异设施对象差异以及大、中、小等效设施的尺度效应。</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1845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Arial">
    <w:panose1 w:val="020B0604020202020204"/>
    <w:charset w:val="01"/>
    <w:family w:val="swiss"/>
    <w:pitch w:val="default"/>
    <w:sig w:usb0="00007A87" w:usb1="80000000" w:usb2="00000008" w:usb3="00000000" w:csb0="400001FF" w:csb1="FFFF0000"/>
  </w:font>
  <w:font w:name="Courier New">
    <w:panose1 w:val="02070309020205020404"/>
    <w:charset w:val="01"/>
    <w:family w:val="modern"/>
    <w:pitch w:val="default"/>
    <w:sig w:usb0="E0002AFF" w:usb1="C0007843" w:usb2="00000009" w:usb3="00000000" w:csb0="400001FF" w:csb1="FFFF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
    <w:altName w:val="宋体"/>
    <w:panose1 w:val="02010609060101010101"/>
    <w:charset w:val="86"/>
    <w:family w:val="modern"/>
    <w:pitch w:val="default"/>
    <w:sig w:usb0="00000000" w:usb1="00000000" w:usb2="00000016" w:usb3="00000000" w:csb0="00040001"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8C3B7">
    <w:pPr>
      <w:pStyle w:val="21"/>
      <w:framePr w:wrap="around" w:vAnchor="text" w:hAnchor="margin" w:xAlign="outside" w:y="1"/>
      <w:rPr>
        <w:rStyle w:val="25"/>
      </w:rPr>
    </w:pPr>
    <w:r>
      <w:fldChar w:fldCharType="begin"/>
    </w:r>
    <w:r>
      <w:rPr>
        <w:rStyle w:val="25"/>
      </w:rPr>
      <w:instrText xml:space="preserve">PAGE  </w:instrText>
    </w:r>
    <w:r>
      <w:fldChar w:fldCharType="end"/>
    </w:r>
  </w:p>
  <w:p w14:paraId="73FEBE70">
    <w:pPr>
      <w:pStyle w:val="21"/>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20645">
    <w:pPr>
      <w:pStyle w:val="21"/>
      <w:framePr w:wrap="around" w:vAnchor="text" w:hAnchor="margin" w:xAlign="outside" w:y="1"/>
      <w:rPr>
        <w:rStyle w:val="25"/>
      </w:rPr>
    </w:pPr>
    <w:r>
      <w:fldChar w:fldCharType="begin"/>
    </w:r>
    <w:r>
      <w:rPr>
        <w:rStyle w:val="25"/>
      </w:rPr>
      <w:instrText xml:space="preserve">PAGE  </w:instrText>
    </w:r>
    <w:r>
      <w:fldChar w:fldCharType="separate"/>
    </w:r>
    <w:r>
      <w:rPr>
        <w:rStyle w:val="25"/>
        <w:lang w:val="en-US" w:eastAsia="zh-CN"/>
      </w:rPr>
      <w:t>- 25 -</w:t>
    </w:r>
    <w:r>
      <w:fldChar w:fldCharType="end"/>
    </w:r>
  </w:p>
  <w:p w14:paraId="171A5E5F">
    <w:pPr>
      <w:pStyle w:val="21"/>
      <w:ind w:right="360" w:firstLine="360"/>
      <w:jc w:val="center"/>
    </w:pPr>
  </w:p>
  <w:p w14:paraId="6262CB32">
    <w:pPr>
      <w:pStyle w:val="2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857B">
    <w:pPr>
      <w:pStyle w:val="22"/>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2F32B56"/>
    <w:rsid w:val="03B269A4"/>
    <w:rsid w:val="04E65903"/>
    <w:rsid w:val="05FB130E"/>
    <w:rsid w:val="06807618"/>
    <w:rsid w:val="06AE2400"/>
    <w:rsid w:val="072B7F2A"/>
    <w:rsid w:val="08BC7B38"/>
    <w:rsid w:val="08FA3336"/>
    <w:rsid w:val="0D0567F0"/>
    <w:rsid w:val="0D7E3AFF"/>
    <w:rsid w:val="0FB63E1B"/>
    <w:rsid w:val="10260A90"/>
    <w:rsid w:val="10E87F18"/>
    <w:rsid w:val="11345752"/>
    <w:rsid w:val="119D4831"/>
    <w:rsid w:val="125D5D38"/>
    <w:rsid w:val="13243011"/>
    <w:rsid w:val="140334FB"/>
    <w:rsid w:val="15341A54"/>
    <w:rsid w:val="160E259E"/>
    <w:rsid w:val="177A2613"/>
    <w:rsid w:val="197A2973"/>
    <w:rsid w:val="1A840C0A"/>
    <w:rsid w:val="2051361B"/>
    <w:rsid w:val="20C0033E"/>
    <w:rsid w:val="23355B0C"/>
    <w:rsid w:val="27C26D1A"/>
    <w:rsid w:val="293B7BDB"/>
    <w:rsid w:val="2D8D7A26"/>
    <w:rsid w:val="2DA61BFF"/>
    <w:rsid w:val="2FD52024"/>
    <w:rsid w:val="32117A7A"/>
    <w:rsid w:val="37EF39B9"/>
    <w:rsid w:val="39EF41D8"/>
    <w:rsid w:val="3B945A4C"/>
    <w:rsid w:val="3BC3469C"/>
    <w:rsid w:val="3D0F3129"/>
    <w:rsid w:val="411965E8"/>
    <w:rsid w:val="41421CDA"/>
    <w:rsid w:val="43212C92"/>
    <w:rsid w:val="439320F2"/>
    <w:rsid w:val="449C72D1"/>
    <w:rsid w:val="454313DF"/>
    <w:rsid w:val="4559454E"/>
    <w:rsid w:val="46826ECA"/>
    <w:rsid w:val="47200E11"/>
    <w:rsid w:val="4A227A1C"/>
    <w:rsid w:val="4BA40904"/>
    <w:rsid w:val="4C677226"/>
    <w:rsid w:val="4C9954A0"/>
    <w:rsid w:val="4D8C1D7C"/>
    <w:rsid w:val="4ED765AF"/>
    <w:rsid w:val="4F0E1E0E"/>
    <w:rsid w:val="50CC366C"/>
    <w:rsid w:val="518D3FFF"/>
    <w:rsid w:val="5274688D"/>
    <w:rsid w:val="53C90AD2"/>
    <w:rsid w:val="56A87CBD"/>
    <w:rsid w:val="576A14F1"/>
    <w:rsid w:val="59054CA9"/>
    <w:rsid w:val="59C14BA2"/>
    <w:rsid w:val="5C4F2050"/>
    <w:rsid w:val="5C735ECB"/>
    <w:rsid w:val="5C8F6A67"/>
    <w:rsid w:val="5CDC56C5"/>
    <w:rsid w:val="5E4C7C1E"/>
    <w:rsid w:val="5EC03E77"/>
    <w:rsid w:val="5F5C70D4"/>
    <w:rsid w:val="609E4875"/>
    <w:rsid w:val="60FC3CA7"/>
    <w:rsid w:val="6330596A"/>
    <w:rsid w:val="64DA5735"/>
    <w:rsid w:val="67155394"/>
    <w:rsid w:val="67C41CBB"/>
    <w:rsid w:val="68632EA7"/>
    <w:rsid w:val="6C353BC2"/>
    <w:rsid w:val="6C68355C"/>
    <w:rsid w:val="6D344F72"/>
    <w:rsid w:val="6F7704FD"/>
    <w:rsid w:val="6F850D4A"/>
    <w:rsid w:val="706C73A7"/>
    <w:rsid w:val="70986532"/>
    <w:rsid w:val="716D7E06"/>
    <w:rsid w:val="71CD6049"/>
    <w:rsid w:val="74087332"/>
    <w:rsid w:val="786F150D"/>
    <w:rsid w:val="78865B21"/>
    <w:rsid w:val="793FD048"/>
    <w:rsid w:val="794705A3"/>
    <w:rsid w:val="7D9F11E6"/>
    <w:rsid w:val="9AA70A00"/>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25</Pages>
  <Words>3395</Words>
  <Characters>3749</Characters>
  <Lines>27</Lines>
  <Paragraphs>7</Paragraphs>
  <TotalTime>2</TotalTime>
  <ScaleCrop>false</ScaleCrop>
  <LinksUpToDate>false</LinksUpToDate>
  <CharactersWithSpaces>3994</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2022-11-20T04:35:00Z</dcterms:created>
  <dc:creator>微软用户</dc:creator>
  <cp:lastModifiedBy>blue</cp:lastModifiedBy>
  <cp:lastPrinted>2018-02-07T06:08:00Z</cp:lastPrinted>
  <dcterms:modified xsi:type="dcterms:W3CDTF">2026-09-08T20:39:55Z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