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990BA" w14:textId="77777777" w:rsidR="008E0849" w:rsidRPr="008E0849" w:rsidRDefault="008E0849" w:rsidP="008E0849">
      <w:pPr>
        <w:rPr>
          <w:b/>
          <w:bCs/>
        </w:rPr>
      </w:pPr>
      <w:r w:rsidRPr="008E0849">
        <w:rPr>
          <w:b/>
          <w:bCs/>
        </w:rPr>
        <w:t>Scenario</w:t>
      </w:r>
    </w:p>
    <w:p w14:paraId="5941F0FB" w14:textId="77777777" w:rsidR="008E0849" w:rsidRPr="008E0849" w:rsidRDefault="008E0849" w:rsidP="008E0849">
      <w:r w:rsidRPr="008E0849">
        <w:t>Northwind Traders, a global retailer, plans to adopt Azure but needs a subscription strategy for its HR, Finance, and IT departments. Each department requires isolation but shared billing.</w:t>
      </w:r>
    </w:p>
    <w:p w14:paraId="51C6BCFA" w14:textId="77777777" w:rsidR="008E0849" w:rsidRPr="008E0849" w:rsidRDefault="008E0849" w:rsidP="008E0849">
      <w:pPr>
        <w:rPr>
          <w:b/>
          <w:bCs/>
        </w:rPr>
      </w:pPr>
      <w:r w:rsidRPr="008E0849">
        <w:rPr>
          <w:b/>
          <w:bCs/>
        </w:rPr>
        <w:t>Objectives</w:t>
      </w:r>
    </w:p>
    <w:p w14:paraId="504C9CF5" w14:textId="77777777" w:rsidR="008E0849" w:rsidRPr="008E0849" w:rsidRDefault="008E0849" w:rsidP="008E0849">
      <w:pPr>
        <w:numPr>
          <w:ilvl w:val="0"/>
          <w:numId w:val="1"/>
        </w:numPr>
      </w:pPr>
      <w:r w:rsidRPr="008E0849">
        <w:t>Design a subscription model for cost allocation and access control.</w:t>
      </w:r>
    </w:p>
    <w:p w14:paraId="262E508D" w14:textId="77777777" w:rsidR="008E0849" w:rsidRPr="008E0849" w:rsidRDefault="008E0849" w:rsidP="008E0849">
      <w:pPr>
        <w:numPr>
          <w:ilvl w:val="0"/>
          <w:numId w:val="1"/>
        </w:numPr>
      </w:pPr>
      <w:r w:rsidRPr="008E0849">
        <w:t>Justify the chosen strategy with Azure’s subscription types.</w:t>
      </w:r>
    </w:p>
    <w:p w14:paraId="59D4FA20" w14:textId="77777777" w:rsidR="008E0849" w:rsidRPr="008E0849" w:rsidRDefault="008E0849" w:rsidP="008E0849">
      <w:pPr>
        <w:rPr>
          <w:b/>
          <w:bCs/>
        </w:rPr>
      </w:pPr>
      <w:r w:rsidRPr="008E0849">
        <w:rPr>
          <w:b/>
          <w:bCs/>
        </w:rPr>
        <w:t>Instructions</w:t>
      </w:r>
    </w:p>
    <w:p w14:paraId="5A8C93B6" w14:textId="77777777" w:rsidR="008E0849" w:rsidRPr="008E0849" w:rsidRDefault="008E0849" w:rsidP="008E0849">
      <w:pPr>
        <w:numPr>
          <w:ilvl w:val="0"/>
          <w:numId w:val="2"/>
        </w:numPr>
      </w:pPr>
      <w:r w:rsidRPr="008E0849">
        <w:rPr>
          <w:b/>
          <w:bCs/>
        </w:rPr>
        <w:t>Subscription Types</w:t>
      </w:r>
      <w:r w:rsidRPr="008E0849">
        <w:t>: Compare Enterprise Agreement (EA), Pay-As-You-Go, and Microsoft Customer Agreement. Recommend the best fit for Northwind’s centralized billing need.</w:t>
      </w:r>
    </w:p>
    <w:p w14:paraId="5E0B9125" w14:textId="77777777" w:rsidR="008E0849" w:rsidRPr="008E0849" w:rsidRDefault="008E0849" w:rsidP="008E0849">
      <w:pPr>
        <w:numPr>
          <w:ilvl w:val="0"/>
          <w:numId w:val="2"/>
        </w:numPr>
      </w:pPr>
      <w:r w:rsidRPr="008E0849">
        <w:rPr>
          <w:b/>
          <w:bCs/>
        </w:rPr>
        <w:t>Departmental Structure</w:t>
      </w:r>
      <w:r w:rsidRPr="008E0849">
        <w:t>: Propose a hierarchy using management groups (e.g., /Northwind/HR). Explain how this enforces RBAC boundaries.</w:t>
      </w:r>
    </w:p>
    <w:p w14:paraId="7CCC2516" w14:textId="77777777" w:rsidR="008E0849" w:rsidRPr="008E0849" w:rsidRDefault="008E0849" w:rsidP="008E0849">
      <w:pPr>
        <w:numPr>
          <w:ilvl w:val="0"/>
          <w:numId w:val="2"/>
        </w:numPr>
      </w:pPr>
      <w:r w:rsidRPr="008E0849">
        <w:rPr>
          <w:b/>
          <w:bCs/>
        </w:rPr>
        <w:t>Cost Tracking</w:t>
      </w:r>
      <w:r w:rsidRPr="008E0849">
        <w:t>: Outline how tags can be used (e.g., Department:Finance) to track spending. Provide a sample tag policy JSON snippet.</w:t>
      </w:r>
    </w:p>
    <w:p w14:paraId="3EB7A55E" w14:textId="77777777" w:rsidR="008E0849" w:rsidRDefault="008E0849" w:rsidP="008E0849">
      <w:pPr>
        <w:numPr>
          <w:ilvl w:val="0"/>
          <w:numId w:val="2"/>
        </w:numPr>
      </w:pPr>
      <w:r w:rsidRPr="008E0849">
        <w:rPr>
          <w:b/>
          <w:bCs/>
        </w:rPr>
        <w:t>Executive Summary</w:t>
      </w:r>
      <w:r w:rsidRPr="008E0849">
        <w:t>: Write a 100-word summary for Northwind’s CFO explaining the cost-saving benefits of your design.</w:t>
      </w:r>
    </w:p>
    <w:p w14:paraId="45F6B62E" w14:textId="77777777" w:rsidR="008E0849" w:rsidRPr="008E0849" w:rsidRDefault="008E0849" w:rsidP="008E0849">
      <w:pPr>
        <w:ind w:left="72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5"/>
        <w:gridCol w:w="4052"/>
        <w:gridCol w:w="2983"/>
      </w:tblGrid>
      <w:tr w:rsidR="008E0849" w:rsidRPr="008E0849" w14:paraId="2CACA831" w14:textId="77777777" w:rsidTr="008E0849">
        <w:trPr>
          <w:tblHeader/>
          <w:tblCellSpacing w:w="15" w:type="dxa"/>
        </w:trPr>
        <w:tc>
          <w:tcPr>
            <w:tcW w:w="0" w:type="auto"/>
            <w:vAlign w:val="center"/>
            <w:hideMark/>
          </w:tcPr>
          <w:p w14:paraId="3D758DA2" w14:textId="77777777" w:rsidR="008E0849" w:rsidRPr="008E0849" w:rsidRDefault="008E0849" w:rsidP="008E0849">
            <w:pPr>
              <w:rPr>
                <w:b/>
                <w:bCs/>
              </w:rPr>
            </w:pPr>
            <w:r w:rsidRPr="008E0849">
              <w:rPr>
                <w:b/>
                <w:bCs/>
              </w:rPr>
              <w:t>Subscription Type</w:t>
            </w:r>
          </w:p>
        </w:tc>
        <w:tc>
          <w:tcPr>
            <w:tcW w:w="0" w:type="auto"/>
            <w:vAlign w:val="center"/>
            <w:hideMark/>
          </w:tcPr>
          <w:p w14:paraId="61C75558" w14:textId="77777777" w:rsidR="008E0849" w:rsidRPr="008E0849" w:rsidRDefault="008E0849" w:rsidP="008E0849">
            <w:pPr>
              <w:rPr>
                <w:b/>
                <w:bCs/>
              </w:rPr>
            </w:pPr>
            <w:r w:rsidRPr="008E0849">
              <w:rPr>
                <w:b/>
                <w:bCs/>
              </w:rPr>
              <w:t>Description</w:t>
            </w:r>
          </w:p>
        </w:tc>
        <w:tc>
          <w:tcPr>
            <w:tcW w:w="0" w:type="auto"/>
            <w:vAlign w:val="center"/>
            <w:hideMark/>
          </w:tcPr>
          <w:p w14:paraId="3721F479" w14:textId="77777777" w:rsidR="008E0849" w:rsidRPr="008E0849" w:rsidRDefault="008E0849" w:rsidP="008E0849">
            <w:pPr>
              <w:rPr>
                <w:b/>
                <w:bCs/>
              </w:rPr>
            </w:pPr>
            <w:r w:rsidRPr="008E0849">
              <w:rPr>
                <w:b/>
                <w:bCs/>
              </w:rPr>
              <w:t>Best Use Case</w:t>
            </w:r>
          </w:p>
        </w:tc>
      </w:tr>
      <w:tr w:rsidR="008E0849" w:rsidRPr="008E0849" w14:paraId="736EF171" w14:textId="77777777" w:rsidTr="008E0849">
        <w:trPr>
          <w:tblCellSpacing w:w="15" w:type="dxa"/>
        </w:trPr>
        <w:tc>
          <w:tcPr>
            <w:tcW w:w="0" w:type="auto"/>
            <w:vAlign w:val="center"/>
            <w:hideMark/>
          </w:tcPr>
          <w:p w14:paraId="76BD184B" w14:textId="77777777" w:rsidR="008E0849" w:rsidRPr="008E0849" w:rsidRDefault="008E0849" w:rsidP="008E0849">
            <w:r w:rsidRPr="008E0849">
              <w:rPr>
                <w:b/>
                <w:bCs/>
              </w:rPr>
              <w:t>Enterprise Agreement (EA)</w:t>
            </w:r>
          </w:p>
        </w:tc>
        <w:tc>
          <w:tcPr>
            <w:tcW w:w="0" w:type="auto"/>
            <w:vAlign w:val="center"/>
            <w:hideMark/>
          </w:tcPr>
          <w:p w14:paraId="4F59F3CD" w14:textId="77777777" w:rsidR="008E0849" w:rsidRPr="008E0849" w:rsidRDefault="008E0849" w:rsidP="008E0849">
            <w:r w:rsidRPr="008E0849">
              <w:t>Designed for large organizations; supports centralized billing and volume licensing discounts.</w:t>
            </w:r>
          </w:p>
        </w:tc>
        <w:tc>
          <w:tcPr>
            <w:tcW w:w="0" w:type="auto"/>
            <w:vAlign w:val="center"/>
            <w:hideMark/>
          </w:tcPr>
          <w:p w14:paraId="48EAD15E" w14:textId="77777777" w:rsidR="008E0849" w:rsidRPr="008E0849" w:rsidRDefault="008E0849" w:rsidP="008E0849">
            <w:r w:rsidRPr="008E0849">
              <w:rPr>
                <w:b/>
                <w:bCs/>
              </w:rPr>
              <w:t>Best fit for large enterprises with multiple departments.</w:t>
            </w:r>
          </w:p>
        </w:tc>
      </w:tr>
      <w:tr w:rsidR="008E0849" w:rsidRPr="008E0849" w14:paraId="4EACB0E1" w14:textId="77777777" w:rsidTr="008E0849">
        <w:trPr>
          <w:tblCellSpacing w:w="15" w:type="dxa"/>
        </w:trPr>
        <w:tc>
          <w:tcPr>
            <w:tcW w:w="0" w:type="auto"/>
            <w:vAlign w:val="center"/>
            <w:hideMark/>
          </w:tcPr>
          <w:p w14:paraId="02316448" w14:textId="77777777" w:rsidR="008E0849" w:rsidRPr="008E0849" w:rsidRDefault="008E0849" w:rsidP="008E0849">
            <w:r w:rsidRPr="008E0849">
              <w:rPr>
                <w:b/>
                <w:bCs/>
              </w:rPr>
              <w:t>Pay-As-You-Go</w:t>
            </w:r>
          </w:p>
        </w:tc>
        <w:tc>
          <w:tcPr>
            <w:tcW w:w="0" w:type="auto"/>
            <w:vAlign w:val="center"/>
            <w:hideMark/>
          </w:tcPr>
          <w:p w14:paraId="3BE0C4BF" w14:textId="77777777" w:rsidR="008E0849" w:rsidRPr="008E0849" w:rsidRDefault="008E0849" w:rsidP="008E0849">
            <w:r w:rsidRPr="008E0849">
              <w:t>Flexible, monthly billing per usage. No upfront commitment.</w:t>
            </w:r>
          </w:p>
        </w:tc>
        <w:tc>
          <w:tcPr>
            <w:tcW w:w="0" w:type="auto"/>
            <w:vAlign w:val="center"/>
            <w:hideMark/>
          </w:tcPr>
          <w:p w14:paraId="38E89BC5" w14:textId="77777777" w:rsidR="008E0849" w:rsidRPr="008E0849" w:rsidRDefault="008E0849" w:rsidP="008E0849">
            <w:r w:rsidRPr="008E0849">
              <w:t>Best for startups or testing environments.</w:t>
            </w:r>
          </w:p>
        </w:tc>
      </w:tr>
      <w:tr w:rsidR="008E0849" w:rsidRPr="008E0849" w14:paraId="71364CDA" w14:textId="77777777" w:rsidTr="008E0849">
        <w:trPr>
          <w:tblCellSpacing w:w="15" w:type="dxa"/>
        </w:trPr>
        <w:tc>
          <w:tcPr>
            <w:tcW w:w="0" w:type="auto"/>
            <w:vAlign w:val="center"/>
            <w:hideMark/>
          </w:tcPr>
          <w:p w14:paraId="520A792F" w14:textId="77777777" w:rsidR="008E0849" w:rsidRPr="008E0849" w:rsidRDefault="008E0849" w:rsidP="008E0849">
            <w:r w:rsidRPr="008E0849">
              <w:rPr>
                <w:b/>
                <w:bCs/>
              </w:rPr>
              <w:t>Microsoft Customer Agreement (MCA)</w:t>
            </w:r>
          </w:p>
        </w:tc>
        <w:tc>
          <w:tcPr>
            <w:tcW w:w="0" w:type="auto"/>
            <w:vAlign w:val="center"/>
            <w:hideMark/>
          </w:tcPr>
          <w:p w14:paraId="76D7EAEB" w14:textId="77777777" w:rsidR="008E0849" w:rsidRPr="008E0849" w:rsidRDefault="008E0849" w:rsidP="008E0849">
            <w:r w:rsidRPr="008E0849">
              <w:t>Provides modern billing, tailored to mid-size orgs, also supports centralized billing.</w:t>
            </w:r>
          </w:p>
        </w:tc>
        <w:tc>
          <w:tcPr>
            <w:tcW w:w="0" w:type="auto"/>
            <w:vAlign w:val="center"/>
            <w:hideMark/>
          </w:tcPr>
          <w:p w14:paraId="545C3A52" w14:textId="77777777" w:rsidR="008E0849" w:rsidRPr="008E0849" w:rsidRDefault="008E0849" w:rsidP="008E0849">
            <w:r w:rsidRPr="008E0849">
              <w:t>Good for smaller enterprises needing billing flexibility.</w:t>
            </w:r>
          </w:p>
        </w:tc>
      </w:tr>
    </w:tbl>
    <w:p w14:paraId="0D35F82D" w14:textId="77777777" w:rsidR="008E0849" w:rsidRDefault="008E0849" w:rsidP="008E0849">
      <w:r w:rsidRPr="008E0849">
        <w:rPr>
          <w:b/>
          <w:bCs/>
        </w:rPr>
        <w:t>Recommendation: Enterprise Agreement (EA)</w:t>
      </w:r>
      <w:r w:rsidRPr="008E0849">
        <w:br/>
        <w:t>EA provides centralized billing, departmental cost tracking, and negotiated pricing — ideal for Northwind’s multi-department model.</w:t>
      </w:r>
      <w:r w:rsidRPr="008E0849">
        <w:t xml:space="preserve"> </w:t>
      </w:r>
    </w:p>
    <w:p w14:paraId="692E8AD0" w14:textId="77777777" w:rsidR="008E0849" w:rsidRPr="008E0849" w:rsidRDefault="008E0849" w:rsidP="008E0849">
      <w:pPr>
        <w:rPr>
          <w:b/>
          <w:bCs/>
        </w:rPr>
      </w:pPr>
      <w:r w:rsidRPr="008E0849">
        <w:rPr>
          <w:b/>
          <w:bCs/>
        </w:rPr>
        <w:lastRenderedPageBreak/>
        <w:t>Departmental Structure with Management Groups</w:t>
      </w:r>
    </w:p>
    <w:p w14:paraId="39903E1B" w14:textId="77777777" w:rsidR="008E0849" w:rsidRPr="008E0849" w:rsidRDefault="008E0849" w:rsidP="008E0849">
      <w:r w:rsidRPr="008E0849">
        <w:t>Use a hierarchy for governance and access control:</w:t>
      </w:r>
    </w:p>
    <w:p w14:paraId="799D8F18" w14:textId="37853B05" w:rsidR="008E0849" w:rsidRDefault="008E0849" w:rsidP="008E0849">
      <w:r>
        <w:t>/Northwind</w:t>
      </w:r>
    </w:p>
    <w:p w14:paraId="2C8773A5" w14:textId="77777777" w:rsidR="008E0849" w:rsidRDefault="008E0849" w:rsidP="008E0849">
      <w:r>
        <w:rPr>
          <w:rFonts w:ascii="MS Gothic" w:eastAsia="MS Gothic" w:hAnsi="MS Gothic" w:cs="MS Gothic" w:hint="eastAsia"/>
        </w:rPr>
        <w:t>├</w:t>
      </w:r>
      <w:r>
        <w:rPr>
          <w:rFonts w:ascii="Aptos" w:hAnsi="Aptos" w:cs="Aptos"/>
        </w:rPr>
        <w:t>──</w:t>
      </w:r>
      <w:r>
        <w:t xml:space="preserve"> /HR</w:t>
      </w:r>
    </w:p>
    <w:p w14:paraId="636C5862" w14:textId="77777777" w:rsidR="008E0849" w:rsidRDefault="008E0849" w:rsidP="008E0849">
      <w:r>
        <w:rPr>
          <w:rFonts w:ascii="MS Gothic" w:eastAsia="MS Gothic" w:hAnsi="MS Gothic" w:cs="MS Gothic" w:hint="eastAsia"/>
        </w:rPr>
        <w:t>├</w:t>
      </w:r>
      <w:r>
        <w:rPr>
          <w:rFonts w:ascii="Aptos" w:hAnsi="Aptos" w:cs="Aptos"/>
        </w:rPr>
        <w:t>──</w:t>
      </w:r>
      <w:r>
        <w:t xml:space="preserve"> /Finance</w:t>
      </w:r>
    </w:p>
    <w:p w14:paraId="396DAB61" w14:textId="4E878077" w:rsidR="00DD3426" w:rsidRDefault="008E0849" w:rsidP="008E0849">
      <w:r>
        <w:t>└── /IT</w:t>
      </w:r>
    </w:p>
    <w:p w14:paraId="55F76883" w14:textId="77777777" w:rsidR="008E0849" w:rsidRPr="008E0849" w:rsidRDefault="008E0849" w:rsidP="008E0849">
      <w:pPr>
        <w:numPr>
          <w:ilvl w:val="0"/>
          <w:numId w:val="3"/>
        </w:numPr>
      </w:pPr>
      <w:r w:rsidRPr="008E0849">
        <w:rPr>
          <w:b/>
          <w:bCs/>
        </w:rPr>
        <w:t>Management Groups</w:t>
      </w:r>
      <w:r w:rsidRPr="008E0849">
        <w:t xml:space="preserve">: Enforce </w:t>
      </w:r>
      <w:r w:rsidRPr="008E0849">
        <w:rPr>
          <w:b/>
          <w:bCs/>
        </w:rPr>
        <w:t>RBAC</w:t>
      </w:r>
      <w:r w:rsidRPr="008E0849">
        <w:t xml:space="preserve"> and </w:t>
      </w:r>
      <w:r w:rsidRPr="008E0849">
        <w:rPr>
          <w:b/>
          <w:bCs/>
        </w:rPr>
        <w:t>Azure Policy</w:t>
      </w:r>
      <w:r w:rsidRPr="008E0849">
        <w:t xml:space="preserve"> at the department level.</w:t>
      </w:r>
    </w:p>
    <w:p w14:paraId="0F714F0C" w14:textId="77777777" w:rsidR="008E0849" w:rsidRPr="008E0849" w:rsidRDefault="008E0849" w:rsidP="008E0849">
      <w:pPr>
        <w:numPr>
          <w:ilvl w:val="0"/>
          <w:numId w:val="3"/>
        </w:numPr>
      </w:pPr>
      <w:r w:rsidRPr="008E0849">
        <w:rPr>
          <w:b/>
          <w:bCs/>
        </w:rPr>
        <w:t>Subscriptions</w:t>
      </w:r>
      <w:r w:rsidRPr="008E0849">
        <w:t>: Create one per department under respective management groups.</w:t>
      </w:r>
    </w:p>
    <w:p w14:paraId="08F23097" w14:textId="77777777" w:rsidR="008E0849" w:rsidRPr="008E0849" w:rsidRDefault="008E0849" w:rsidP="008E0849">
      <w:pPr>
        <w:numPr>
          <w:ilvl w:val="0"/>
          <w:numId w:val="3"/>
        </w:numPr>
      </w:pPr>
      <w:r w:rsidRPr="008E0849">
        <w:rPr>
          <w:b/>
          <w:bCs/>
        </w:rPr>
        <w:t>Benefits</w:t>
      </w:r>
      <w:r w:rsidRPr="008E0849">
        <w:t>:</w:t>
      </w:r>
    </w:p>
    <w:p w14:paraId="4E3ED14B" w14:textId="77777777" w:rsidR="008E0849" w:rsidRPr="008E0849" w:rsidRDefault="008E0849" w:rsidP="008E0849">
      <w:pPr>
        <w:numPr>
          <w:ilvl w:val="1"/>
          <w:numId w:val="3"/>
        </w:numPr>
      </w:pPr>
      <w:r w:rsidRPr="008E0849">
        <w:t>Isolated resources and role-based access</w:t>
      </w:r>
    </w:p>
    <w:p w14:paraId="5AF00C2D" w14:textId="77777777" w:rsidR="008E0849" w:rsidRPr="008E0849" w:rsidRDefault="008E0849" w:rsidP="008E0849">
      <w:pPr>
        <w:numPr>
          <w:ilvl w:val="1"/>
          <w:numId w:val="3"/>
        </w:numPr>
      </w:pPr>
      <w:r w:rsidRPr="008E0849">
        <w:t>Department-specific policies (e.g., region restrictions)</w:t>
      </w:r>
    </w:p>
    <w:p w14:paraId="461003B2" w14:textId="77777777" w:rsidR="008E0849" w:rsidRPr="008E0849" w:rsidRDefault="008E0849" w:rsidP="008E0849">
      <w:pPr>
        <w:numPr>
          <w:ilvl w:val="1"/>
          <w:numId w:val="3"/>
        </w:numPr>
      </w:pPr>
      <w:r w:rsidRPr="008E0849">
        <w:t>Inherited compliance rules</w:t>
      </w:r>
    </w:p>
    <w:p w14:paraId="6F6AAC56" w14:textId="77777777" w:rsidR="008E0849" w:rsidRPr="008E0849" w:rsidRDefault="008E0849" w:rsidP="008E0849">
      <w:r w:rsidRPr="008E0849">
        <w:rPr>
          <w:b/>
          <w:bCs/>
        </w:rPr>
        <w:t>Example</w:t>
      </w:r>
      <w:r w:rsidRPr="008E0849">
        <w:t>:</w:t>
      </w:r>
    </w:p>
    <w:p w14:paraId="6A6255ED" w14:textId="77777777" w:rsidR="008E0849" w:rsidRPr="008E0849" w:rsidRDefault="008E0849" w:rsidP="008E0849">
      <w:pPr>
        <w:numPr>
          <w:ilvl w:val="0"/>
          <w:numId w:val="4"/>
        </w:numPr>
      </w:pPr>
      <w:r w:rsidRPr="008E0849">
        <w:t>Assign Reader role at /Northwind for central auditing.</w:t>
      </w:r>
    </w:p>
    <w:p w14:paraId="59875A82" w14:textId="77777777" w:rsidR="008E0849" w:rsidRPr="008E0849" w:rsidRDefault="008E0849" w:rsidP="008E0849">
      <w:pPr>
        <w:numPr>
          <w:ilvl w:val="0"/>
          <w:numId w:val="4"/>
        </w:numPr>
      </w:pPr>
      <w:r w:rsidRPr="008E0849">
        <w:t>Assign Contributor role only to HR admins on /Northwind/HR.</w:t>
      </w:r>
    </w:p>
    <w:p w14:paraId="044D3374" w14:textId="77777777" w:rsidR="008E0849" w:rsidRDefault="008E0849" w:rsidP="008E0849"/>
    <w:p w14:paraId="350D5A17" w14:textId="77777777" w:rsidR="008E0849" w:rsidRPr="008E0849" w:rsidRDefault="008E0849" w:rsidP="008E0849">
      <w:pPr>
        <w:rPr>
          <w:b/>
          <w:bCs/>
        </w:rPr>
      </w:pPr>
      <w:r w:rsidRPr="008E0849">
        <w:rPr>
          <w:b/>
          <w:bCs/>
        </w:rPr>
        <w:t>Cost Tracking with Tags</w:t>
      </w:r>
    </w:p>
    <w:p w14:paraId="5C45F44D" w14:textId="77777777" w:rsidR="008E0849" w:rsidRPr="008E0849" w:rsidRDefault="008E0849" w:rsidP="008E0849">
      <w:r w:rsidRPr="008E0849">
        <w:t>Tags enable chargeback and showback by department, environment, or project.</w:t>
      </w:r>
    </w:p>
    <w:p w14:paraId="5B2C2E24" w14:textId="05F707F8" w:rsidR="008E0849" w:rsidRDefault="008E0849" w:rsidP="008E0849">
      <w:r>
        <w:t>Example Tags:</w:t>
      </w:r>
    </w:p>
    <w:p w14:paraId="6F706FA0" w14:textId="299BDAF8" w:rsidR="008E0849" w:rsidRDefault="008E0849" w:rsidP="008E0849">
      <w:r>
        <w:t xml:space="preserve">Department: Finance  </w:t>
      </w:r>
    </w:p>
    <w:p w14:paraId="477737E6" w14:textId="77777777" w:rsidR="008E0849" w:rsidRDefault="008E0849" w:rsidP="008E0849">
      <w:r>
        <w:t xml:space="preserve">Environment: Production  </w:t>
      </w:r>
    </w:p>
    <w:p w14:paraId="44E54B45" w14:textId="43A84640" w:rsidR="008E0849" w:rsidRDefault="008E0849" w:rsidP="008E0849">
      <w:r>
        <w:t>Project: PayrollSystem</w:t>
      </w:r>
    </w:p>
    <w:p w14:paraId="190F12C1" w14:textId="77777777" w:rsidR="008E0849" w:rsidRDefault="008E0849" w:rsidP="008E0849"/>
    <w:p w14:paraId="65A18D7F" w14:textId="77777777" w:rsidR="008E0849" w:rsidRDefault="008E0849" w:rsidP="008E0849"/>
    <w:p w14:paraId="7590B551" w14:textId="77777777" w:rsidR="008E0849" w:rsidRDefault="008E0849" w:rsidP="008E0849"/>
    <w:p w14:paraId="5BF1B198" w14:textId="77777777" w:rsidR="008E0849" w:rsidRDefault="008E0849" w:rsidP="008E0849"/>
    <w:p w14:paraId="2C1EEFD9" w14:textId="4B88D8CB" w:rsidR="008E0849" w:rsidRDefault="008E0849" w:rsidP="008E0849">
      <w:r>
        <w:lastRenderedPageBreak/>
        <w:t>Sample Tag Policy (JSON)</w:t>
      </w:r>
    </w:p>
    <w:p w14:paraId="1DB07119" w14:textId="18C59142" w:rsidR="008E0849" w:rsidRDefault="008E0849" w:rsidP="008E0849">
      <w:r>
        <w:rPr>
          <w:noProof/>
        </w:rPr>
        <w:drawing>
          <wp:inline distT="0" distB="0" distL="0" distR="0" wp14:anchorId="6E624905" wp14:editId="2D7D0492">
            <wp:extent cx="3886200" cy="4324350"/>
            <wp:effectExtent l="0" t="0" r="0" b="0"/>
            <wp:docPr id="1981789132"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789132" name="Picture 1" descr="A computer screen shot of text&#10;&#10;AI-generated content may be incorrect."/>
                    <pic:cNvPicPr/>
                  </pic:nvPicPr>
                  <pic:blipFill>
                    <a:blip r:embed="rId7"/>
                    <a:stretch>
                      <a:fillRect/>
                    </a:stretch>
                  </pic:blipFill>
                  <pic:spPr>
                    <a:xfrm>
                      <a:off x="0" y="0"/>
                      <a:ext cx="3886200" cy="4324350"/>
                    </a:xfrm>
                    <a:prstGeom prst="rect">
                      <a:avLst/>
                    </a:prstGeom>
                  </pic:spPr>
                </pic:pic>
              </a:graphicData>
            </a:graphic>
          </wp:inline>
        </w:drawing>
      </w:r>
    </w:p>
    <w:p w14:paraId="650FE5A2" w14:textId="77777777" w:rsidR="008E0849" w:rsidRPr="008E0849" w:rsidRDefault="008E0849" w:rsidP="008E0849">
      <w:pPr>
        <w:rPr>
          <w:b/>
          <w:bCs/>
        </w:rPr>
      </w:pPr>
      <w:r w:rsidRPr="008E0849">
        <w:rPr>
          <w:b/>
          <w:bCs/>
        </w:rPr>
        <w:t>Executive Summary for CFO (100 Words)</w:t>
      </w:r>
    </w:p>
    <w:p w14:paraId="2DE9543D" w14:textId="77777777" w:rsidR="008E0849" w:rsidRPr="008E0849" w:rsidRDefault="008E0849" w:rsidP="008E0849">
      <w:r w:rsidRPr="008E0849">
        <w:t>Northwind’s Azure subscription model enables centralized billing under an Enterprise Agreement while maintaining department-level isolation for HR, Finance, and IT. By assigning each department its own subscription under a structured management group hierarchy, we enhance security, governance, and cost visibility. Tags enforce clear cost allocation, enabling accurate departmental chargeback and showback. The model supports volume discounts, policy enforcement, and streamlined access control, reducing administrative overhead and maximizing ROI. This approach ensures scalable cloud adoption while keeping financial oversight centralized — aligning with Northwind’s operational and financial goals.</w:t>
      </w:r>
    </w:p>
    <w:p w14:paraId="127A60D6" w14:textId="77777777" w:rsidR="008E0849" w:rsidRDefault="008E0849" w:rsidP="008E0849"/>
    <w:sectPr w:rsidR="008E0849">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5482BB" w14:textId="77777777" w:rsidR="00C94CA8" w:rsidRDefault="00C94CA8" w:rsidP="008E0849">
      <w:pPr>
        <w:spacing w:after="0" w:line="240" w:lineRule="auto"/>
      </w:pPr>
      <w:r>
        <w:separator/>
      </w:r>
    </w:p>
  </w:endnote>
  <w:endnote w:type="continuationSeparator" w:id="0">
    <w:p w14:paraId="14CA5793" w14:textId="77777777" w:rsidR="00C94CA8" w:rsidRDefault="00C94CA8" w:rsidP="008E0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71EA21" w14:textId="77777777" w:rsidR="00C94CA8" w:rsidRDefault="00C94CA8" w:rsidP="008E0849">
      <w:pPr>
        <w:spacing w:after="0" w:line="240" w:lineRule="auto"/>
      </w:pPr>
      <w:r>
        <w:separator/>
      </w:r>
    </w:p>
  </w:footnote>
  <w:footnote w:type="continuationSeparator" w:id="0">
    <w:p w14:paraId="70C24BB1" w14:textId="77777777" w:rsidR="00C94CA8" w:rsidRDefault="00C94CA8" w:rsidP="008E08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F9BF1" w14:textId="3DAF0608" w:rsidR="008E0849" w:rsidRDefault="008E0849">
    <w:pPr>
      <w:pStyle w:val="Header"/>
    </w:pPr>
    <w:r>
      <w:rPr>
        <w:noProof/>
      </w:rPr>
      <mc:AlternateContent>
        <mc:Choice Requires="wps">
          <w:drawing>
            <wp:anchor distT="0" distB="0" distL="0" distR="0" simplePos="0" relativeHeight="251659264" behindDoc="0" locked="0" layoutInCell="1" allowOverlap="1" wp14:anchorId="7E874096" wp14:editId="7AEACEA7">
              <wp:simplePos x="635" y="635"/>
              <wp:positionH relativeFrom="page">
                <wp:align>right</wp:align>
              </wp:positionH>
              <wp:positionV relativeFrom="page">
                <wp:align>top</wp:align>
              </wp:positionV>
              <wp:extent cx="981075" cy="316230"/>
              <wp:effectExtent l="0" t="0" r="0" b="7620"/>
              <wp:wrapNone/>
              <wp:docPr id="1441864997" name="Text Box 2" descr="1 - General Busines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81075" cy="316230"/>
                      </a:xfrm>
                      <a:prstGeom prst="rect">
                        <a:avLst/>
                      </a:prstGeom>
                      <a:noFill/>
                      <a:ln>
                        <a:noFill/>
                      </a:ln>
                    </wps:spPr>
                    <wps:txbx>
                      <w:txbxContent>
                        <w:p w14:paraId="55640925" w14:textId="79BFBC69" w:rsidR="008E0849" w:rsidRPr="008E0849" w:rsidRDefault="008E0849" w:rsidP="008E0849">
                          <w:pPr>
                            <w:spacing w:after="0"/>
                            <w:rPr>
                              <w:rFonts w:ascii="Calibri" w:eastAsia="Calibri" w:hAnsi="Calibri" w:cs="Calibri"/>
                              <w:noProof/>
                              <w:color w:val="000000"/>
                              <w:sz w:val="14"/>
                              <w:szCs w:val="14"/>
                            </w:rPr>
                          </w:pPr>
                          <w:r w:rsidRPr="008E0849">
                            <w:rPr>
                              <w:rFonts w:ascii="Calibri" w:eastAsia="Calibri" w:hAnsi="Calibri" w:cs="Calibri"/>
                              <w:noProof/>
                              <w:color w:val="000000"/>
                              <w:sz w:val="14"/>
                              <w:szCs w:val="14"/>
                            </w:rPr>
                            <w:t>1 - General Business</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7E874096" id="_x0000_t202" coordsize="21600,21600" o:spt="202" path="m,l,21600r21600,l21600,xe">
              <v:stroke joinstyle="miter"/>
              <v:path gradientshapeok="t" o:connecttype="rect"/>
            </v:shapetype>
            <v:shape id="Text Box 2" o:spid="_x0000_s1026" type="#_x0000_t202" alt="1 - General Business" style="position:absolute;margin-left:26.05pt;margin-top:0;width:77.25pt;height:24.9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" filled="f" stroked="f">
              <v:fill o:detectmouseclick="t"/>
              <v:textbox style="mso-fit-shape-to-text:t" inset="0,15pt,20pt,0">
                <w:txbxContent>
                  <w:p w14:paraId="55640925" w14:textId="79BFBC69" w:rsidR="008E0849" w:rsidRPr="008E0849" w:rsidRDefault="008E0849" w:rsidP="008E0849">
                    <w:pPr>
                      <w:spacing w:after="0"/>
                      <w:rPr>
                        <w:rFonts w:ascii="Calibri" w:eastAsia="Calibri" w:hAnsi="Calibri" w:cs="Calibri"/>
                        <w:noProof/>
                        <w:color w:val="000000"/>
                        <w:sz w:val="14"/>
                        <w:szCs w:val="14"/>
                      </w:rPr>
                    </w:pPr>
                    <w:r w:rsidRPr="008E0849">
                      <w:rPr>
                        <w:rFonts w:ascii="Calibri" w:eastAsia="Calibri" w:hAnsi="Calibri" w:cs="Calibri"/>
                        <w:noProof/>
                        <w:color w:val="000000"/>
                        <w:sz w:val="14"/>
                        <w:szCs w:val="14"/>
                      </w:rPr>
                      <w:t>1 - General Business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D0404" w14:textId="2A1AD6EE" w:rsidR="008E0849" w:rsidRDefault="008E0849">
    <w:pPr>
      <w:pStyle w:val="Header"/>
    </w:pPr>
    <w:r>
      <w:rPr>
        <w:noProof/>
      </w:rPr>
      <mc:AlternateContent>
        <mc:Choice Requires="wps">
          <w:drawing>
            <wp:anchor distT="0" distB="0" distL="0" distR="0" simplePos="0" relativeHeight="251660288" behindDoc="0" locked="0" layoutInCell="1" allowOverlap="1" wp14:anchorId="62B4449F" wp14:editId="601377A9">
              <wp:simplePos x="914400" y="457200"/>
              <wp:positionH relativeFrom="page">
                <wp:align>right</wp:align>
              </wp:positionH>
              <wp:positionV relativeFrom="page">
                <wp:align>top</wp:align>
              </wp:positionV>
              <wp:extent cx="981075" cy="316230"/>
              <wp:effectExtent l="0" t="0" r="0" b="7620"/>
              <wp:wrapNone/>
              <wp:docPr id="2105012948" name="Text Box 3" descr="1 - General Busines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81075" cy="316230"/>
                      </a:xfrm>
                      <a:prstGeom prst="rect">
                        <a:avLst/>
                      </a:prstGeom>
                      <a:noFill/>
                      <a:ln>
                        <a:noFill/>
                      </a:ln>
                    </wps:spPr>
                    <wps:txbx>
                      <w:txbxContent>
                        <w:p w14:paraId="3F336564" w14:textId="31C57F00" w:rsidR="008E0849" w:rsidRPr="008E0849" w:rsidRDefault="008E0849" w:rsidP="008E0849">
                          <w:pPr>
                            <w:spacing w:after="0"/>
                            <w:rPr>
                              <w:rFonts w:ascii="Calibri" w:eastAsia="Calibri" w:hAnsi="Calibri" w:cs="Calibri"/>
                              <w:noProof/>
                              <w:color w:val="000000"/>
                              <w:sz w:val="14"/>
                              <w:szCs w:val="14"/>
                            </w:rPr>
                          </w:pPr>
                          <w:r w:rsidRPr="008E0849">
                            <w:rPr>
                              <w:rFonts w:ascii="Calibri" w:eastAsia="Calibri" w:hAnsi="Calibri" w:cs="Calibri"/>
                              <w:noProof/>
                              <w:color w:val="000000"/>
                              <w:sz w:val="14"/>
                              <w:szCs w:val="14"/>
                            </w:rPr>
                            <w:t>1 - General Business</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2B4449F" id="_x0000_t202" coordsize="21600,21600" o:spt="202" path="m,l,21600r21600,l21600,xe">
              <v:stroke joinstyle="miter"/>
              <v:path gradientshapeok="t" o:connecttype="rect"/>
            </v:shapetype>
            <v:shape id="Text Box 3" o:spid="_x0000_s1027" type="#_x0000_t202" alt="1 - General Business" style="position:absolute;margin-left:26.05pt;margin-top:0;width:77.25pt;height:24.9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" filled="f" stroked="f">
              <v:fill o:detectmouseclick="t"/>
              <v:textbox style="mso-fit-shape-to-text:t" inset="0,15pt,20pt,0">
                <w:txbxContent>
                  <w:p w14:paraId="3F336564" w14:textId="31C57F00" w:rsidR="008E0849" w:rsidRPr="008E0849" w:rsidRDefault="008E0849" w:rsidP="008E0849">
                    <w:pPr>
                      <w:spacing w:after="0"/>
                      <w:rPr>
                        <w:rFonts w:ascii="Calibri" w:eastAsia="Calibri" w:hAnsi="Calibri" w:cs="Calibri"/>
                        <w:noProof/>
                        <w:color w:val="000000"/>
                        <w:sz w:val="14"/>
                        <w:szCs w:val="14"/>
                      </w:rPr>
                    </w:pPr>
                    <w:r w:rsidRPr="008E0849">
                      <w:rPr>
                        <w:rFonts w:ascii="Calibri" w:eastAsia="Calibri" w:hAnsi="Calibri" w:cs="Calibri"/>
                        <w:noProof/>
                        <w:color w:val="000000"/>
                        <w:sz w:val="14"/>
                        <w:szCs w:val="14"/>
                      </w:rPr>
                      <w:t>1 - General Business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22EFE" w14:textId="05C9D99D" w:rsidR="008E0849" w:rsidRDefault="008E0849">
    <w:pPr>
      <w:pStyle w:val="Header"/>
    </w:pPr>
    <w:r>
      <w:rPr>
        <w:noProof/>
      </w:rPr>
      <mc:AlternateContent>
        <mc:Choice Requires="wps">
          <w:drawing>
            <wp:anchor distT="0" distB="0" distL="0" distR="0" simplePos="0" relativeHeight="251658240" behindDoc="0" locked="0" layoutInCell="1" allowOverlap="1" wp14:anchorId="2BAE1B20" wp14:editId="169FE486">
              <wp:simplePos x="635" y="635"/>
              <wp:positionH relativeFrom="page">
                <wp:align>right</wp:align>
              </wp:positionH>
              <wp:positionV relativeFrom="page">
                <wp:align>top</wp:align>
              </wp:positionV>
              <wp:extent cx="981075" cy="316230"/>
              <wp:effectExtent l="0" t="0" r="0" b="7620"/>
              <wp:wrapNone/>
              <wp:docPr id="1759582726" name="Text Box 1" descr="1 - General Busines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81075" cy="316230"/>
                      </a:xfrm>
                      <a:prstGeom prst="rect">
                        <a:avLst/>
                      </a:prstGeom>
                      <a:noFill/>
                      <a:ln>
                        <a:noFill/>
                      </a:ln>
                    </wps:spPr>
                    <wps:txbx>
                      <w:txbxContent>
                        <w:p w14:paraId="18DF7097" w14:textId="4EEF13D7" w:rsidR="008E0849" w:rsidRPr="008E0849" w:rsidRDefault="008E0849" w:rsidP="008E0849">
                          <w:pPr>
                            <w:spacing w:after="0"/>
                            <w:rPr>
                              <w:rFonts w:ascii="Calibri" w:eastAsia="Calibri" w:hAnsi="Calibri" w:cs="Calibri"/>
                              <w:noProof/>
                              <w:color w:val="000000"/>
                              <w:sz w:val="14"/>
                              <w:szCs w:val="14"/>
                            </w:rPr>
                          </w:pPr>
                          <w:r w:rsidRPr="008E0849">
                            <w:rPr>
                              <w:rFonts w:ascii="Calibri" w:eastAsia="Calibri" w:hAnsi="Calibri" w:cs="Calibri"/>
                              <w:noProof/>
                              <w:color w:val="000000"/>
                              <w:sz w:val="14"/>
                              <w:szCs w:val="14"/>
                            </w:rPr>
                            <w:t>1 - General Business</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2BAE1B20" id="_x0000_t202" coordsize="21600,21600" o:spt="202" path="m,l,21600r21600,l21600,xe">
              <v:stroke joinstyle="miter"/>
              <v:path gradientshapeok="t" o:connecttype="rect"/>
            </v:shapetype>
            <v:shape id="Text Box 1" o:spid="_x0000_s1028" type="#_x0000_t202" alt="1 - General Business" style="position:absolute;margin-left:26.05pt;margin-top:0;width:77.25pt;height:24.9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" filled="f" stroked="f">
              <v:fill o:detectmouseclick="t"/>
              <v:textbox style="mso-fit-shape-to-text:t" inset="0,15pt,20pt,0">
                <w:txbxContent>
                  <w:p w14:paraId="18DF7097" w14:textId="4EEF13D7" w:rsidR="008E0849" w:rsidRPr="008E0849" w:rsidRDefault="008E0849" w:rsidP="008E0849">
                    <w:pPr>
                      <w:spacing w:after="0"/>
                      <w:rPr>
                        <w:rFonts w:ascii="Calibri" w:eastAsia="Calibri" w:hAnsi="Calibri" w:cs="Calibri"/>
                        <w:noProof/>
                        <w:color w:val="000000"/>
                        <w:sz w:val="14"/>
                        <w:szCs w:val="14"/>
                      </w:rPr>
                    </w:pPr>
                    <w:r w:rsidRPr="008E0849">
                      <w:rPr>
                        <w:rFonts w:ascii="Calibri" w:eastAsia="Calibri" w:hAnsi="Calibri" w:cs="Calibri"/>
                        <w:noProof/>
                        <w:color w:val="000000"/>
                        <w:sz w:val="14"/>
                        <w:szCs w:val="14"/>
                      </w:rPr>
                      <w:t>1 - General Business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41190A"/>
    <w:multiLevelType w:val="multilevel"/>
    <w:tmpl w:val="8D34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260DF9"/>
    <w:multiLevelType w:val="multilevel"/>
    <w:tmpl w:val="79A6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2D0729"/>
    <w:multiLevelType w:val="multilevel"/>
    <w:tmpl w:val="9F82C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DB6315"/>
    <w:multiLevelType w:val="multilevel"/>
    <w:tmpl w:val="D3329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0793045">
    <w:abstractNumId w:val="0"/>
  </w:num>
  <w:num w:numId="2" w16cid:durableId="763185623">
    <w:abstractNumId w:val="2"/>
  </w:num>
  <w:num w:numId="3" w16cid:durableId="1197308326">
    <w:abstractNumId w:val="3"/>
  </w:num>
  <w:num w:numId="4" w16cid:durableId="1263295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426"/>
    <w:rsid w:val="002F4BF1"/>
    <w:rsid w:val="008E0849"/>
    <w:rsid w:val="00C94CA8"/>
    <w:rsid w:val="00DD3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60414"/>
  <w15:chartTrackingRefBased/>
  <w15:docId w15:val="{C8C09262-A18D-404E-BF12-D9F6C9124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4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34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34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34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34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34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4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4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4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4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34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34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34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34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34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4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4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426"/>
    <w:rPr>
      <w:rFonts w:eastAsiaTheme="majorEastAsia" w:cstheme="majorBidi"/>
      <w:color w:val="272727" w:themeColor="text1" w:themeTint="D8"/>
    </w:rPr>
  </w:style>
  <w:style w:type="paragraph" w:styleId="Title">
    <w:name w:val="Title"/>
    <w:basedOn w:val="Normal"/>
    <w:next w:val="Normal"/>
    <w:link w:val="TitleChar"/>
    <w:uiPriority w:val="10"/>
    <w:qFormat/>
    <w:rsid w:val="00DD34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4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4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4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426"/>
    <w:pPr>
      <w:spacing w:before="160"/>
      <w:jc w:val="center"/>
    </w:pPr>
    <w:rPr>
      <w:i/>
      <w:iCs/>
      <w:color w:val="404040" w:themeColor="text1" w:themeTint="BF"/>
    </w:rPr>
  </w:style>
  <w:style w:type="character" w:customStyle="1" w:styleId="QuoteChar">
    <w:name w:val="Quote Char"/>
    <w:basedOn w:val="DefaultParagraphFont"/>
    <w:link w:val="Quote"/>
    <w:uiPriority w:val="29"/>
    <w:rsid w:val="00DD3426"/>
    <w:rPr>
      <w:i/>
      <w:iCs/>
      <w:color w:val="404040" w:themeColor="text1" w:themeTint="BF"/>
    </w:rPr>
  </w:style>
  <w:style w:type="paragraph" w:styleId="ListParagraph">
    <w:name w:val="List Paragraph"/>
    <w:basedOn w:val="Normal"/>
    <w:uiPriority w:val="34"/>
    <w:qFormat/>
    <w:rsid w:val="00DD3426"/>
    <w:pPr>
      <w:ind w:left="720"/>
      <w:contextualSpacing/>
    </w:pPr>
  </w:style>
  <w:style w:type="character" w:styleId="IntenseEmphasis">
    <w:name w:val="Intense Emphasis"/>
    <w:basedOn w:val="DefaultParagraphFont"/>
    <w:uiPriority w:val="21"/>
    <w:qFormat/>
    <w:rsid w:val="00DD3426"/>
    <w:rPr>
      <w:i/>
      <w:iCs/>
      <w:color w:val="0F4761" w:themeColor="accent1" w:themeShade="BF"/>
    </w:rPr>
  </w:style>
  <w:style w:type="paragraph" w:styleId="IntenseQuote">
    <w:name w:val="Intense Quote"/>
    <w:basedOn w:val="Normal"/>
    <w:next w:val="Normal"/>
    <w:link w:val="IntenseQuoteChar"/>
    <w:uiPriority w:val="30"/>
    <w:qFormat/>
    <w:rsid w:val="00DD34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3426"/>
    <w:rPr>
      <w:i/>
      <w:iCs/>
      <w:color w:val="0F4761" w:themeColor="accent1" w:themeShade="BF"/>
    </w:rPr>
  </w:style>
  <w:style w:type="character" w:styleId="IntenseReference">
    <w:name w:val="Intense Reference"/>
    <w:basedOn w:val="DefaultParagraphFont"/>
    <w:uiPriority w:val="32"/>
    <w:qFormat/>
    <w:rsid w:val="00DD3426"/>
    <w:rPr>
      <w:b/>
      <w:bCs/>
      <w:smallCaps/>
      <w:color w:val="0F4761" w:themeColor="accent1" w:themeShade="BF"/>
      <w:spacing w:val="5"/>
    </w:rPr>
  </w:style>
  <w:style w:type="paragraph" w:styleId="Header">
    <w:name w:val="header"/>
    <w:basedOn w:val="Normal"/>
    <w:link w:val="HeaderChar"/>
    <w:uiPriority w:val="99"/>
    <w:unhideWhenUsed/>
    <w:rsid w:val="008E08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0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75964">
      <w:bodyDiv w:val="1"/>
      <w:marLeft w:val="0"/>
      <w:marRight w:val="0"/>
      <w:marTop w:val="0"/>
      <w:marBottom w:val="0"/>
      <w:divBdr>
        <w:top w:val="none" w:sz="0" w:space="0" w:color="auto"/>
        <w:left w:val="none" w:sz="0" w:space="0" w:color="auto"/>
        <w:bottom w:val="none" w:sz="0" w:space="0" w:color="auto"/>
        <w:right w:val="none" w:sz="0" w:space="0" w:color="auto"/>
      </w:divBdr>
    </w:div>
    <w:div w:id="79916503">
      <w:bodyDiv w:val="1"/>
      <w:marLeft w:val="0"/>
      <w:marRight w:val="0"/>
      <w:marTop w:val="0"/>
      <w:marBottom w:val="0"/>
      <w:divBdr>
        <w:top w:val="none" w:sz="0" w:space="0" w:color="auto"/>
        <w:left w:val="none" w:sz="0" w:space="0" w:color="auto"/>
        <w:bottom w:val="none" w:sz="0" w:space="0" w:color="auto"/>
        <w:right w:val="none" w:sz="0" w:space="0" w:color="auto"/>
      </w:divBdr>
    </w:div>
    <w:div w:id="420181656">
      <w:bodyDiv w:val="1"/>
      <w:marLeft w:val="0"/>
      <w:marRight w:val="0"/>
      <w:marTop w:val="0"/>
      <w:marBottom w:val="0"/>
      <w:divBdr>
        <w:top w:val="none" w:sz="0" w:space="0" w:color="auto"/>
        <w:left w:val="none" w:sz="0" w:space="0" w:color="auto"/>
        <w:bottom w:val="none" w:sz="0" w:space="0" w:color="auto"/>
        <w:right w:val="none" w:sz="0" w:space="0" w:color="auto"/>
      </w:divBdr>
    </w:div>
    <w:div w:id="622347553">
      <w:bodyDiv w:val="1"/>
      <w:marLeft w:val="0"/>
      <w:marRight w:val="0"/>
      <w:marTop w:val="0"/>
      <w:marBottom w:val="0"/>
      <w:divBdr>
        <w:top w:val="none" w:sz="0" w:space="0" w:color="auto"/>
        <w:left w:val="none" w:sz="0" w:space="0" w:color="auto"/>
        <w:bottom w:val="none" w:sz="0" w:space="0" w:color="auto"/>
        <w:right w:val="none" w:sz="0" w:space="0" w:color="auto"/>
      </w:divBdr>
    </w:div>
    <w:div w:id="728190424">
      <w:bodyDiv w:val="1"/>
      <w:marLeft w:val="0"/>
      <w:marRight w:val="0"/>
      <w:marTop w:val="0"/>
      <w:marBottom w:val="0"/>
      <w:divBdr>
        <w:top w:val="none" w:sz="0" w:space="0" w:color="auto"/>
        <w:left w:val="none" w:sz="0" w:space="0" w:color="auto"/>
        <w:bottom w:val="none" w:sz="0" w:space="0" w:color="auto"/>
        <w:right w:val="none" w:sz="0" w:space="0" w:color="auto"/>
      </w:divBdr>
    </w:div>
    <w:div w:id="955407665">
      <w:bodyDiv w:val="1"/>
      <w:marLeft w:val="0"/>
      <w:marRight w:val="0"/>
      <w:marTop w:val="0"/>
      <w:marBottom w:val="0"/>
      <w:divBdr>
        <w:top w:val="none" w:sz="0" w:space="0" w:color="auto"/>
        <w:left w:val="none" w:sz="0" w:space="0" w:color="auto"/>
        <w:bottom w:val="none" w:sz="0" w:space="0" w:color="auto"/>
        <w:right w:val="none" w:sz="0" w:space="0" w:color="auto"/>
      </w:divBdr>
    </w:div>
    <w:div w:id="1116101145">
      <w:bodyDiv w:val="1"/>
      <w:marLeft w:val="0"/>
      <w:marRight w:val="0"/>
      <w:marTop w:val="0"/>
      <w:marBottom w:val="0"/>
      <w:divBdr>
        <w:top w:val="none" w:sz="0" w:space="0" w:color="auto"/>
        <w:left w:val="none" w:sz="0" w:space="0" w:color="auto"/>
        <w:bottom w:val="none" w:sz="0" w:space="0" w:color="auto"/>
        <w:right w:val="none" w:sz="0" w:space="0" w:color="auto"/>
      </w:divBdr>
    </w:div>
    <w:div w:id="1215117611">
      <w:bodyDiv w:val="1"/>
      <w:marLeft w:val="0"/>
      <w:marRight w:val="0"/>
      <w:marTop w:val="0"/>
      <w:marBottom w:val="0"/>
      <w:divBdr>
        <w:top w:val="none" w:sz="0" w:space="0" w:color="auto"/>
        <w:left w:val="none" w:sz="0" w:space="0" w:color="auto"/>
        <w:bottom w:val="none" w:sz="0" w:space="0" w:color="auto"/>
        <w:right w:val="none" w:sz="0" w:space="0" w:color="auto"/>
      </w:divBdr>
    </w:div>
    <w:div w:id="1291984253">
      <w:bodyDiv w:val="1"/>
      <w:marLeft w:val="0"/>
      <w:marRight w:val="0"/>
      <w:marTop w:val="0"/>
      <w:marBottom w:val="0"/>
      <w:divBdr>
        <w:top w:val="none" w:sz="0" w:space="0" w:color="auto"/>
        <w:left w:val="none" w:sz="0" w:space="0" w:color="auto"/>
        <w:bottom w:val="none" w:sz="0" w:space="0" w:color="auto"/>
        <w:right w:val="none" w:sz="0" w:space="0" w:color="auto"/>
      </w:divBdr>
    </w:div>
    <w:div w:id="1343239234">
      <w:bodyDiv w:val="1"/>
      <w:marLeft w:val="0"/>
      <w:marRight w:val="0"/>
      <w:marTop w:val="0"/>
      <w:marBottom w:val="0"/>
      <w:divBdr>
        <w:top w:val="none" w:sz="0" w:space="0" w:color="auto"/>
        <w:left w:val="none" w:sz="0" w:space="0" w:color="auto"/>
        <w:bottom w:val="none" w:sz="0" w:space="0" w:color="auto"/>
        <w:right w:val="none" w:sz="0" w:space="0" w:color="auto"/>
      </w:divBdr>
    </w:div>
    <w:div w:id="1469935589">
      <w:bodyDiv w:val="1"/>
      <w:marLeft w:val="0"/>
      <w:marRight w:val="0"/>
      <w:marTop w:val="0"/>
      <w:marBottom w:val="0"/>
      <w:divBdr>
        <w:top w:val="none" w:sz="0" w:space="0" w:color="auto"/>
        <w:left w:val="none" w:sz="0" w:space="0" w:color="auto"/>
        <w:bottom w:val="none" w:sz="0" w:space="0" w:color="auto"/>
        <w:right w:val="none" w:sz="0" w:space="0" w:color="auto"/>
      </w:divBdr>
    </w:div>
    <w:div w:id="189800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463</Words>
  <Characters>2645</Characters>
  <Application>Microsoft Office Word</Application>
  <DocSecurity>0</DocSecurity>
  <Lines>22</Lines>
  <Paragraphs>6</Paragraphs>
  <ScaleCrop>false</ScaleCrop>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Moura, Luba</dc:creator>
  <cp:keywords/>
  <dc:description/>
  <cp:lastModifiedBy>Moura, Luba</cp:lastModifiedBy>
  <cp:revision>2</cp:revision>
  <dcterms:created xsi:type="dcterms:W3CDTF">2025-07-05T23:33:00Z</dcterms:created>
  <dcterms:modified xsi:type="dcterms:W3CDTF">2025-07-05T23:43:00Z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68e11a06,55f11d25,7d77f2d4</vt:lpwstr>
  </property>
  <property fmtid="{D5CDD505-2E9C-101B-9397-08002B2CF9AE}" pid="3" name="ClassificationContentMarkingHeaderFontProps">
    <vt:lpwstr>#000000,7,Calibri</vt:lpwstr>
  </property>
  <property fmtid="{D5CDD505-2E9C-101B-9397-08002B2CF9AE}" pid="4" name="ClassificationContentMarkingHeaderText">
    <vt:lpwstr>1 - General Business</vt:lpwstr>
  </property>
  <property fmtid="{D5CDD505-2E9C-101B-9397-08002B2CF9AE}" pid="5" name="MSIP_Label_57903732-8a6f-4e0e-952b-fe0b250d49cc_Enabled">
    <vt:lpwstr>true</vt:lpwstr>
  </property>
  <property fmtid="{D5CDD505-2E9C-101B-9397-08002B2CF9AE}" pid="6" name="MSIP_Label_57903732-8a6f-4e0e-952b-fe0b250d49cc_SetDate">
    <vt:lpwstr>2025-07-05T23:43:20Z</vt:lpwstr>
  </property>
  <property fmtid="{D5CDD505-2E9C-101B-9397-08002B2CF9AE}" pid="7" name="MSIP_Label_57903732-8a6f-4e0e-952b-fe0b250d49cc_Method">
    <vt:lpwstr>Standard</vt:lpwstr>
  </property>
  <property fmtid="{D5CDD505-2E9C-101B-9397-08002B2CF9AE}" pid="8" name="MSIP_Label_57903732-8a6f-4e0e-952b-fe0b250d49cc_Name">
    <vt:lpwstr>1- General Business</vt:lpwstr>
  </property>
  <property fmtid="{D5CDD505-2E9C-101B-9397-08002B2CF9AE}" pid="9" name="MSIP_Label_57903732-8a6f-4e0e-952b-fe0b250d49cc_SiteId">
    <vt:lpwstr>90f1aac4-c661-46a9-83fd-e021705adcc9</vt:lpwstr>
  </property>
  <property fmtid="{D5CDD505-2E9C-101B-9397-08002B2CF9AE}" pid="10" name="MSIP_Label_57903732-8a6f-4e0e-952b-fe0b250d49cc_ActionId">
    <vt:lpwstr>9056da91-9310-4b46-a3b9-99eb48bc49b8</vt:lpwstr>
  </property>
  <property fmtid="{D5CDD505-2E9C-101B-9397-08002B2CF9AE}" pid="11" name="MSIP_Label_57903732-8a6f-4e0e-952b-fe0b250d49cc_ContentBits">
    <vt:lpwstr>1</vt:lpwstr>
  </property>
  <property fmtid="{D5CDD505-2E9C-101B-9397-08002B2CF9AE}" pid="12" name="MSIP_Label_57903732-8a6f-4e0e-952b-fe0b250d49cc_Tag">
    <vt:lpwstr>10, 3, 0, 1</vt:lpwstr>
  </property>
</Properties>
</file>