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第2章 系统时钟</w:t>
      </w:r>
    </w:p>
    <w:p>
      <w:r>
        <w:t>这是第2章 系统时钟的正文段落。</w:t>
      </w:r>
    </w:p>
    <w:p>
      <w:pPr>
        <w:pStyle w:val="Heading2"/>
      </w:pPr>
      <w:r>
        <w:t>2.1 时钟树</w:t>
      </w:r>
    </w:p>
    <w:p>
      <w:r>
        <w:t>2.1 时钟树 的内容。</w:t>
      </w:r>
    </w:p>
    <w:p>
      <w:pPr>
        <w:pStyle w:val="Heading2"/>
      </w:pPr>
      <w:r>
        <w:t>2.2 寄存器</w:t>
      </w:r>
    </w:p>
    <w:p>
      <w:r>
        <w:t>2.2 寄存器 的内容。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