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Spring基础配置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Spring框架本身有四大原则：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1）使用POJO进行轻量级和最小侵入式开发。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2）通过依赖注入和基于接口编程实现松耦合。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3）通过AOP和默认习惯进行声明式编程。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4）使用AOP和模板（template）减少模式化代码。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Spring所有功能的设计和实现都是基于此四大原则的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依赖注入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我们经常说的控制翻转（Inversion of Control-IOC）和依赖注入（dependency injection-DI）在Spring环境下是等同的概念，控制翻转是通过依赖注入实现的。所谓依赖注入指的是容器负责创建对象和维护对象间的依赖关系，而不是通过对象本身负责自己的创建和解决自己的依赖。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 IoC容器（ApplicationContext）负责创建Bean，并通过容器将功能类Bean注入到你需要的Bean中。Spring提供使用xml、注解、Java配置、groovy配置实现Bean的创建和注入。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入到你需要的Bean中。Spring提供使用xml、注解、Java配置、groovy配置实现Bean的创建和注入。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Spring容器解析这些配置元数据进行Bean初始化、配置和管理依赖。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声明Bean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的注解：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@Component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组件，没有明确的角色。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在业务逻辑层（service层）使用。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@Repository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在数据访问层（dao层）使用。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@Controller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在展现层（MVC→Spring MVC）使用。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注入Bean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的注解，一般情况下通用。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@Autowired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：Spring提供的注解。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@Inject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：JSR-330提供的注解。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@Resource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：JSR-250提供的注解。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@Autowired、@Inject、@Resource可注解在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set方法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上或者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上，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Java配置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Java配置是Spring 4.x推荐的配置方式，可以完全替代xml配置；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Java配置是通过@Configuration和@Bean来实现的。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@Configuration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声明当前类是一个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配置类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，相当于一个Spring配置的xml文件。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@Bean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注解在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上，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18"/>
          <w:szCs w:val="18"/>
          <w:lang w:val="en-US" w:eastAsia="zh-CN"/>
        </w:rPr>
        <w:t>声明当前方法的返回值为一个Bean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何时使用Java配置或者注解配置呢？我们主要的原则是：全局配置使用Java配置（如数据库相关配置、MVC相关配置），业务Bean的配置使用注解配置（@Service、@Component、@Repository、@Controlle）。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Bean的Scope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Scope描述的是Spring容器如何新建Bean的实例的。Spring的Scope有以下几种，通过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@Scope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注解来实现。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Singleton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：一个Spring容器中只有一个Bean的实例，此为Spring的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默认配置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，全容器共享一个实例。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Prototype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：每次调用新建一个Bean的实例。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（3）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Request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：Web项目中，给每一个http request新建一个Bean实例。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（4）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Session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：Web项目中，给每一个http session新建一个Bean实例。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（5）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GlobalSession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：这个只在portal应用中有用，给每一个global http session新建一个Bean实例。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另外，在Spring Batch中还有一个Scope是使用@</w:t>
      </w:r>
      <w:r>
        <w:rPr>
          <w:rFonts w:hint="eastAsia" w:ascii="微软雅黑" w:hAnsi="微软雅黑" w:eastAsia="微软雅黑" w:cs="微软雅黑"/>
          <w:color w:val="1904E6"/>
          <w:sz w:val="18"/>
          <w:szCs w:val="18"/>
          <w:lang w:val="en-US" w:eastAsia="zh-CN"/>
        </w:rPr>
        <w:t>StepScope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228975" cy="22923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4295A"/>
    <w:rsid w:val="08456774"/>
    <w:rsid w:val="39FA34DB"/>
    <w:rsid w:val="585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2018-12-19T14:36:00Z</dcterms:created>
  <dc:creator>Becky布</dc:creator>
  <cp:lastModifiedBy>Becky布</cp:lastModifiedBy>
  <dcterms:modified xsi:type="dcterms:W3CDTF">2018-12-25T08:39:18Z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