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2"/>
          <w:szCs w:val="52"/>
        </w:rPr>
        <w:t xml:space="preserve">Approach Comparison</w:t>
      </w:r>
    </w:p>
    <w:p>
      <w:pPr>
        <w:spacing w:after="400"/>
        <w:jc w:val="center"/>
      </w:pPr>
      <w:r>
        <w:rPr>
          <w:rFonts w:ascii="Arial" w:cs="Arial" w:eastAsia="Arial" w:hAnsi="Arial"/>
          <w:color w:val="555555"/>
          <w:sz w:val="28"/>
          <w:szCs w:val="28"/>
        </w:rPr>
        <w:t xml:space="preserve">A (Vanilla)  vs  B (Multi-Tenant DNA)  vs  D (Strategic Hybrid)</w:t>
      </w:r>
    </w:p>
    <w:p>
      <w:pPr>
        <w:spacing w:before="600"/>
        <w:jc w:val="center"/>
      </w:pPr>
      <w:r>
        <w:rPr>
          <w:rFonts w:ascii="Arial" w:cs="Arial" w:eastAsia="Arial" w:hAnsi="Arial"/>
          <w:color w:val="999999"/>
          <w:sz w:val="22"/>
          <w:szCs w:val="22"/>
        </w:rPr>
        <w:t xml:space="preserve">Architecture · Error Handling · Domain Models · Extensibility</w:t>
      </w:r>
    </w:p>
    <w:p>
      <w:pPr>
        <w:pageBreakBefore/>
      </w:pPr>
    </w:p>
    <w:p>
      <w:pPr>
        <w:pStyle w:val="Heading1"/>
        <w:spacing w:before="280" w:after="120"/>
      </w:pPr>
      <w:r>
        <w:rPr>
          <w:rFonts w:ascii="Arial" w:cs="Arial" w:eastAsia="Arial" w:hAnsi="Arial"/>
        </w:rPr>
        <w:t xml:space="preserve">Executive Summary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40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3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Philosophy</w:t>
            </w:r>
          </w:p>
        </w:tc>
        <w:tc>
          <w:tcPr>
            <w:tcW w:type="dxa" w:w="34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A — Vanilla</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Textbook Clean Architecture with exception-based error handling</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Teams that value simplicity, predictability, and .NET convention familiarity</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B — Multi-Tenant DNA</w:t>
            </w:r>
          </w:p>
        </w:tc>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Entity-type scoped platform engine with dynamic rules and DataProcessResult</w:t>
            </w:r>
          </w:p>
        </w:tc>
        <w:tc>
          <w:tcPr>
            <w:tcW w:type="dxa" w:w="34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SaaS products needing multiple independent workflow types in one deployment</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 — Strategic Hybrid</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DataProcessResult + JSON metadata without multi-tenant scoping</w:t>
            </w:r>
          </w:p>
        </w:tc>
        <w:tc>
          <w:tcPr>
            <w:tcW w:type="dxa" w:w="3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Teams wanting modern patterns without the complexity of full multi-tenancy</w:t>
            </w:r>
          </w:p>
        </w:tc>
      </w:tr>
    </w:tbl>
    <w:p>
      <w:pPr>
        <w:pStyle w:val="Heading1"/>
        <w:spacing w:before="280" w:after="120"/>
      </w:pPr>
      <w:r>
        <w:rPr>
          <w:rFonts w:ascii="Arial" w:cs="Arial" w:eastAsia="Arial" w:hAnsi="Arial"/>
        </w:rPr>
        <w:t xml:space="preserve">1. Error Handling Strategy</w:t>
      </w:r>
    </w:p>
    <w:p>
      <w:pPr>
        <w:spacing w:after="120"/>
      </w:pPr>
      <w:r>
        <w:rPr>
          <w:rFonts w:ascii="Arial" w:cs="Arial" w:eastAsia="Arial" w:hAnsi="Arial"/>
          <w:sz w:val="22"/>
          <w:szCs w:val="22"/>
        </w:rPr>
        <w:t xml:space="preserve">This is the most fundamental architectural difference. It affects every layer from domain through API.</w:t>
      </w:r>
    </w:p>
    <w:p>
      <w:pPr>
        <w:pStyle w:val="Heading2"/>
        <w:spacing w:before="280" w:after="120"/>
      </w:pPr>
      <w:r>
        <w:rPr>
          <w:rFonts w:ascii="Arial" w:cs="Arial" w:eastAsia="Arial" w:hAnsi="Arial"/>
        </w:rPr>
        <w:t xml:space="preserve">1.1 Approach A: Exception-Based</w:t>
      </w:r>
    </w:p>
    <w:p>
      <w:pPr>
        <w:spacing w:after="120"/>
      </w:pPr>
      <w:r>
        <w:rPr>
          <w:rFonts w:ascii="Arial" w:cs="Arial" w:eastAsia="Arial" w:hAnsi="Arial"/>
          <w:sz w:val="22"/>
          <w:szCs w:val="22"/>
        </w:rPr>
        <w:t xml:space="preserve">Services throw typed domain exceptions. A global middleware catches them and maps to HTTP status codes.</w:t>
      </w:r>
    </w:p>
    <w:p>
      <w:pPr>
        <w:spacing w:after="80"/>
      </w:pPr>
      <w:r>
        <w:rPr>
          <w:rFonts w:ascii="Arial" w:cs="Arial" w:eastAsia="Arial" w:hAnsi="Arial"/>
          <w:b/>
          <w:bCs/>
          <w:sz w:val="22"/>
          <w:szCs w:val="22"/>
        </w:rPr>
        <w:t xml:space="preserve">Flow:</w:t>
      </w:r>
    </w:p>
    <w:p>
      <w:pPr>
        <w:spacing w:after="20"/>
      </w:pPr>
      <w:r>
        <w:rPr>
          <w:rFonts w:ascii="Consolas" w:cs="Consolas" w:eastAsia="Consolas" w:hAnsi="Consolas"/>
          <w:color w:val="2D2D2D"/>
          <w:sz w:val="18"/>
          <w:szCs w:val="18"/>
        </w:rPr>
        <w:t xml:space="preserve">  Service throws InvalidTransitionException</w:t>
      </w:r>
    </w:p>
    <w:p>
      <w:pPr>
        <w:spacing w:after="20"/>
      </w:pPr>
      <w:r>
        <w:rPr>
          <w:rFonts w:ascii="Consolas" w:cs="Consolas" w:eastAsia="Consolas" w:hAnsi="Consolas"/>
          <w:color w:val="2D2D2D"/>
          <w:sz w:val="18"/>
          <w:szCs w:val="18"/>
        </w:rPr>
        <w:t xml:space="preserve">      → ExceptionHandlerMiddleware catches</w:t>
      </w:r>
    </w:p>
    <w:p>
      <w:pPr>
        <w:spacing w:after="20"/>
      </w:pPr>
      <w:r>
        <w:rPr>
          <w:rFonts w:ascii="Consolas" w:cs="Consolas" w:eastAsia="Consolas" w:hAnsi="Consolas"/>
          <w:color w:val="2D2D2D"/>
          <w:sz w:val="18"/>
          <w:szCs w:val="18"/>
        </w:rPr>
        <w:t xml:space="preserve">          → Maps to 400 Bad Request + ProblemDetails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domain layer defines 6 typed exception classes: InvalidTransitionException (400), TransactionNotFoundException (404), WorkflowConfigurationException (500), StatusNotFoundException (400), DuplicateEntityException (409), and ConcurrencyConflictException (409). Each carries structured data like AllowedStatuses for rich error messages.</w:t>
      </w:r>
    </w:p>
    <w:p>
      <w:pPr>
        <w:spacing w:after="120"/>
      </w:pPr>
      <w:r>
        <w:rPr>
          <w:rFonts w:ascii="Arial" w:cs="Arial" w:eastAsia="Arial" w:hAnsi="Arial"/>
          <w:sz w:val="22"/>
          <w:szCs w:val="22"/>
        </w:rPr>
        <w:t xml:space="preserve">The middleware is 143 lines with a switch expression mapping each exception type to an HTTP status code and ProblemDetails body.</w:t>
      </w:r>
    </w:p>
    <w:p>
      <w:pPr>
        <w:pStyle w:val="Heading2"/>
        <w:spacing w:before="280" w:after="120"/>
      </w:pPr>
      <w:r>
        <w:rPr>
          <w:rFonts w:ascii="Arial" w:cs="Arial" w:eastAsia="Arial" w:hAnsi="Arial"/>
        </w:rPr>
        <w:t xml:space="preserve">1.2 Approaches B &amp; D: Result-Based (DataProcessResult)</w:t>
      </w:r>
    </w:p>
    <w:p>
      <w:pPr>
        <w:spacing w:after="120"/>
      </w:pPr>
      <w:r>
        <w:rPr>
          <w:rFonts w:ascii="Arial" w:cs="Arial" w:eastAsia="Arial" w:hAnsi="Arial"/>
          <w:sz w:val="22"/>
          <w:szCs w:val="22"/>
        </w:rPr>
        <w:t xml:space="preserve">Services return DataProcessResult&lt;T&gt; with an OperationStatus enum. Controllers call a single ResultMapper extension.</w:t>
      </w:r>
    </w:p>
    <w:p>
      <w:pPr>
        <w:spacing w:after="80"/>
      </w:pPr>
      <w:r>
        <w:rPr>
          <w:rFonts w:ascii="Arial" w:cs="Arial" w:eastAsia="Arial" w:hAnsi="Arial"/>
          <w:b/>
          <w:bCs/>
          <w:sz w:val="22"/>
          <w:szCs w:val="22"/>
        </w:rPr>
        <w:t xml:space="preserve">Flow:</w:t>
      </w:r>
    </w:p>
    <w:p>
      <w:pPr>
        <w:spacing w:after="20"/>
      </w:pPr>
      <w:r>
        <w:rPr>
          <w:rFonts w:ascii="Consolas" w:cs="Consolas" w:eastAsia="Consolas" w:hAnsi="Consolas"/>
          <w:color w:val="2D2D2D"/>
          <w:sz w:val="18"/>
          <w:szCs w:val="18"/>
        </w:rPr>
        <w:t xml:space="preserve">  Service returns DataProcessResult.Fail(msg, ValidationError)</w:t>
      </w:r>
    </w:p>
    <w:p>
      <w:pPr>
        <w:spacing w:after="20"/>
      </w:pPr>
      <w:r>
        <w:rPr>
          <w:rFonts w:ascii="Consolas" w:cs="Consolas" w:eastAsia="Consolas" w:hAnsi="Consolas"/>
          <w:color w:val="2D2D2D"/>
          <w:sz w:val="18"/>
          <w:szCs w:val="18"/>
        </w:rPr>
        <w:t xml:space="preserve">      → Controller calls result.ToActionResult()</w:t>
      </w:r>
    </w:p>
    <w:p>
      <w:pPr>
        <w:spacing w:after="20"/>
      </w:pPr>
      <w:r>
        <w:rPr>
          <w:rFonts w:ascii="Consolas" w:cs="Consolas" w:eastAsia="Consolas" w:hAnsi="Consolas"/>
          <w:color w:val="2D2D2D"/>
          <w:sz w:val="18"/>
          <w:szCs w:val="18"/>
        </w:rPr>
        <w:t xml:space="preserve">          → ResultMapper maps ValidationError → 400</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OperationStatus enum has 5 values: Success (200/201), NotFound (404), ValidationError (400), Conflict (409), ConfigurationError (500). Failed results can carry Metadata dictionaries that become ProblemDetails extensions — for example, an invalid transition error includes the list of allowed transitions.</w:t>
      </w:r>
    </w:p>
    <w:p>
      <w:pPr>
        <w:pStyle w:val="Heading2"/>
        <w:spacing w:before="280" w:after="120"/>
      </w:pPr>
      <w:r>
        <w:rPr>
          <w:rFonts w:ascii="Arial" w:cs="Arial" w:eastAsia="Arial" w:hAnsi="Arial"/>
        </w:rPr>
        <w:t xml:space="preserve">1.3 Comparison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0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 (Exceptions)</w:t>
            </w:r>
          </w:p>
        </w:tc>
        <w:tc>
          <w:tcPr>
            <w:tcW w:type="dxa" w:w="3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 &amp; D (DataProcessResult)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Method signatures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Return type hides failure paths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Return type explicitly shows failure</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Control flow</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Hidden — throw jumps to middleware</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Explicit — caller checks .IsSuccess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Performance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Exception overhead on every error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 overhead — just a record allocation</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Testability</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Tests need try/catch assertions</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Tests assert on result.Status directly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Error metadata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Exception properties (e.g. AllowedStatuses)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.WithMeta() dictionary on result</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Middleware size</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143 lines (switch per exception type)</w:t>
            </w:r>
          </w:p>
        </w:tc>
        <w:tc>
          <w:tcPr>
            <w:tcW w:type="dxa" w:w="3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65 lines (generic exception only)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Familiar to .NET devs</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Very (standard pattern)</w:t>
            </w:r>
          </w:p>
        </w:tc>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Moderate (functional influence)</w:t>
            </w:r>
          </w:p>
        </w:tc>
      </w:tr>
    </w:tbl>
    <w:p>
      <w:pPr>
        <w:pStyle w:val="Heading1"/>
        <w:spacing w:before="280" w:after="120"/>
      </w:pPr>
      <w:r>
        <w:rPr>
          <w:rFonts w:ascii="Arial" w:cs="Arial" w:eastAsia="Arial" w:hAnsi="Arial"/>
        </w:rPr>
        <w:t xml:space="preserve">2. Workflow Engine Design</w:t>
      </w:r>
    </w:p>
    <w:p>
      <w:pPr>
        <w:pStyle w:val="Heading2"/>
        <w:spacing w:before="280" w:after="120"/>
      </w:pPr>
      <w:r>
        <w:rPr>
          <w:rFonts w:ascii="Arial" w:cs="Arial" w:eastAsia="Arial" w:hAnsi="Arial"/>
        </w:rPr>
        <w:t xml:space="preserve">2.1 Engine Method Signatures</w:t>
      </w:r>
    </w:p>
    <w:p>
      <w:pPr>
        <w:spacing w:after="80"/>
      </w:pPr>
      <w:r>
        <w:rPr>
          <w:rFonts w:ascii="Arial" w:cs="Arial" w:eastAsia="Arial" w:hAnsi="Arial"/>
          <w:b/>
          <w:bCs/>
          <w:sz w:val="22"/>
          <w:szCs w:val="22"/>
        </w:rPr>
        <w:t xml:space="preserve">Approach A — Concrete class, receives full entity:</w:t>
      </w:r>
    </w:p>
    <w:p>
      <w:pPr>
        <w:spacing w:after="20"/>
      </w:pPr>
      <w:r>
        <w:rPr>
          <w:rFonts w:ascii="Consolas" w:cs="Consolas" w:eastAsia="Consolas" w:hAnsi="Consolas"/>
          <w:color w:val="2D2D2D"/>
          <w:sz w:val="18"/>
          <w:szCs w:val="18"/>
        </w:rPr>
        <w:t xml:space="preserve">  public class WorkflowEngine  // No interface</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Task&lt;TransactionHistory&gt; TransitionAsync(</w:t>
      </w:r>
    </w:p>
    <w:p>
      <w:pPr>
        <w:spacing w:after="20"/>
      </w:pPr>
      <w:r>
        <w:rPr>
          <w:rFonts w:ascii="Consolas" w:cs="Consolas" w:eastAsia="Consolas" w:hAnsi="Consolas"/>
          <w:color w:val="2D2D2D"/>
          <w:sz w:val="18"/>
          <w:szCs w:val="18"/>
        </w:rPr>
        <w:t xml:space="preserve">          Transaction transaction,    // Full entity object</w:t>
      </w:r>
    </w:p>
    <w:p>
      <w:pPr>
        <w:spacing w:after="20"/>
      </w:pPr>
      <w:r>
        <w:rPr>
          <w:rFonts w:ascii="Consolas" w:cs="Consolas" w:eastAsia="Consolas" w:hAnsi="Consolas"/>
          <w:color w:val="2D2D2D"/>
          <w:sz w:val="18"/>
          <w:szCs w:val="18"/>
        </w:rPr>
        <w:t xml:space="preserve">          string targetStatusName,</w:t>
      </w:r>
    </w:p>
    <w:p>
      <w:pPr>
        <w:spacing w:after="20"/>
      </w:pPr>
      <w:r>
        <w:rPr>
          <w:rFonts w:ascii="Consolas" w:cs="Consolas" w:eastAsia="Consolas" w:hAnsi="Consolas"/>
          <w:color w:val="2D2D2D"/>
          <w:sz w:val="18"/>
          <w:szCs w:val="18"/>
        </w:rPr>
        <w:t xml:space="preserve">          string? reason)</w:t>
      </w:r>
    </w:p>
    <w:p>
      <w:pPr>
        <w:spacing w:after="20"/>
      </w:pPr>
      <w:r>
        <w:rPr>
          <w:rFonts w:ascii="Consolas" w:cs="Consolas" w:eastAsia="Consolas" w:hAnsi="Consolas"/>
          <w:color w:val="2D2D2D"/>
          <w:sz w:val="18"/>
          <w:szCs w:val="18"/>
        </w:rPr>
        <w:t xml:space="preserve">  }</w:t>
      </w:r>
    </w:p>
    <w:p>
      <w:pPr>
        <w:spacing w:after="120"/>
      </w:pPr>
      <w:r>
        <w:rPr>
          <w:rFonts w:ascii="Arial" w:cs="Arial" w:eastAsia="Arial" w:hAnsi="Arial"/>
          <w:sz w:val="22"/>
          <w:szCs w:val="22"/>
        </w:rPr>
        <w:t xml:space="preserve">The engine receives the actual Transaction object, validates, mutates transaction.StatusId directly, and returns a TransactionHistory record.</w:t>
      </w:r>
    </w:p>
    <w:p>
      <w:pPr>
        <w:spacing w:after="80"/>
      </w:pPr>
      <w:r>
        <w:rPr>
          <w:rFonts w:ascii="Arial" w:cs="Arial" w:eastAsia="Arial" w:hAnsi="Arial"/>
          <w:b/>
          <w:bCs/>
          <w:sz w:val="22"/>
          <w:szCs w:val="22"/>
        </w:rPr>
        <w:t xml:space="preserve">Approach B — Interface, entity-type scoped:</w:t>
      </w:r>
    </w:p>
    <w:p>
      <w:pPr>
        <w:spacing w:after="20"/>
      </w:pPr>
      <w:r>
        <w:rPr>
          <w:rFonts w:ascii="Consolas" w:cs="Consolas" w:eastAsia="Consolas" w:hAnsi="Consolas"/>
          <w:color w:val="2D2D2D"/>
          <w:sz w:val="18"/>
          <w:szCs w:val="18"/>
        </w:rPr>
        <w:t xml:space="preserve">  public interface IWorkflowEngine</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Task&lt;DataProcessResult&lt;TransitionOutcome&gt;&gt; TryTransitionAsync(</w:t>
      </w:r>
    </w:p>
    <w:p>
      <w:pPr>
        <w:spacing w:after="20"/>
      </w:pPr>
      <w:r>
        <w:rPr>
          <w:rFonts w:ascii="Consolas" w:cs="Consolas" w:eastAsia="Consolas" w:hAnsi="Consolas"/>
          <w:color w:val="2D2D2D"/>
          <w:sz w:val="18"/>
          <w:szCs w:val="18"/>
        </w:rPr>
        <w:t xml:space="preserve">          string entityType,          // "transaction", "order", etc.</w:t>
      </w:r>
    </w:p>
    <w:p>
      <w:pPr>
        <w:spacing w:after="20"/>
      </w:pPr>
      <w:r>
        <w:rPr>
          <w:rFonts w:ascii="Consolas" w:cs="Consolas" w:eastAsia="Consolas" w:hAnsi="Consolas"/>
          <w:color w:val="2D2D2D"/>
          <w:sz w:val="18"/>
          <w:szCs w:val="18"/>
        </w:rPr>
        <w:t xml:space="preserve">          int currentStatusId,        // ID only, not the entity</w:t>
      </w:r>
    </w:p>
    <w:p>
      <w:pPr>
        <w:spacing w:after="20"/>
      </w:pPr>
      <w:r>
        <w:rPr>
          <w:rFonts w:ascii="Consolas" w:cs="Consolas" w:eastAsia="Consolas" w:hAnsi="Consolas"/>
          <w:color w:val="2D2D2D"/>
          <w:sz w:val="18"/>
          <w:szCs w:val="18"/>
        </w:rPr>
        <w:t xml:space="preserve">          string targetStatusName,</w:t>
      </w:r>
    </w:p>
    <w:p>
      <w:pPr>
        <w:spacing w:after="20"/>
      </w:pPr>
      <w:r>
        <w:rPr>
          <w:rFonts w:ascii="Consolas" w:cs="Consolas" w:eastAsia="Consolas" w:hAnsi="Consolas"/>
          <w:color w:val="2D2D2D"/>
          <w:sz w:val="18"/>
          <w:szCs w:val="18"/>
        </w:rPr>
        <w:t xml:space="preserve">          string? reason,</w:t>
      </w:r>
    </w:p>
    <w:p>
      <w:pPr>
        <w:spacing w:after="20"/>
      </w:pPr>
      <w:r>
        <w:rPr>
          <w:rFonts w:ascii="Consolas" w:cs="Consolas" w:eastAsia="Consolas" w:hAnsi="Consolas"/>
          <w:color w:val="2D2D2D"/>
          <w:sz w:val="18"/>
          <w:szCs w:val="18"/>
        </w:rPr>
        <w:t xml:space="preserve">          Dictionary&lt;string,object&gt;? context,</w:t>
      </w:r>
    </w:p>
    <w:p>
      <w:pPr>
        <w:spacing w:after="20"/>
      </w:pPr>
      <w:r>
        <w:rPr>
          <w:rFonts w:ascii="Consolas" w:cs="Consolas" w:eastAsia="Consolas" w:hAnsi="Consolas"/>
          <w:color w:val="2D2D2D"/>
          <w:sz w:val="18"/>
          <w:szCs w:val="18"/>
        </w:rPr>
        <w:t xml:space="preserve">          int priorTransitionCount)   // For rule evaluation</w:t>
      </w:r>
    </w:p>
    <w:p>
      <w:pPr>
        <w:spacing w:after="20"/>
      </w:pPr>
      <w:r>
        <w:rPr>
          <w:rFonts w:ascii="Consolas" w:cs="Consolas" w:eastAsia="Consolas" w:hAnsi="Consolas"/>
          <w:color w:val="2D2D2D"/>
          <w:sz w:val="18"/>
          <w:szCs w:val="18"/>
        </w:rPr>
        <w:t xml:space="preserve">  }</w:t>
      </w:r>
    </w:p>
    <w:p>
      <w:pPr>
        <w:spacing w:after="120"/>
      </w:pPr>
      <w:r>
        <w:rPr>
          <w:rFonts w:ascii="Arial" w:cs="Arial" w:eastAsia="Arial" w:hAnsi="Arial"/>
          <w:sz w:val="22"/>
          <w:szCs w:val="22"/>
        </w:rPr>
        <w:t xml:space="preserve">The engine is entity-agnostic. It never sees a Transaction. The entityType parameter scopes all queries to that type's workflow — enabling one deployment to serve transactions, orders, and tickets simultaneously.</w:t>
      </w:r>
    </w:p>
    <w:p>
      <w:pPr>
        <w:spacing w:after="80"/>
      </w:pPr>
      <w:r>
        <w:rPr>
          <w:rFonts w:ascii="Arial" w:cs="Arial" w:eastAsia="Arial" w:hAnsi="Arial"/>
          <w:b/>
          <w:bCs/>
          <w:sz w:val="22"/>
          <w:szCs w:val="22"/>
        </w:rPr>
        <w:t xml:space="preserve">Approach D — Interface, single scope:</w:t>
      </w:r>
    </w:p>
    <w:p>
      <w:pPr>
        <w:spacing w:after="20"/>
      </w:pPr>
      <w:r>
        <w:rPr>
          <w:rFonts w:ascii="Consolas" w:cs="Consolas" w:eastAsia="Consolas" w:hAnsi="Consolas"/>
          <w:color w:val="2D2D2D"/>
          <w:sz w:val="18"/>
          <w:szCs w:val="18"/>
        </w:rPr>
        <w:t xml:space="preserve">  public interface IWorkflowEngine</w:t>
      </w:r>
    </w:p>
    <w:p>
      <w:pPr>
        <w:spacing w:after="20"/>
      </w:pPr>
      <w:r>
        <w:rPr>
          <w:rFonts w:ascii="Consolas" w:cs="Consolas" w:eastAsia="Consolas" w:hAnsi="Consolas"/>
          <w:color w:val="2D2D2D"/>
          <w:sz w:val="18"/>
          <w:szCs w:val="18"/>
        </w:rPr>
        <w:t xml:space="preserve">  {</w:t>
      </w:r>
    </w:p>
    <w:p>
      <w:pPr>
        <w:spacing w:after="20"/>
      </w:pPr>
      <w:r>
        <w:rPr>
          <w:rFonts w:ascii="Consolas" w:cs="Consolas" w:eastAsia="Consolas" w:hAnsi="Consolas"/>
          <w:color w:val="2D2D2D"/>
          <w:sz w:val="18"/>
          <w:szCs w:val="18"/>
        </w:rPr>
        <w:t xml:space="preserve">      Task&lt;DataProcessResult&lt;TransitionOutcome&gt;&gt; TryTransitionAsync(</w:t>
      </w:r>
    </w:p>
    <w:p>
      <w:pPr>
        <w:spacing w:after="20"/>
      </w:pPr>
      <w:r>
        <w:rPr>
          <w:rFonts w:ascii="Consolas" w:cs="Consolas" w:eastAsia="Consolas" w:hAnsi="Consolas"/>
          <w:color w:val="2D2D2D"/>
          <w:sz w:val="18"/>
          <w:szCs w:val="18"/>
        </w:rPr>
        <w:t xml:space="preserve">          int currentStatusId,        // No entityType parameter</w:t>
      </w:r>
    </w:p>
    <w:p>
      <w:pPr>
        <w:spacing w:after="20"/>
      </w:pPr>
      <w:r>
        <w:rPr>
          <w:rFonts w:ascii="Consolas" w:cs="Consolas" w:eastAsia="Consolas" w:hAnsi="Consolas"/>
          <w:color w:val="2D2D2D"/>
          <w:sz w:val="18"/>
          <w:szCs w:val="18"/>
        </w:rPr>
        <w:t xml:space="preserve">          string targetStatusName,</w:t>
      </w:r>
    </w:p>
    <w:p>
      <w:pPr>
        <w:spacing w:after="20"/>
      </w:pPr>
      <w:r>
        <w:rPr>
          <w:rFonts w:ascii="Consolas" w:cs="Consolas" w:eastAsia="Consolas" w:hAnsi="Consolas"/>
          <w:color w:val="2D2D2D"/>
          <w:sz w:val="18"/>
          <w:szCs w:val="18"/>
        </w:rPr>
        <w:t xml:space="preserve">          string? reason,</w:t>
      </w:r>
    </w:p>
    <w:p>
      <w:pPr>
        <w:spacing w:after="20"/>
      </w:pPr>
      <w:r>
        <w:rPr>
          <w:rFonts w:ascii="Consolas" w:cs="Consolas" w:eastAsia="Consolas" w:hAnsi="Consolas"/>
          <w:color w:val="2D2D2D"/>
          <w:sz w:val="18"/>
          <w:szCs w:val="18"/>
        </w:rPr>
        <w:t xml:space="preserve">          Dictionary&lt;string,object&gt;? context,</w:t>
      </w:r>
    </w:p>
    <w:p>
      <w:pPr>
        <w:spacing w:after="20"/>
      </w:pPr>
      <w:r>
        <w:rPr>
          <w:rFonts w:ascii="Consolas" w:cs="Consolas" w:eastAsia="Consolas" w:hAnsi="Consolas"/>
          <w:color w:val="2D2D2D"/>
          <w:sz w:val="18"/>
          <w:szCs w:val="18"/>
        </w:rPr>
        <w:t xml:space="preserve">          int priorTransitionCount)</w:t>
      </w:r>
    </w:p>
    <w:p>
      <w:pPr>
        <w:spacing w:after="20"/>
      </w:pPr>
      <w:r>
        <w:rPr>
          <w:rFonts w:ascii="Consolas" w:cs="Consolas" w:eastAsia="Consolas" w:hAnsi="Consolas"/>
          <w:color w:val="2D2D2D"/>
          <w:sz w:val="18"/>
          <w:szCs w:val="18"/>
        </w:rPr>
        <w:t xml:space="preserve">  }</w:t>
      </w:r>
    </w:p>
    <w:p>
      <w:pPr>
        <w:spacing w:after="120"/>
      </w:pPr>
      <w:r>
        <w:rPr>
          <w:rFonts w:ascii="Arial" w:cs="Arial" w:eastAsia="Arial" w:hAnsi="Arial"/>
          <w:sz w:val="22"/>
          <w:szCs w:val="22"/>
        </w:rPr>
        <w:t xml:space="preserve">Same pattern as B but without entityType. The engine is still generic (it never sees Transaction), but operates on a single workflow scope.</w:t>
      </w:r>
    </w:p>
    <w:p>
      <w:pPr>
        <w:pStyle w:val="Heading2"/>
        <w:spacing w:before="280" w:after="120"/>
      </w:pPr>
      <w:r>
        <w:rPr>
          <w:rFonts w:ascii="Arial" w:cs="Arial" w:eastAsia="Arial" w:hAnsi="Arial"/>
        </w:rPr>
        <w:t xml:space="preserve">2.2 Key Engine Differences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Interface abstraction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 — concrete class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 — IWorkflowEngine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 — IWorkflowEngine</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Entity-type scoping</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 — entityType param</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Input type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Full Transaction object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StatusId (int)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StatusId (int)</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Output type</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TransactionHistory</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TransitionOutcome record</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TransitionOutcome record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Error signaling</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Throws exceptions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Returns DataProcessResult</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Returns DataProcessResult</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Rule evaluation</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 (maxRetries, etc.)</w:t>
            </w:r>
          </w:p>
        </w:tc>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 (maxRetries, etc.)</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Entity mutation</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Mutates entity directly</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Returns outcome, caller applies</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Returns outcome, caller applies</w:t>
            </w:r>
          </w:p>
        </w:tc>
      </w:tr>
    </w:tbl>
    <w:p>
      <w:pPr>
        <w:pStyle w:val="Heading1"/>
        <w:spacing w:before="280" w:after="120"/>
      </w:pPr>
      <w:r>
        <w:rPr>
          <w:rFonts w:ascii="Arial" w:cs="Arial" w:eastAsia="Arial" w:hAnsi="Arial"/>
        </w:rPr>
        <w:t xml:space="preserve">3. Domain Model Differences</w:t>
      </w:r>
    </w:p>
    <w:p>
      <w:pPr>
        <w:pStyle w:val="Heading2"/>
        <w:spacing w:before="280" w:after="120"/>
      </w:pPr>
      <w:r>
        <w:rPr>
          <w:rFonts w:ascii="Arial" w:cs="Arial" w:eastAsia="Arial" w:hAnsi="Arial"/>
        </w:rPr>
        <w:t xml:space="preserve">3.1 Schema Comparison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2100"/>
        <w:gridCol w:w="2100"/>
      </w:tblGrid>
      <w:tr>
        <w:tc>
          <w:tcPr>
            <w:tcW w:type="dxa" w:w="2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21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Transaction.Metadata (JSON)</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Dictionary&lt;string,object&gt;</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Dictionary&lt;string,object&gt;</w:t>
            </w:r>
          </w:p>
        </w:tc>
      </w:tr>
      <w:tr>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WorkflowStatus.EntityType</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string</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WorkflowTransition.EntityType</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string</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r>
      <w:tr>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WorkflowTransition.Rules (JSON)</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Dictionary&lt;string,object&gt;</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Dictionary&lt;string,object&gt;</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TransactionHistory.Context (JSON)</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Dictionary&lt;string,object&gt;</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Dictionary&lt;string,object&gt;</w:t>
            </w:r>
          </w:p>
        </w:tc>
      </w:tr>
      <w:tr>
        <w:tc>
          <w:tcPr>
            <w:tcW w:type="dxa" w:w="2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Model file organization</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 separate .cs files</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 DomainModels.cs</w:t>
            </w:r>
          </w:p>
        </w:tc>
        <w:tc>
          <w:tcPr>
            <w:tcW w:type="dxa" w:w="21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 DomainModels.cs</w:t>
            </w:r>
          </w:p>
        </w:tc>
      </w:tr>
      <w:tr>
        <w:tc>
          <w:tcPr>
            <w:tcW w:type="dxa" w:w="25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Domain exceptions</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6 typed classes</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 (uses DataProcessResult)</w:t>
            </w:r>
          </w:p>
        </w:tc>
        <w:tc>
          <w:tcPr>
            <w:tcW w:type="dxa" w:w="21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 (uses DataProcessResult)</w:t>
            </w:r>
          </w:p>
        </w:tc>
      </w:tr>
    </w:tbl>
    <w:p>
      <w:pPr>
        <w:pStyle w:val="Heading2"/>
        <w:spacing w:before="280" w:after="120"/>
      </w:pPr>
      <w:r>
        <w:rPr>
          <w:rFonts w:ascii="Arial" w:cs="Arial" w:eastAsia="Arial" w:hAnsi="Arial"/>
        </w:rPr>
        <w:t xml:space="preserve">3.2 What Each Approach Adds</w:t>
      </w:r>
    </w:p>
    <w:p>
      <w:pPr>
        <w:spacing w:after="80"/>
      </w:pPr>
      <w:r>
        <w:rPr>
          <w:rFonts w:ascii="Arial" w:cs="Arial" w:eastAsia="Arial" w:hAnsi="Arial"/>
          <w:b/>
          <w:bCs/>
          <w:sz w:val="22"/>
          <w:szCs w:val="22"/>
        </w:rPr>
        <w:t xml:space="preserve">A-only: Domain Exceptions (Exceptions/DomainExceptions.cs)</w:t>
      </w:r>
    </w:p>
    <w:p>
      <w:pPr>
        <w:spacing w:after="120"/>
      </w:pPr>
      <w:r>
        <w:rPr>
          <w:rFonts w:ascii="Arial" w:cs="Arial" w:eastAsia="Arial" w:hAnsi="Arial"/>
          <w:sz w:val="22"/>
          <w:szCs w:val="22"/>
        </w:rPr>
        <w:t xml:space="preserve">Six typed exception classes (InvalidTransitionException, TransactionNotFoundException, WorkflowConfigurationException, StatusNotFoundException, DuplicateEntityException, ConcurrencyConflictException) each carrying structured data for rich error messages.</w:t>
      </w:r>
    </w:p>
    <w:p>
      <w:pPr>
        <w:spacing w:after="80"/>
      </w:pPr>
      <w:r>
        <w:rPr>
          <w:rFonts w:ascii="Arial" w:cs="Arial" w:eastAsia="Arial" w:hAnsi="Arial"/>
          <w:b/>
          <w:bCs/>
          <w:sz w:val="22"/>
          <w:szCs w:val="22"/>
        </w:rPr>
        <w:t xml:space="preserve">B-only: EntityType Scoping + EntityTypes Constants</w:t>
      </w:r>
    </w:p>
    <w:p>
      <w:pPr>
        <w:spacing w:after="120"/>
      </w:pPr>
      <w:r>
        <w:rPr>
          <w:rFonts w:ascii="Arial" w:cs="Arial" w:eastAsia="Arial" w:hAnsi="Arial"/>
          <w:sz w:val="22"/>
          <w:szCs w:val="22"/>
        </w:rPr>
        <w:t xml:space="preserve">The EntityType field on WorkflowStatus and WorkflowTransition enables a single database to hold completely independent workflow definitions for different entity types. The EntityTypes.cs file provides convenience constants but the engine itself works with any string value.</w:t>
      </w:r>
    </w:p>
    <w:p>
      <w:pPr>
        <w:spacing w:after="80"/>
      </w:pPr>
      <w:r>
        <w:rPr>
          <w:rFonts w:ascii="Arial" w:cs="Arial" w:eastAsia="Arial" w:hAnsi="Arial"/>
          <w:b/>
          <w:bCs/>
          <w:sz w:val="22"/>
          <w:szCs w:val="22"/>
        </w:rPr>
        <w:t xml:space="preserve">B &amp; D: JSON Metadata Fields</w:t>
      </w:r>
    </w:p>
    <w:p>
      <w:pPr>
        <w:spacing w:after="120"/>
      </w:pPr>
      <w:r>
        <w:rPr>
          <w:rFonts w:ascii="Arial" w:cs="Arial" w:eastAsia="Arial" w:hAnsi="Arial"/>
          <w:sz w:val="22"/>
          <w:szCs w:val="22"/>
        </w:rPr>
        <w:t xml:space="preserve">Transaction.Metadata enables schema-free extensibility (e.g., {"merchantId": "M-123", "channel": "web"}) stored as a JSON column in SQL Server. WorkflowTransition.Rules enables configurable business logic per transition (e.g., {"maxRetries": 3}). TransactionHistory.Context captures a snapshot at transition time for richer audit trails.</w:t>
      </w:r>
    </w:p>
    <w:p>
      <w:pPr>
        <w:pStyle w:val="Heading1"/>
        <w:spacing w:before="280" w:after="120"/>
      </w:pPr>
      <w:r>
        <w:rPr>
          <w:rFonts w:ascii="Arial" w:cs="Arial" w:eastAsia="Arial" w:hAnsi="Arial"/>
        </w:rPr>
        <w:t xml:space="preserve">4. Caching Strategy</w:t>
      </w:r>
    </w:p>
    <w:p>
      <w:pPr>
        <w:spacing w:after="120"/>
      </w:pPr>
      <w:r>
        <w:rPr>
          <w:rFonts w:ascii="Arial" w:cs="Arial" w:eastAsia="Arial" w:hAnsi="Arial"/>
          <w:sz w:val="22"/>
          <w:szCs w:val="22"/>
        </w:rPr>
        <w:t xml:space="preserve">All three use the same decorator pattern (CachedWorkflowRepository wraps WorkflowRepository) with IMemoryCache and 5-minute sliding expiration. The difference is in cache key structure: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600"/>
      </w:tblGrid>
      <w:tr>
        <w:tc>
          <w:tcPr>
            <w:tcW w:type="dxa" w:w="22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4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Cache Key Pattern</w:t>
            </w:r>
          </w:p>
        </w:tc>
        <w:tc>
          <w:tcPr>
            <w:tcW w:type="dxa" w:w="26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Scope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A</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workflow:initial, workflow:transitions:{statusId}</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Global</w:t>
            </w:r>
          </w:p>
        </w:tc>
      </w:tr>
      <w:tr>
        <w:tc>
          <w:tcPr>
            <w:tcW w:type="dxa" w:w="22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B</w:t>
            </w:r>
          </w:p>
        </w:tc>
        <w:tc>
          <w:tcPr>
            <w:tcW w:type="dxa" w:w="4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workflow:{entityType}:initial, workflow:{entityType}:transitions:{statusId}</w:t>
            </w:r>
          </w:p>
        </w:tc>
        <w:tc>
          <w:tcPr>
            <w:tcW w:type="dxa" w:w="26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Per entity type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w:t>
            </w:r>
          </w:p>
        </w:tc>
        <w:tc>
          <w:tcPr>
            <w:tcW w:type="dxa" w:w="4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workflow:initial, workflow:transitions:{statusId}</w:t>
            </w:r>
          </w:p>
        </w:tc>
        <w:tc>
          <w:tcPr>
            <w:tcW w:type="dxa" w:w="2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Global</w:t>
            </w:r>
          </w:p>
        </w:tc>
      </w:tr>
    </w:tbl>
    <w:p>
      <w:pPr>
        <w:spacing w:after="120"/>
      </w:pPr>
      <w:r>
        <w:rPr>
          <w:rFonts w:ascii="Arial" w:cs="Arial" w:eastAsia="Arial" w:hAnsi="Arial"/>
          <w:sz w:val="22"/>
          <w:szCs w:val="22"/>
        </w:rPr>
        <w:t xml:space="preserve">B's entity-type scoping means different workflow types never collide in cache. Cache invalidation can target one entity type without affecting others.</w:t>
      </w:r>
    </w:p>
    <w:p>
      <w:pPr>
        <w:pStyle w:val="Heading1"/>
        <w:spacing w:before="280" w:after="120"/>
      </w:pPr>
      <w:r>
        <w:rPr>
          <w:rFonts w:ascii="Arial" w:cs="Arial" w:eastAsia="Arial" w:hAnsi="Arial"/>
        </w:rPr>
        <w:t xml:space="preserve">5. Extensibility Scenarios</w:t>
      </w:r>
    </w:p>
    <w:p>
      <w:pPr>
        <w:pStyle w:val="Heading2"/>
        <w:spacing w:before="280" w:after="120"/>
      </w:pPr>
      <w:r>
        <w:rPr>
          <w:rFonts w:ascii="Arial" w:cs="Arial" w:eastAsia="Arial" w:hAnsi="Arial"/>
        </w:rPr>
        <w:t xml:space="preserve">5.1 Adding a New Workflow Status</w:t>
      </w:r>
    </w:p>
    <w:p>
      <w:pPr>
        <w:spacing w:after="120"/>
      </w:pPr>
      <w:r>
        <w:rPr>
          <w:rFonts w:ascii="Arial" w:cs="Arial" w:eastAsia="Arial" w:hAnsi="Arial"/>
          <w:sz w:val="22"/>
          <w:szCs w:val="22"/>
        </w:rPr>
        <w:t xml:space="preserve">All three approaches: INSERT a new row into WorkflowStatuses and new transitions. Zero code changes, zero deployments required.</w:t>
      </w:r>
    </w:p>
    <w:p>
      <w:pPr>
        <w:pStyle w:val="Heading2"/>
        <w:spacing w:before="280" w:after="120"/>
      </w:pPr>
      <w:r>
        <w:rPr>
          <w:rFonts w:ascii="Arial" w:cs="Arial" w:eastAsia="Arial" w:hAnsi="Arial"/>
        </w:rPr>
        <w:t xml:space="preserve">5.2 Adding a New Entity Type (e.g., "orders")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New DB rows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New tables or major refactor</w:t>
            </w:r>
          </w:p>
        </w:tc>
        <w:tc>
          <w:tcPr>
            <w:tcW w:type="dxa" w:w="2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20"/>
                <w:szCs w:val="20"/>
              </w:rPr>
              <w:t xml:space="preserve">INSERT with EntityType="order"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New tables or major refactor</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New service layer</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Required — full new service</w:t>
            </w:r>
          </w:p>
        </w:tc>
        <w:tc>
          <w:tcPr>
            <w:tcW w:type="dxa" w:w="2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20"/>
                <w:szCs w:val="20"/>
              </w:rPr>
              <w:t xml:space="preserve">Optional thin wrapper</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Required — full new service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Engine change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Needs new engine or abstraction</w:t>
            </w:r>
          </w:p>
        </w:tc>
        <w:tc>
          <w:tcPr>
            <w:tcW w:type="dxa" w:w="2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20"/>
                <w:szCs w:val="20"/>
              </w:rPr>
              <w:t xml:space="preserve">Zero</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Needs new engine or abstraction</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New controller</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Required</w:t>
            </w:r>
          </w:p>
        </w:tc>
        <w:tc>
          <w:tcPr>
            <w:tcW w:type="dxa" w:w="2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20"/>
                <w:szCs w:val="20"/>
              </w:rPr>
              <w:t xml:space="preserve">Optional (shared routes)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Required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Estimated effort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Days</w:t>
            </w:r>
          </w:p>
        </w:tc>
        <w:tc>
          <w:tcPr>
            <w:tcW w:type="dxa" w:w="2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20"/>
                <w:szCs w:val="20"/>
              </w:rPr>
              <w:t xml:space="preserve">Hours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Days</w:t>
            </w:r>
          </w:p>
        </w:tc>
      </w:tr>
    </w:tbl>
    <w:p>
      <w:pPr>
        <w:spacing w:after="120"/>
      </w:pPr>
      <w:r>
        <w:rPr>
          <w:rFonts w:ascii="Arial" w:cs="Arial" w:eastAsia="Arial" w:hAnsi="Arial"/>
          <w:sz w:val="22"/>
          <w:szCs w:val="22"/>
        </w:rPr>
        <w:t xml:space="preserve">B is the clear winner for multi-entity-type scenarios. The engine, caching, and admin API all work with any entity type out of the box.</w:t>
      </w:r>
    </w:p>
    <w:p>
      <w:pPr>
        <w:pStyle w:val="Heading2"/>
        <w:spacing w:before="280" w:after="120"/>
      </w:pPr>
      <w:r>
        <w:rPr>
          <w:rFonts w:ascii="Arial" w:cs="Arial" w:eastAsia="Arial" w:hAnsi="Arial"/>
        </w:rPr>
        <w:t xml:space="preserve">5.3 Adding a New Business Rule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DB change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 — rules not supported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Add to Rules JSON column</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Add to Rules JSON column</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Engine change</w:t>
            </w:r>
          </w:p>
        </w:tc>
        <w:tc>
          <w:tcPr>
            <w:tcW w:type="dxa" w:w="2000"/>
            <w:tcBorders>
              <w:top w:val="single" w:color="BBBBBB" w:sz="1"/>
              <w:left w:val="single" w:color="BBBBBB" w:sz="1"/>
              <w:bottom w:val="single" w:color="BBBBBB" w:sz="1"/>
              <w:right w:val="single" w:color="BBBBBB" w:sz="1"/>
            </w:tcBorders>
            <w:shd w:fill="FFF3E0" w:val="clear"/>
            <w:tcMar>
              <w:top w:type="dxa" w:w="60"/>
              <w:left w:type="dxa" w:w="100"/>
              <w:bottom w:type="dxa" w:w="60"/>
              <w:right w:type="dxa" w:w="100"/>
            </w:tcMar>
          </w:tcPr>
          <w:p>
            <w:r>
              <w:rPr>
                <w:rFonts w:ascii="Arial" w:cs="Arial" w:eastAsia="Arial" w:hAnsi="Arial"/>
                <w:sz w:val="20"/>
                <w:szCs w:val="20"/>
              </w:rPr>
              <w:t xml:space="preserve">New code path required</w:t>
            </w:r>
          </w:p>
        </w:tc>
        <w:tc>
          <w:tcPr>
            <w:tcW w:type="dxa" w:w="2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20"/>
                <w:szCs w:val="20"/>
              </w:rPr>
              <w:t xml:space="preserve">Add case in EvaluateRules</w:t>
            </w:r>
          </w:p>
        </w:tc>
        <w:tc>
          <w:tcPr>
            <w:tcW w:type="dxa" w:w="20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20"/>
                <w:szCs w:val="20"/>
              </w:rPr>
              <w:t xml:space="preserve">Add case in EvaluateRules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Interface change</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 — new method or param</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r>
    </w:tbl>
    <w:p>
      <w:pPr>
        <w:pStyle w:val="Heading1"/>
        <w:spacing w:before="280" w:after="120"/>
      </w:pPr>
      <w:r>
        <w:rPr>
          <w:rFonts w:ascii="Arial" w:cs="Arial" w:eastAsia="Arial" w:hAnsi="Arial"/>
        </w:rPr>
        <w:t xml:space="preserve">6. Test Coverage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1800"/>
        <w:gridCol w:w="1800"/>
      </w:tblGrid>
      <w:tr>
        <w:tc>
          <w:tcPr>
            <w:tcW w:type="dxa" w:w="33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Test Category</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1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WorkflowEngine unit tests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 (extensive)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3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API integration tests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DataProcessResult tests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3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Rule evaluation tests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No</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Yes</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Entity-type scoping tests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Yes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N/A</w:t>
            </w:r>
          </w:p>
        </w:tc>
      </w:tr>
      <w:tr>
        <w:tc>
          <w:tcPr>
            <w:tcW w:type="dxa" w:w="3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Test file count</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w:t>
            </w:r>
          </w:p>
        </w:tc>
      </w:tr>
      <w:tr>
        <w:tc>
          <w:tcPr>
            <w:tcW w:type="dxa" w:w="33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Engine test lines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192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307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233</w:t>
            </w:r>
          </w:p>
        </w:tc>
      </w:tr>
    </w:tbl>
    <w:p>
      <w:pPr>
        <w:pStyle w:val="Heading1"/>
        <w:spacing w:before="280" w:after="120"/>
      </w:pPr>
      <w:r>
        <w:rPr>
          <w:rFonts w:ascii="Arial" w:cs="Arial" w:eastAsia="Arial" w:hAnsi="Arial"/>
        </w:rPr>
        <w:t xml:space="preserve">7. Decision Matrix</w:t>
      </w:r>
    </w:p>
    <w:p>
      <w:pPr>
        <w:spacing w:after="120"/>
      </w:pPr>
      <w:r>
        <w:rPr>
          <w:rFonts w:ascii="Arial" w:cs="Arial" w:eastAsia="Arial" w:hAnsi="Arial"/>
          <w:sz w:val="22"/>
          <w:szCs w:val="22"/>
        </w:rPr>
        <w:t xml:space="preserve">Rating scale: 1 (low) to 5 (high).</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tblGrid>
      <w:tr>
        <w:tc>
          <w:tcPr>
            <w:tcW w:type="dxa" w:w="28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Criteria</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w:t>
            </w:r>
          </w:p>
        </w:tc>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Simplicity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Familiar to .NET devs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Extensibility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Multi-tenancy ready</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1</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Error handling clarity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Test ergonomics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Schema flexibility</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w:t>
            </w:r>
          </w:p>
        </w:tc>
      </w:tr>
      <w:tr>
        <w:tc>
          <w:tcPr>
            <w:tcW w:type="dxa" w:w="28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b/>
                <w:bCs/>
                <w:sz w:val="20"/>
                <w:szCs w:val="20"/>
              </w:rPr>
              <w:t xml:space="preserve">Production readiness</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3</w:t>
            </w:r>
          </w:p>
        </w:tc>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r>
              <w:rPr>
                <w:rFonts w:ascii="Arial" w:cs="Arial" w:eastAsia="Arial" w:hAnsi="Arial"/>
                <w:sz w:val="20"/>
                <w:szCs w:val="20"/>
              </w:rPr>
              <w:t xml:space="preserve">5</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bCs/>
                <w:sz w:val="20"/>
                <w:szCs w:val="20"/>
              </w:rPr>
              <w:t xml:space="preserve">Code volume (less = better)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5 (1,878 lines)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3 (2,403 lines)</w:t>
            </w:r>
          </w:p>
        </w:tc>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sz w:val="20"/>
                <w:szCs w:val="20"/>
              </w:rPr>
              <w:t xml:space="preserve">4 (2,188 lines)</w:t>
            </w:r>
          </w:p>
        </w:tc>
      </w:tr>
    </w:tbl>
    <w:p>
      <w:pPr>
        <w:pStyle w:val="Heading1"/>
        <w:spacing w:before="280" w:after="120"/>
      </w:pPr>
      <w:r>
        <w:rPr>
          <w:rFonts w:ascii="Arial" w:cs="Arial" w:eastAsia="Arial" w:hAnsi="Arial"/>
        </w:rPr>
        <w:t xml:space="preserve">8. Choosing an Approach</w:t>
      </w:r>
    </w:p>
    <w:p>
      <w:pPr>
        <w:spacing w:after="120"/>
      </w:pPr>
      <w:r>
        <w:rPr>
          <w:rFonts w:ascii="Arial" w:cs="Arial" w:eastAsia="Arial" w:hAnsi="Arial"/>
          <w:sz w:val="22"/>
          <w:szCs w:val="22"/>
        </w:rPr>
        <w:t xml:space="preserve">All three approaches pass the same 15-test suite, implement the same API contract, and are production-hardened with authentication, CORS, environment-aware error handling, and Swagger documentation. The choice depends on your team's priorities and where the product is heading.</w:t>
      </w:r>
    </w:p>
    <w:p>
      <w:pPr>
        <w:spacing w:after="80"/>
      </w:pPr>
      <w:r>
        <w:rPr>
          <w:rFonts w:ascii="Arial" w:cs="Arial" w:eastAsia="Arial" w:hAnsi="Arial"/>
          <w:b/>
          <w:bCs/>
          <w:sz w:val="22"/>
          <w:szCs w:val="22"/>
        </w:rPr>
        <w:t xml:space="preserve">Choose A (Vanilla) if you value:</w:t>
      </w:r>
    </w:p>
    <w:p>
      <w:pPr>
        <w:spacing w:after="120"/>
      </w:pPr>
      <w:r>
        <w:rPr>
          <w:rFonts w:ascii="Arial" w:cs="Arial" w:eastAsia="Arial" w:hAnsi="Arial"/>
          <w:sz w:val="22"/>
          <w:szCs w:val="22"/>
        </w:rPr>
        <w:t xml:space="preserve">Simplicity and onboarding speed. Any .NET developer can read this codebase on day one. Exception-based error handling follows standard .NET conventions. Lowest code volume at 1,878 lines. Best fit when the workflow engine serves a single, well-defined entity type and the team prefers convention over abstraction.</w:t>
      </w:r>
    </w:p>
    <w:p>
      <w:pPr>
        <w:spacing w:after="80"/>
      </w:pPr>
      <w:r>
        <w:rPr>
          <w:rFonts w:ascii="Arial" w:cs="Arial" w:eastAsia="Arial" w:hAnsi="Arial"/>
          <w:b/>
          <w:bCs/>
          <w:sz w:val="22"/>
          <w:szCs w:val="22"/>
        </w:rPr>
        <w:t xml:space="preserve">Choose B (Multi-Tenant DNA) if you value:</w:t>
      </w:r>
    </w:p>
    <w:p>
      <w:pPr>
        <w:spacing w:after="120"/>
      </w:pPr>
      <w:r>
        <w:rPr>
          <w:rFonts w:ascii="Arial" w:cs="Arial" w:eastAsia="Arial" w:hAnsi="Arial"/>
          <w:sz w:val="22"/>
          <w:szCs w:val="22"/>
        </w:rPr>
        <w:t xml:space="preserve">Platform scalability. The EntityType scoping means one deployment can serve completely independent workflows for transactions, orders, support tickets — all configured via database rows with zero code changes. Dynamic rule evaluation (maxRetries today, requiresApproval tomorrow) makes the engine a true configurable platform. Best fit for SaaS products or systems that will grow to serve multiple business domains.</w:t>
      </w:r>
    </w:p>
    <w:p>
      <w:pPr>
        <w:spacing w:after="80"/>
      </w:pPr>
      <w:r>
        <w:rPr>
          <w:rFonts w:ascii="Arial" w:cs="Arial" w:eastAsia="Arial" w:hAnsi="Arial"/>
          <w:b/>
          <w:bCs/>
          <w:sz w:val="22"/>
          <w:szCs w:val="22"/>
        </w:rPr>
        <w:t xml:space="preserve">Choose D (Strategic Hybrid) if you value:</w:t>
      </w:r>
    </w:p>
    <w:p>
      <w:pPr>
        <w:spacing w:after="120"/>
      </w:pPr>
      <w:r>
        <w:rPr>
          <w:rFonts w:ascii="Arial" w:cs="Arial" w:eastAsia="Arial" w:hAnsi="Arial"/>
          <w:sz w:val="22"/>
          <w:szCs w:val="22"/>
        </w:rPr>
        <w:t xml:space="preserve">Modern patterns without over-engineering. DataProcessResult gives explicit error flow and better testability than exceptions. JSON metadata fields (Transaction.Metadata, Transition.Rules) provide schema-free extensibility. Rule evaluation is included. But it skips the multi-tenant EntityType scoping that may not be needed today. Best fit when you want a clean foundation that can evolve toward B's capabilities if the product demands it.</w:t>
      </w:r>
    </w:p>
    <w:p>
      <w:pPr>
        <w:spacing w:after="80"/>
      </w:pPr>
      <w:r>
        <w:rPr>
          <w:rFonts w:ascii="Arial" w:cs="Arial" w:eastAsia="Arial" w:hAnsi="Arial"/>
          <w:b/>
          <w:bCs/>
          <w:sz w:val="22"/>
          <w:szCs w:val="22"/>
        </w:rPr>
        <w:t xml:space="preserve">All three are fully tested and deployable.</w:t>
      </w:r>
    </w:p>
    <w:p>
      <w:pPr>
        <w:spacing w:after="120"/>
      </w:pPr>
      <w:r>
        <w:rPr>
          <w:rFonts w:ascii="Arial" w:cs="Arial" w:eastAsia="Arial" w:hAnsi="Arial"/>
          <w:sz w:val="22"/>
          <w:szCs w:val="22"/>
        </w:rPr>
        <w:t xml:space="preserve">Each approach ships with Docker Compose, runs against SQL Server, and passes 15/15 automated tests covering happy path (create, transition chain, history), error paths (validation, invalid transitions, not found), and admin features (statuses, transitions, Mermaid visualization). The architectural differences are in the domain layer and error handling strategy — the external API behavior is identical.</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Approach Comparison — A vs B vs 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598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2026-02-08T13:22:26.413Z</dcterms:created>
  <dcterms:modified xsi:type="dcterms:W3CDTF">2026-02-08T13:22:26.414Z</dcterms:modified>
</cp:coreProperties>
</file>

<file path=docProps/custom.xml><?xml version="1.0" encoding="utf-8"?>
<Properties xmlns="http://schemas.openxmlformats.org/officeDocument/2006/custom-properties" xmlns:vt="http://schemas.openxmlformats.org/officeDocument/2006/docPropsVTypes"/>
</file>