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6629E" w14:textId="67337277" w:rsidR="007163EC" w:rsidRDefault="003F5D02">
      <w:pPr>
        <w:rPr>
          <w:rFonts w:ascii="Times New Roman" w:hAnsi="Times New Roman" w:cs="Times New Roman"/>
        </w:rPr>
      </w:pPr>
      <w:r>
        <w:rPr>
          <w:rFonts w:ascii="Times New Roman" w:hAnsi="Times New Roman" w:cs="Times New Roman"/>
        </w:rPr>
        <w:t xml:space="preserve">Translation structure: </w:t>
      </w:r>
    </w:p>
    <w:p w14:paraId="582BDF21" w14:textId="77777777" w:rsidR="003F5D02" w:rsidRPr="003F5D02" w:rsidRDefault="003F5D02" w:rsidP="003F5D02">
      <w:pPr>
        <w:rPr>
          <w:rFonts w:ascii="Times New Roman" w:hAnsi="Times New Roman" w:cs="Times New Roman"/>
          <w:b/>
          <w:bCs/>
        </w:rPr>
      </w:pPr>
      <w:r w:rsidRPr="003F5D02">
        <w:rPr>
          <w:rFonts w:ascii="Times New Roman" w:hAnsi="Times New Roman" w:cs="Times New Roman"/>
          <w:b/>
          <w:bCs/>
        </w:rPr>
        <w:t>The Language-Agnostic Foundation Grade (Vector Space Analysis)</w:t>
      </w:r>
    </w:p>
    <w:p w14:paraId="261BDF9D" w14:textId="77777777" w:rsidR="003F5D02" w:rsidRPr="003F5D02" w:rsidRDefault="003F5D02" w:rsidP="003F5D02">
      <w:pPr>
        <w:rPr>
          <w:rFonts w:ascii="Times New Roman" w:hAnsi="Times New Roman" w:cs="Times New Roman"/>
        </w:rPr>
      </w:pPr>
      <w:r w:rsidRPr="003F5D02">
        <w:rPr>
          <w:rFonts w:ascii="Times New Roman" w:hAnsi="Times New Roman" w:cs="Times New Roman"/>
        </w:rPr>
        <w:t>Instead of relying on text-based comparisons (which are destroyed by different tokenizers and grammar structures), we project the text into a shared, high-dimensional mathematical space.</w:t>
      </w:r>
    </w:p>
    <w:p w14:paraId="165E4FB9" w14:textId="77777777" w:rsidR="003F5D02" w:rsidRPr="003F5D02" w:rsidRDefault="003F5D02" w:rsidP="003F5D02">
      <w:pPr>
        <w:rPr>
          <w:rFonts w:ascii="Times New Roman" w:hAnsi="Times New Roman" w:cs="Times New Roman"/>
        </w:rPr>
      </w:pPr>
      <w:r w:rsidRPr="003F5D02">
        <w:rPr>
          <w:rFonts w:ascii="Times New Roman" w:hAnsi="Times New Roman" w:cs="Times New Roman"/>
        </w:rPr>
        <w:t xml:space="preserve">By using a model explicitly trained to align multiple languages into the exact same latent space—like Google's </w:t>
      </w:r>
      <w:proofErr w:type="spellStart"/>
      <w:r w:rsidRPr="003F5D02">
        <w:rPr>
          <w:rFonts w:ascii="Times New Roman" w:hAnsi="Times New Roman" w:cs="Times New Roman"/>
          <w:b/>
          <w:bCs/>
        </w:rPr>
        <w:t>LaBSE</w:t>
      </w:r>
      <w:proofErr w:type="spellEnd"/>
      <w:r w:rsidRPr="003F5D02">
        <w:rPr>
          <w:rFonts w:ascii="Times New Roman" w:hAnsi="Times New Roman" w:cs="Times New Roman"/>
        </w:rPr>
        <w:t xml:space="preserve"> (Language-agnostic BERT Sentence Embedding) or Meta's </w:t>
      </w:r>
      <w:r w:rsidRPr="003F5D02">
        <w:rPr>
          <w:rFonts w:ascii="Times New Roman" w:hAnsi="Times New Roman" w:cs="Times New Roman"/>
          <w:b/>
          <w:bCs/>
        </w:rPr>
        <w:t>LASER</w:t>
      </w:r>
      <w:r w:rsidRPr="003F5D02">
        <w:rPr>
          <w:rFonts w:ascii="Times New Roman" w:hAnsi="Times New Roman" w:cs="Times New Roman"/>
        </w:rPr>
        <w:t>—we bypass tokenization biases entirely.</w:t>
      </w:r>
    </w:p>
    <w:p w14:paraId="3B251CD6" w14:textId="77777777" w:rsidR="003F5D02" w:rsidRPr="003F5D02" w:rsidRDefault="003F5D02" w:rsidP="003F5D02">
      <w:pPr>
        <w:numPr>
          <w:ilvl w:val="0"/>
          <w:numId w:val="1"/>
        </w:numPr>
        <w:rPr>
          <w:rFonts w:ascii="Times New Roman" w:hAnsi="Times New Roman" w:cs="Times New Roman"/>
        </w:rPr>
      </w:pPr>
      <w:r w:rsidRPr="003F5D02">
        <w:rPr>
          <w:rFonts w:ascii="Times New Roman" w:hAnsi="Times New Roman" w:cs="Times New Roman"/>
          <w:b/>
          <w:bCs/>
        </w:rPr>
        <w:t>The Metric:</w:t>
      </w:r>
      <w:r w:rsidRPr="003F5D02">
        <w:rPr>
          <w:rFonts w:ascii="Times New Roman" w:hAnsi="Times New Roman" w:cs="Times New Roman"/>
        </w:rPr>
        <w:t xml:space="preserve"> We embed the original English text and the intermediate (e.g., Arabic) text into vectors. We then calculate the Cosine Similarity between these two tensors.</w:t>
      </w:r>
    </w:p>
    <w:p w14:paraId="19D0132A" w14:textId="77777777" w:rsidR="003F5D02" w:rsidRPr="003F5D02" w:rsidRDefault="003F5D02" w:rsidP="003F5D02">
      <w:pPr>
        <w:numPr>
          <w:ilvl w:val="0"/>
          <w:numId w:val="1"/>
        </w:numPr>
        <w:rPr>
          <w:rFonts w:ascii="Times New Roman" w:hAnsi="Times New Roman" w:cs="Times New Roman"/>
        </w:rPr>
      </w:pPr>
      <w:r w:rsidRPr="003F5D02">
        <w:rPr>
          <w:rFonts w:ascii="Times New Roman" w:hAnsi="Times New Roman" w:cs="Times New Roman"/>
          <w:b/>
          <w:bCs/>
        </w:rPr>
        <w:t>The Value:</w:t>
      </w:r>
      <w:r w:rsidRPr="003F5D02">
        <w:rPr>
          <w:rFonts w:ascii="Times New Roman" w:hAnsi="Times New Roman" w:cs="Times New Roman"/>
        </w:rPr>
        <w:t xml:space="preserve"> A perfect translation, regardless of the language family, will occupy the exact same coordinate in that vector space. If the mathematical distance between the English vector and the Arabic vector widens drastically, we have quantitative proof of semantic drift, completely independent of an English-speaking LLM judge.</w:t>
      </w:r>
    </w:p>
    <w:p w14:paraId="5E7BE86E" w14:textId="77777777" w:rsidR="003F5D02" w:rsidRPr="003F5D02" w:rsidRDefault="003F5D02" w:rsidP="003F5D02">
      <w:pPr>
        <w:rPr>
          <w:rFonts w:ascii="Times New Roman" w:hAnsi="Times New Roman" w:cs="Times New Roman"/>
          <w:b/>
          <w:bCs/>
        </w:rPr>
      </w:pPr>
      <w:r w:rsidRPr="003F5D02">
        <w:rPr>
          <w:rFonts w:ascii="Times New Roman" w:hAnsi="Times New Roman" w:cs="Times New Roman"/>
          <w:b/>
          <w:bCs/>
        </w:rPr>
        <w:t>2. State-of-the-Art Reference-Free Grading (COMET-QE)</w:t>
      </w:r>
    </w:p>
    <w:p w14:paraId="5290AA50" w14:textId="77777777" w:rsidR="003F5D02" w:rsidRPr="003F5D02" w:rsidRDefault="003F5D02" w:rsidP="003F5D02">
      <w:pPr>
        <w:rPr>
          <w:rFonts w:ascii="Times New Roman" w:hAnsi="Times New Roman" w:cs="Times New Roman"/>
        </w:rPr>
      </w:pPr>
      <w:r w:rsidRPr="003F5D02">
        <w:rPr>
          <w:rFonts w:ascii="Times New Roman" w:hAnsi="Times New Roman" w:cs="Times New Roman"/>
        </w:rPr>
        <w:t>For top-tier NLP research, relying on BLEU or ROUGE is heavily scrutinized because they just count overlapping strings.</w:t>
      </w:r>
    </w:p>
    <w:p w14:paraId="12E29D8D" w14:textId="77777777" w:rsidR="003F5D02" w:rsidRPr="003F5D02" w:rsidRDefault="003F5D02" w:rsidP="003F5D02">
      <w:pPr>
        <w:numPr>
          <w:ilvl w:val="0"/>
          <w:numId w:val="2"/>
        </w:numPr>
        <w:rPr>
          <w:rFonts w:ascii="Times New Roman" w:hAnsi="Times New Roman" w:cs="Times New Roman"/>
        </w:rPr>
      </w:pPr>
      <w:r w:rsidRPr="003F5D02">
        <w:rPr>
          <w:rFonts w:ascii="Times New Roman" w:hAnsi="Times New Roman" w:cs="Times New Roman"/>
          <w:b/>
          <w:bCs/>
        </w:rPr>
        <w:t>The Metric:</w:t>
      </w:r>
      <w:r w:rsidRPr="003F5D02">
        <w:rPr>
          <w:rFonts w:ascii="Times New Roman" w:hAnsi="Times New Roman" w:cs="Times New Roman"/>
        </w:rPr>
        <w:t xml:space="preserve"> We should integrate </w:t>
      </w:r>
      <w:r w:rsidRPr="003F5D02">
        <w:rPr>
          <w:rFonts w:ascii="Times New Roman" w:hAnsi="Times New Roman" w:cs="Times New Roman"/>
          <w:b/>
          <w:bCs/>
        </w:rPr>
        <w:t>COMET</w:t>
      </w:r>
      <w:r w:rsidRPr="003F5D02">
        <w:rPr>
          <w:rFonts w:ascii="Times New Roman" w:hAnsi="Times New Roman" w:cs="Times New Roman"/>
        </w:rPr>
        <w:t xml:space="preserve"> (</w:t>
      </w:r>
      <w:proofErr w:type="spellStart"/>
      <w:r w:rsidRPr="003F5D02">
        <w:rPr>
          <w:rFonts w:ascii="Times New Roman" w:hAnsi="Times New Roman" w:cs="Times New Roman"/>
        </w:rPr>
        <w:t>Crosslingual</w:t>
      </w:r>
      <w:proofErr w:type="spellEnd"/>
      <w:r w:rsidRPr="003F5D02">
        <w:rPr>
          <w:rFonts w:ascii="Times New Roman" w:hAnsi="Times New Roman" w:cs="Times New Roman"/>
        </w:rPr>
        <w:t xml:space="preserve"> Optimized Metric for Evaluation of Translation), specifically the Quality Estimation (QE) model.</w:t>
      </w:r>
    </w:p>
    <w:p w14:paraId="1AC2DF93" w14:textId="77777777" w:rsidR="003F5D02" w:rsidRPr="003F5D02" w:rsidRDefault="003F5D02" w:rsidP="003F5D02">
      <w:pPr>
        <w:numPr>
          <w:ilvl w:val="0"/>
          <w:numId w:val="2"/>
        </w:numPr>
        <w:rPr>
          <w:rFonts w:ascii="Times New Roman" w:hAnsi="Times New Roman" w:cs="Times New Roman"/>
        </w:rPr>
      </w:pPr>
      <w:r w:rsidRPr="003F5D02">
        <w:rPr>
          <w:rFonts w:ascii="Times New Roman" w:hAnsi="Times New Roman" w:cs="Times New Roman"/>
          <w:b/>
          <w:bCs/>
        </w:rPr>
        <w:t>The Value:</w:t>
      </w:r>
      <w:r w:rsidRPr="003F5D02">
        <w:rPr>
          <w:rFonts w:ascii="Times New Roman" w:hAnsi="Times New Roman" w:cs="Times New Roman"/>
        </w:rPr>
        <w:t xml:space="preserve"> COMET-QE is designed to score a translation </w:t>
      </w:r>
      <w:r w:rsidRPr="003F5D02">
        <w:rPr>
          <w:rFonts w:ascii="Times New Roman" w:hAnsi="Times New Roman" w:cs="Times New Roman"/>
          <w:i/>
          <w:iCs/>
        </w:rPr>
        <w:t>without needing a reference text</w:t>
      </w:r>
      <w:r w:rsidRPr="003F5D02">
        <w:rPr>
          <w:rFonts w:ascii="Times New Roman" w:hAnsi="Times New Roman" w:cs="Times New Roman"/>
        </w:rPr>
        <w:t>. It looks at the Source (English) and the Hypothesis (Target Language) and predicts the human judgment score. It is currently the gold standard in machine translation research because it understands cross-lingual semantics rather than just matching words.</w:t>
      </w:r>
    </w:p>
    <w:p w14:paraId="4107CA77" w14:textId="77777777" w:rsidR="003F5D02" w:rsidRPr="003F5D02" w:rsidRDefault="003F5D02" w:rsidP="003F5D02">
      <w:pPr>
        <w:rPr>
          <w:rFonts w:ascii="Times New Roman" w:hAnsi="Times New Roman" w:cs="Times New Roman"/>
          <w:b/>
          <w:bCs/>
        </w:rPr>
      </w:pPr>
      <w:r w:rsidRPr="003F5D02">
        <w:rPr>
          <w:rFonts w:ascii="Times New Roman" w:hAnsi="Times New Roman" w:cs="Times New Roman"/>
          <w:b/>
          <w:bCs/>
        </w:rPr>
        <w:t>3. Language Family-Specific Diagnostics (The "Why" it Failed)</w:t>
      </w:r>
    </w:p>
    <w:p w14:paraId="62EF1CAE" w14:textId="77777777" w:rsidR="003F5D02" w:rsidRPr="003F5D02" w:rsidRDefault="003F5D02" w:rsidP="003F5D02">
      <w:pPr>
        <w:rPr>
          <w:rFonts w:ascii="Times New Roman" w:hAnsi="Times New Roman" w:cs="Times New Roman"/>
        </w:rPr>
      </w:pPr>
      <w:r w:rsidRPr="003F5D02">
        <w:rPr>
          <w:rFonts w:ascii="Times New Roman" w:hAnsi="Times New Roman" w:cs="Times New Roman"/>
        </w:rPr>
        <w:t xml:space="preserve">If </w:t>
      </w:r>
      <w:proofErr w:type="spellStart"/>
      <w:r w:rsidRPr="003F5D02">
        <w:rPr>
          <w:rFonts w:ascii="Times New Roman" w:hAnsi="Times New Roman" w:cs="Times New Roman"/>
        </w:rPr>
        <w:t>LaBSE</w:t>
      </w:r>
      <w:proofErr w:type="spellEnd"/>
      <w:r w:rsidRPr="003F5D02">
        <w:rPr>
          <w:rFonts w:ascii="Times New Roman" w:hAnsi="Times New Roman" w:cs="Times New Roman"/>
        </w:rPr>
        <w:t xml:space="preserve"> or COMET tells us the score dropped, these family-specific metrics explain </w:t>
      </w:r>
      <w:r w:rsidRPr="003F5D02">
        <w:rPr>
          <w:rFonts w:ascii="Times New Roman" w:hAnsi="Times New Roman" w:cs="Times New Roman"/>
          <w:i/>
          <w:iCs/>
        </w:rPr>
        <w:t>why</w:t>
      </w:r>
      <w:r w:rsidRPr="003F5D02">
        <w:rPr>
          <w:rFonts w:ascii="Times New Roman" w:hAnsi="Times New Roman" w:cs="Times New Roman"/>
        </w:rPr>
        <w:t xml:space="preserve"> it dropped, providing the qualitative analysis needed for a strong paper.</w:t>
      </w:r>
    </w:p>
    <w:p w14:paraId="0A2C3D2B" w14:textId="77777777" w:rsidR="003F5D02" w:rsidRPr="003F5D02" w:rsidRDefault="003F5D02" w:rsidP="003F5D02">
      <w:pPr>
        <w:numPr>
          <w:ilvl w:val="0"/>
          <w:numId w:val="3"/>
        </w:numPr>
        <w:rPr>
          <w:rFonts w:ascii="Times New Roman" w:hAnsi="Times New Roman" w:cs="Times New Roman"/>
        </w:rPr>
      </w:pPr>
      <w:r w:rsidRPr="003F5D02">
        <w:rPr>
          <w:rFonts w:ascii="Times New Roman" w:hAnsi="Times New Roman" w:cs="Times New Roman"/>
          <w:b/>
          <w:bCs/>
        </w:rPr>
        <w:t>Slavic &amp; Germanic (Morphological Density):</w:t>
      </w:r>
      <w:r w:rsidRPr="003F5D02">
        <w:rPr>
          <w:rFonts w:ascii="Times New Roman" w:hAnsi="Times New Roman" w:cs="Times New Roman"/>
        </w:rPr>
        <w:t xml:space="preserve"> We can measure the </w:t>
      </w:r>
      <w:r w:rsidRPr="003F5D02">
        <w:rPr>
          <w:rFonts w:ascii="Times New Roman" w:hAnsi="Times New Roman" w:cs="Times New Roman"/>
          <w:b/>
          <w:bCs/>
        </w:rPr>
        <w:t>Type-Token Ratio (TTR)</w:t>
      </w:r>
      <w:r w:rsidRPr="003F5D02">
        <w:rPr>
          <w:rFonts w:ascii="Times New Roman" w:hAnsi="Times New Roman" w:cs="Times New Roman"/>
        </w:rPr>
        <w:t>. These languages heavily use inflection, cases, and compound words. If an LLM suddenly starts using way more tokens than expected, it means the model is failing to use the native morphological structures and is instead "explaining" the concept using rigid, English-style sentence structures.</w:t>
      </w:r>
    </w:p>
    <w:p w14:paraId="5E335B0F" w14:textId="77777777" w:rsidR="003F5D02" w:rsidRPr="003F5D02" w:rsidRDefault="003F5D02" w:rsidP="003F5D02">
      <w:pPr>
        <w:numPr>
          <w:ilvl w:val="0"/>
          <w:numId w:val="3"/>
        </w:numPr>
        <w:rPr>
          <w:rFonts w:ascii="Times New Roman" w:hAnsi="Times New Roman" w:cs="Times New Roman"/>
        </w:rPr>
      </w:pPr>
      <w:r w:rsidRPr="003F5D02">
        <w:rPr>
          <w:rFonts w:ascii="Times New Roman" w:hAnsi="Times New Roman" w:cs="Times New Roman"/>
          <w:b/>
          <w:bCs/>
        </w:rPr>
        <w:t>Eastern Asian (Information Density):</w:t>
      </w:r>
      <w:r w:rsidRPr="003F5D02">
        <w:rPr>
          <w:rFonts w:ascii="Times New Roman" w:hAnsi="Times New Roman" w:cs="Times New Roman"/>
        </w:rPr>
        <w:t xml:space="preserve"> Because Sino-Tibetan languages encode massive amounts of semantic meaning into single characters, we track </w:t>
      </w:r>
      <w:r w:rsidRPr="003F5D02">
        <w:rPr>
          <w:rFonts w:ascii="Times New Roman" w:hAnsi="Times New Roman" w:cs="Times New Roman"/>
          <w:b/>
          <w:bCs/>
        </w:rPr>
        <w:t>Character-to-Meaning Density</w:t>
      </w:r>
      <w:r w:rsidRPr="003F5D02">
        <w:rPr>
          <w:rFonts w:ascii="Times New Roman" w:hAnsi="Times New Roman" w:cs="Times New Roman"/>
        </w:rPr>
        <w:t xml:space="preserve">. We can flag instances where the character count inflates, which usually indicates </w:t>
      </w:r>
      <w:r w:rsidRPr="003F5D02">
        <w:rPr>
          <w:rFonts w:ascii="Times New Roman" w:hAnsi="Times New Roman" w:cs="Times New Roman"/>
        </w:rPr>
        <w:lastRenderedPageBreak/>
        <w:t>the LLM is hallucinating context or relying on overly formal, unnatural phrasing to compensate for its lack of native colloquial understanding.</w:t>
      </w:r>
    </w:p>
    <w:p w14:paraId="73393061" w14:textId="77777777" w:rsidR="003F5D02" w:rsidRPr="003F5D02" w:rsidRDefault="003F5D02" w:rsidP="003F5D02">
      <w:pPr>
        <w:numPr>
          <w:ilvl w:val="0"/>
          <w:numId w:val="3"/>
        </w:numPr>
        <w:rPr>
          <w:rFonts w:ascii="Times New Roman" w:hAnsi="Times New Roman" w:cs="Times New Roman"/>
        </w:rPr>
      </w:pPr>
      <w:r w:rsidRPr="003F5D02">
        <w:rPr>
          <w:rFonts w:ascii="Times New Roman" w:hAnsi="Times New Roman" w:cs="Times New Roman"/>
          <w:b/>
          <w:bCs/>
        </w:rPr>
        <w:t>Romantic (Agreement Drift):</w:t>
      </w:r>
      <w:r w:rsidRPr="003F5D02">
        <w:rPr>
          <w:rFonts w:ascii="Times New Roman" w:hAnsi="Times New Roman" w:cs="Times New Roman"/>
        </w:rPr>
        <w:t xml:space="preserve"> We can write scripts (using NLP libraries like </w:t>
      </w:r>
      <w:proofErr w:type="spellStart"/>
      <w:r w:rsidRPr="003F5D02">
        <w:rPr>
          <w:rFonts w:ascii="Times New Roman" w:hAnsi="Times New Roman" w:cs="Times New Roman"/>
        </w:rPr>
        <w:t>spaCy</w:t>
      </w:r>
      <w:proofErr w:type="spellEnd"/>
      <w:r w:rsidRPr="003F5D02">
        <w:rPr>
          <w:rFonts w:ascii="Times New Roman" w:hAnsi="Times New Roman" w:cs="Times New Roman"/>
        </w:rPr>
        <w:t>) to specifically audit gender and pluralization agreement across long context windows, which is where LLMs notoriously drop the ball when translating from gender-neutral English.</w:t>
      </w:r>
    </w:p>
    <w:p w14:paraId="16B19733" w14:textId="77777777" w:rsidR="003F5D02" w:rsidRDefault="003F5D02">
      <w:pPr>
        <w:rPr>
          <w:rFonts w:ascii="Times New Roman" w:hAnsi="Times New Roman" w:cs="Times New Roman"/>
        </w:rPr>
      </w:pPr>
    </w:p>
    <w:p w14:paraId="67BC3D9B" w14:textId="77777777" w:rsidR="00EB0A24" w:rsidRDefault="00EB0A24">
      <w:pPr>
        <w:rPr>
          <w:rFonts w:ascii="Times New Roman" w:hAnsi="Times New Roman" w:cs="Times New Roman"/>
        </w:rPr>
      </w:pPr>
    </w:p>
    <w:p w14:paraId="42259F07" w14:textId="77777777" w:rsidR="00EB0A24" w:rsidRDefault="00EB0A24">
      <w:pPr>
        <w:rPr>
          <w:rFonts w:ascii="Times New Roman" w:hAnsi="Times New Roman" w:cs="Times New Roman"/>
        </w:rPr>
      </w:pPr>
    </w:p>
    <w:p w14:paraId="4107C6DE" w14:textId="26B1DBBD" w:rsidR="00EB0A24" w:rsidRDefault="00A71EA9">
      <w:pPr>
        <w:rPr>
          <w:rFonts w:ascii="Times New Roman" w:hAnsi="Times New Roman" w:cs="Times New Roman"/>
        </w:rPr>
      </w:pPr>
      <w:r>
        <w:rPr>
          <w:rFonts w:ascii="Times New Roman" w:hAnsi="Times New Roman" w:cs="Times New Roman"/>
        </w:rPr>
        <w:t>Analogous Text If- Kipling</w:t>
      </w:r>
    </w:p>
    <w:p w14:paraId="25FA6856" w14:textId="3EC2B6D3" w:rsidR="00A71EA9" w:rsidRDefault="00A71EA9">
      <w:pPr>
        <w:rPr>
          <w:rFonts w:ascii="Times New Roman" w:hAnsi="Times New Roman" w:cs="Times New Roman"/>
        </w:rPr>
      </w:pPr>
      <w:hyperlink r:id="rId5" w:history="1">
        <w:r w:rsidRPr="00AC40F6">
          <w:rPr>
            <w:rStyle w:val="Hyperlink"/>
            <w:rFonts w:ascii="Times New Roman" w:hAnsi="Times New Roman" w:cs="Times New Roman"/>
          </w:rPr>
          <w:t>https://sites.google.com/site/ifrudyardkipling/more-languages-%D0%B4%D1%80%D1%83%D0%B3%D0%B8%D0%B5-%D1%8F%D0%B7%D1%8B%D0%BA%D0%B8?authuser=0</w:t>
        </w:r>
      </w:hyperlink>
    </w:p>
    <w:p w14:paraId="7D7F97DB" w14:textId="77777777" w:rsidR="00A71EA9" w:rsidRDefault="00A71EA9">
      <w:pPr>
        <w:rPr>
          <w:rFonts w:ascii="Times New Roman" w:hAnsi="Times New Roman" w:cs="Times New Roman"/>
        </w:rPr>
      </w:pPr>
    </w:p>
    <w:p w14:paraId="0E7F2052" w14:textId="77777777" w:rsidR="00EB0A24" w:rsidRDefault="00EB0A24">
      <w:pPr>
        <w:rPr>
          <w:rFonts w:ascii="Times New Roman" w:hAnsi="Times New Roman" w:cs="Times New Roman"/>
        </w:rPr>
      </w:pPr>
    </w:p>
    <w:p w14:paraId="0AD1E3C2" w14:textId="59637624" w:rsidR="00EB0A24" w:rsidRDefault="00EB0A24">
      <w:pPr>
        <w:rPr>
          <w:rFonts w:ascii="Times New Roman" w:hAnsi="Times New Roman" w:cs="Times New Roman"/>
        </w:rPr>
      </w:pPr>
      <w:r>
        <w:rPr>
          <w:rFonts w:ascii="Times New Roman" w:hAnsi="Times New Roman" w:cs="Times New Roman"/>
        </w:rPr>
        <w:t xml:space="preserve">Technical Documentation </w:t>
      </w:r>
    </w:p>
    <w:p w14:paraId="2EE07984" w14:textId="77777777" w:rsidR="00EB0A24" w:rsidRPr="00EB0A24" w:rsidRDefault="00EB0A24" w:rsidP="00EB0A24">
      <w:pPr>
        <w:rPr>
          <w:rFonts w:ascii="Times New Roman" w:hAnsi="Times New Roman" w:cs="Times New Roman"/>
          <w:b/>
          <w:bCs/>
        </w:rPr>
      </w:pPr>
      <w:r w:rsidRPr="00EB0A24">
        <w:rPr>
          <w:rFonts w:ascii="Times New Roman" w:hAnsi="Times New Roman" w:cs="Times New Roman"/>
          <w:b/>
          <w:bCs/>
        </w:rPr>
        <w:t>Universal Declaration of Human Rights (UDHR)</w:t>
      </w:r>
    </w:p>
    <w:p w14:paraId="74A27ED0" w14:textId="77777777" w:rsidR="00EB0A24" w:rsidRPr="00EB0A24" w:rsidRDefault="00EB0A24" w:rsidP="00EB0A24">
      <w:pPr>
        <w:rPr>
          <w:rFonts w:ascii="Times New Roman" w:hAnsi="Times New Roman" w:cs="Times New Roman"/>
        </w:rPr>
      </w:pPr>
      <w:r w:rsidRPr="00EB0A24">
        <w:rPr>
          <w:rFonts w:ascii="Times New Roman" w:hAnsi="Times New Roman" w:cs="Times New Roman"/>
          <w:b/>
          <w:bCs/>
        </w:rPr>
        <w:t>The single best option — covers every language in your dictionary.</w:t>
      </w:r>
    </w:p>
    <w:p w14:paraId="18E7E4CE"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 xml:space="preserve">The UDHR holds the Guinness World Record as the world's most translated document, with 562 translations as of 2024. </w:t>
      </w:r>
      <w:hyperlink r:id="rId6" w:tgtFrame="_blank" w:history="1">
        <w:r w:rsidRPr="00EB0A24">
          <w:rPr>
            <w:rStyle w:val="Hyperlink"/>
            <w:rFonts w:ascii="Times New Roman" w:hAnsi="Times New Roman" w:cs="Times New Roman"/>
          </w:rPr>
          <w:t>Wikipedia</w:t>
        </w:r>
      </w:hyperlink>
      <w:r w:rsidRPr="00EB0A24">
        <w:rPr>
          <w:rFonts w:ascii="Times New Roman" w:hAnsi="Times New Roman" w:cs="Times New Roman"/>
        </w:rPr>
        <w:t xml:space="preserve"> It's free, openly licensed, and structurally consistent across all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078"/>
      </w:tblGrid>
      <w:tr w:rsidR="00EB0A24" w:rsidRPr="00EB0A24" w14:paraId="1E1CB522" w14:textId="77777777">
        <w:trPr>
          <w:tblHeader/>
          <w:tblCellSpacing w:w="15" w:type="dxa"/>
        </w:trPr>
        <w:tc>
          <w:tcPr>
            <w:tcW w:w="0" w:type="auto"/>
            <w:vAlign w:val="center"/>
            <w:hideMark/>
          </w:tcPr>
          <w:p w14:paraId="13417467" w14:textId="77777777" w:rsidR="00EB0A24" w:rsidRPr="00EB0A24" w:rsidRDefault="00EB0A24" w:rsidP="00EB0A24">
            <w:pPr>
              <w:rPr>
                <w:rFonts w:ascii="Times New Roman" w:hAnsi="Times New Roman" w:cs="Times New Roman"/>
                <w:b/>
                <w:bCs/>
              </w:rPr>
            </w:pPr>
            <w:r w:rsidRPr="00EB0A24">
              <w:rPr>
                <w:rFonts w:ascii="Times New Roman" w:hAnsi="Times New Roman" w:cs="Times New Roman"/>
                <w:b/>
                <w:bCs/>
              </w:rPr>
              <w:t>Your Language</w:t>
            </w:r>
          </w:p>
        </w:tc>
        <w:tc>
          <w:tcPr>
            <w:tcW w:w="0" w:type="auto"/>
            <w:vAlign w:val="center"/>
            <w:hideMark/>
          </w:tcPr>
          <w:p w14:paraId="511B446C" w14:textId="77777777" w:rsidR="00EB0A24" w:rsidRPr="00EB0A24" w:rsidRDefault="00EB0A24" w:rsidP="00EB0A24">
            <w:pPr>
              <w:rPr>
                <w:rFonts w:ascii="Times New Roman" w:hAnsi="Times New Roman" w:cs="Times New Roman"/>
                <w:b/>
                <w:bCs/>
              </w:rPr>
            </w:pPr>
            <w:r w:rsidRPr="00EB0A24">
              <w:rPr>
                <w:rFonts w:ascii="Times New Roman" w:hAnsi="Times New Roman" w:cs="Times New Roman"/>
                <w:b/>
                <w:bCs/>
              </w:rPr>
              <w:t>Direct Link</w:t>
            </w:r>
          </w:p>
        </w:tc>
      </w:tr>
      <w:tr w:rsidR="00EB0A24" w:rsidRPr="00EB0A24" w14:paraId="3D838F7A" w14:textId="77777777">
        <w:trPr>
          <w:tblCellSpacing w:w="15" w:type="dxa"/>
        </w:trPr>
        <w:tc>
          <w:tcPr>
            <w:tcW w:w="0" w:type="auto"/>
            <w:vAlign w:val="center"/>
            <w:hideMark/>
          </w:tcPr>
          <w:p w14:paraId="4E5DA148"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English</w:t>
            </w:r>
          </w:p>
        </w:tc>
        <w:tc>
          <w:tcPr>
            <w:tcW w:w="0" w:type="auto"/>
            <w:vAlign w:val="center"/>
            <w:hideMark/>
          </w:tcPr>
          <w:p w14:paraId="79012F61" w14:textId="77777777" w:rsidR="00EB0A24" w:rsidRPr="00EB0A24" w:rsidRDefault="00EB0A24" w:rsidP="00EB0A24">
            <w:pPr>
              <w:rPr>
                <w:rFonts w:ascii="Times New Roman" w:hAnsi="Times New Roman" w:cs="Times New Roman"/>
              </w:rPr>
            </w:pPr>
            <w:hyperlink r:id="rId7" w:history="1">
              <w:r w:rsidRPr="00EB0A24">
                <w:rPr>
                  <w:rStyle w:val="Hyperlink"/>
                  <w:rFonts w:ascii="Times New Roman" w:hAnsi="Times New Roman" w:cs="Times New Roman"/>
                </w:rPr>
                <w:t>ohchr.org → English</w:t>
              </w:r>
            </w:hyperlink>
          </w:p>
        </w:tc>
      </w:tr>
      <w:tr w:rsidR="00EB0A24" w:rsidRPr="00EB0A24" w14:paraId="3B1532A9" w14:textId="77777777">
        <w:trPr>
          <w:tblCellSpacing w:w="15" w:type="dxa"/>
        </w:trPr>
        <w:tc>
          <w:tcPr>
            <w:tcW w:w="0" w:type="auto"/>
            <w:vAlign w:val="center"/>
            <w:hideMark/>
          </w:tcPr>
          <w:p w14:paraId="7B24233E"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German</w:t>
            </w:r>
          </w:p>
        </w:tc>
        <w:tc>
          <w:tcPr>
            <w:tcW w:w="0" w:type="auto"/>
            <w:vAlign w:val="center"/>
            <w:hideMark/>
          </w:tcPr>
          <w:p w14:paraId="3468FF41" w14:textId="77777777" w:rsidR="00EB0A24" w:rsidRPr="00EB0A24" w:rsidRDefault="00EB0A24" w:rsidP="00EB0A24">
            <w:pPr>
              <w:rPr>
                <w:rFonts w:ascii="Times New Roman" w:hAnsi="Times New Roman" w:cs="Times New Roman"/>
              </w:rPr>
            </w:pPr>
            <w:hyperlink r:id="rId8" w:history="1">
              <w:r w:rsidRPr="00EB0A24">
                <w:rPr>
                  <w:rStyle w:val="Hyperlink"/>
                  <w:rFonts w:ascii="Times New Roman" w:hAnsi="Times New Roman" w:cs="Times New Roman"/>
                </w:rPr>
                <w:t>→ Deutsch</w:t>
              </w:r>
            </w:hyperlink>
          </w:p>
        </w:tc>
      </w:tr>
      <w:tr w:rsidR="00EB0A24" w:rsidRPr="00EB0A24" w14:paraId="59DD6AC7" w14:textId="77777777">
        <w:trPr>
          <w:tblCellSpacing w:w="15" w:type="dxa"/>
        </w:trPr>
        <w:tc>
          <w:tcPr>
            <w:tcW w:w="0" w:type="auto"/>
            <w:vAlign w:val="center"/>
            <w:hideMark/>
          </w:tcPr>
          <w:p w14:paraId="37455343"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Dutch</w:t>
            </w:r>
          </w:p>
        </w:tc>
        <w:tc>
          <w:tcPr>
            <w:tcW w:w="0" w:type="auto"/>
            <w:vAlign w:val="center"/>
            <w:hideMark/>
          </w:tcPr>
          <w:p w14:paraId="79981152" w14:textId="77777777" w:rsidR="00EB0A24" w:rsidRPr="00EB0A24" w:rsidRDefault="00EB0A24" w:rsidP="00EB0A24">
            <w:pPr>
              <w:rPr>
                <w:rFonts w:ascii="Times New Roman" w:hAnsi="Times New Roman" w:cs="Times New Roman"/>
              </w:rPr>
            </w:pPr>
            <w:hyperlink r:id="rId9" w:history="1">
              <w:r w:rsidRPr="00EB0A24">
                <w:rPr>
                  <w:rStyle w:val="Hyperlink"/>
                  <w:rFonts w:ascii="Times New Roman" w:hAnsi="Times New Roman" w:cs="Times New Roman"/>
                </w:rPr>
                <w:t>→ Dutch</w:t>
              </w:r>
            </w:hyperlink>
          </w:p>
        </w:tc>
      </w:tr>
      <w:tr w:rsidR="00EB0A24" w:rsidRPr="00EB0A24" w14:paraId="7E39ED82" w14:textId="77777777">
        <w:trPr>
          <w:tblCellSpacing w:w="15" w:type="dxa"/>
        </w:trPr>
        <w:tc>
          <w:tcPr>
            <w:tcW w:w="0" w:type="auto"/>
            <w:vAlign w:val="center"/>
            <w:hideMark/>
          </w:tcPr>
          <w:p w14:paraId="1E563507"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Swedish</w:t>
            </w:r>
          </w:p>
        </w:tc>
        <w:tc>
          <w:tcPr>
            <w:tcW w:w="0" w:type="auto"/>
            <w:vAlign w:val="center"/>
            <w:hideMark/>
          </w:tcPr>
          <w:p w14:paraId="6C3D1420" w14:textId="77777777" w:rsidR="00EB0A24" w:rsidRPr="00EB0A24" w:rsidRDefault="00EB0A24" w:rsidP="00EB0A24">
            <w:pPr>
              <w:rPr>
                <w:rFonts w:ascii="Times New Roman" w:hAnsi="Times New Roman" w:cs="Times New Roman"/>
              </w:rPr>
            </w:pPr>
            <w:hyperlink r:id="rId10" w:history="1">
              <w:r w:rsidRPr="00EB0A24">
                <w:rPr>
                  <w:rStyle w:val="Hyperlink"/>
                  <w:rFonts w:ascii="Times New Roman" w:hAnsi="Times New Roman" w:cs="Times New Roman"/>
                </w:rPr>
                <w:t>→ Swedish</w:t>
              </w:r>
            </w:hyperlink>
          </w:p>
        </w:tc>
      </w:tr>
      <w:tr w:rsidR="00EB0A24" w:rsidRPr="00EB0A24" w14:paraId="2D2AF7A3" w14:textId="77777777">
        <w:trPr>
          <w:tblCellSpacing w:w="15" w:type="dxa"/>
        </w:trPr>
        <w:tc>
          <w:tcPr>
            <w:tcW w:w="0" w:type="auto"/>
            <w:vAlign w:val="center"/>
            <w:hideMark/>
          </w:tcPr>
          <w:p w14:paraId="0F5984FF"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Spanish</w:t>
            </w:r>
          </w:p>
        </w:tc>
        <w:tc>
          <w:tcPr>
            <w:tcW w:w="0" w:type="auto"/>
            <w:vAlign w:val="center"/>
            <w:hideMark/>
          </w:tcPr>
          <w:p w14:paraId="784FEC59" w14:textId="77777777" w:rsidR="00EB0A24" w:rsidRPr="00EB0A24" w:rsidRDefault="00EB0A24" w:rsidP="00EB0A24">
            <w:pPr>
              <w:rPr>
                <w:rFonts w:ascii="Times New Roman" w:hAnsi="Times New Roman" w:cs="Times New Roman"/>
              </w:rPr>
            </w:pPr>
            <w:hyperlink r:id="rId11" w:history="1">
              <w:r w:rsidRPr="00EB0A24">
                <w:rPr>
                  <w:rStyle w:val="Hyperlink"/>
                  <w:rFonts w:ascii="Times New Roman" w:hAnsi="Times New Roman" w:cs="Times New Roman"/>
                </w:rPr>
                <w:t>→ Español</w:t>
              </w:r>
            </w:hyperlink>
          </w:p>
        </w:tc>
      </w:tr>
      <w:tr w:rsidR="00EB0A24" w:rsidRPr="00EB0A24" w14:paraId="7166277B" w14:textId="77777777">
        <w:trPr>
          <w:tblCellSpacing w:w="15" w:type="dxa"/>
        </w:trPr>
        <w:tc>
          <w:tcPr>
            <w:tcW w:w="0" w:type="auto"/>
            <w:vAlign w:val="center"/>
            <w:hideMark/>
          </w:tcPr>
          <w:p w14:paraId="646AF1DE"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French</w:t>
            </w:r>
          </w:p>
        </w:tc>
        <w:tc>
          <w:tcPr>
            <w:tcW w:w="0" w:type="auto"/>
            <w:vAlign w:val="center"/>
            <w:hideMark/>
          </w:tcPr>
          <w:p w14:paraId="75CDC0B0" w14:textId="77777777" w:rsidR="00EB0A24" w:rsidRPr="00EB0A24" w:rsidRDefault="00EB0A24" w:rsidP="00EB0A24">
            <w:pPr>
              <w:rPr>
                <w:rFonts w:ascii="Times New Roman" w:hAnsi="Times New Roman" w:cs="Times New Roman"/>
              </w:rPr>
            </w:pPr>
            <w:hyperlink r:id="rId12" w:history="1">
              <w:r w:rsidRPr="00EB0A24">
                <w:rPr>
                  <w:rStyle w:val="Hyperlink"/>
                  <w:rFonts w:ascii="Times New Roman" w:hAnsi="Times New Roman" w:cs="Times New Roman"/>
                </w:rPr>
                <w:t>→ Français</w:t>
              </w:r>
            </w:hyperlink>
          </w:p>
        </w:tc>
      </w:tr>
      <w:tr w:rsidR="00EB0A24" w:rsidRPr="00EB0A24" w14:paraId="3573FA03" w14:textId="77777777">
        <w:trPr>
          <w:tblCellSpacing w:w="15" w:type="dxa"/>
        </w:trPr>
        <w:tc>
          <w:tcPr>
            <w:tcW w:w="0" w:type="auto"/>
            <w:vAlign w:val="center"/>
            <w:hideMark/>
          </w:tcPr>
          <w:p w14:paraId="77058A26"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lastRenderedPageBreak/>
              <w:t>Italian</w:t>
            </w:r>
          </w:p>
        </w:tc>
        <w:tc>
          <w:tcPr>
            <w:tcW w:w="0" w:type="auto"/>
            <w:vAlign w:val="center"/>
            <w:hideMark/>
          </w:tcPr>
          <w:p w14:paraId="2A91C65F" w14:textId="77777777" w:rsidR="00EB0A24" w:rsidRPr="00EB0A24" w:rsidRDefault="00EB0A24" w:rsidP="00EB0A24">
            <w:pPr>
              <w:rPr>
                <w:rFonts w:ascii="Times New Roman" w:hAnsi="Times New Roman" w:cs="Times New Roman"/>
              </w:rPr>
            </w:pPr>
            <w:hyperlink r:id="rId13" w:history="1">
              <w:r w:rsidRPr="00EB0A24">
                <w:rPr>
                  <w:rStyle w:val="Hyperlink"/>
                  <w:rFonts w:ascii="Times New Roman" w:hAnsi="Times New Roman" w:cs="Times New Roman"/>
                </w:rPr>
                <w:t>→ Italiano</w:t>
              </w:r>
            </w:hyperlink>
          </w:p>
        </w:tc>
      </w:tr>
      <w:tr w:rsidR="00EB0A24" w:rsidRPr="00EB0A24" w14:paraId="0BE26561" w14:textId="77777777">
        <w:trPr>
          <w:tblCellSpacing w:w="15" w:type="dxa"/>
        </w:trPr>
        <w:tc>
          <w:tcPr>
            <w:tcW w:w="0" w:type="auto"/>
            <w:vAlign w:val="center"/>
            <w:hideMark/>
          </w:tcPr>
          <w:p w14:paraId="3D4B1437"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Russian</w:t>
            </w:r>
          </w:p>
        </w:tc>
        <w:tc>
          <w:tcPr>
            <w:tcW w:w="0" w:type="auto"/>
            <w:vAlign w:val="center"/>
            <w:hideMark/>
          </w:tcPr>
          <w:p w14:paraId="045354A1" w14:textId="77777777" w:rsidR="00EB0A24" w:rsidRPr="00EB0A24" w:rsidRDefault="00EB0A24" w:rsidP="00EB0A24">
            <w:pPr>
              <w:rPr>
                <w:rFonts w:ascii="Times New Roman" w:hAnsi="Times New Roman" w:cs="Times New Roman"/>
              </w:rPr>
            </w:pPr>
            <w:hyperlink r:id="rId14" w:history="1">
              <w:r w:rsidRPr="00EB0A24">
                <w:rPr>
                  <w:rStyle w:val="Hyperlink"/>
                  <w:rFonts w:ascii="Times New Roman" w:hAnsi="Times New Roman" w:cs="Times New Roman"/>
                </w:rPr>
                <w:t>→ Russian</w:t>
              </w:r>
            </w:hyperlink>
          </w:p>
        </w:tc>
      </w:tr>
      <w:tr w:rsidR="00EB0A24" w:rsidRPr="00EB0A24" w14:paraId="4942FFB8" w14:textId="77777777">
        <w:trPr>
          <w:tblCellSpacing w:w="15" w:type="dxa"/>
        </w:trPr>
        <w:tc>
          <w:tcPr>
            <w:tcW w:w="0" w:type="auto"/>
            <w:vAlign w:val="center"/>
            <w:hideMark/>
          </w:tcPr>
          <w:p w14:paraId="0757F942"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Polish</w:t>
            </w:r>
          </w:p>
        </w:tc>
        <w:tc>
          <w:tcPr>
            <w:tcW w:w="0" w:type="auto"/>
            <w:vAlign w:val="center"/>
            <w:hideMark/>
          </w:tcPr>
          <w:p w14:paraId="5502033C" w14:textId="77777777" w:rsidR="00EB0A24" w:rsidRPr="00EB0A24" w:rsidRDefault="00EB0A24" w:rsidP="00EB0A24">
            <w:pPr>
              <w:rPr>
                <w:rFonts w:ascii="Times New Roman" w:hAnsi="Times New Roman" w:cs="Times New Roman"/>
              </w:rPr>
            </w:pPr>
            <w:hyperlink r:id="rId15" w:history="1">
              <w:r w:rsidRPr="00EB0A24">
                <w:rPr>
                  <w:rStyle w:val="Hyperlink"/>
                  <w:rFonts w:ascii="Times New Roman" w:hAnsi="Times New Roman" w:cs="Times New Roman"/>
                </w:rPr>
                <w:t>→ Polish</w:t>
              </w:r>
            </w:hyperlink>
          </w:p>
        </w:tc>
      </w:tr>
      <w:tr w:rsidR="00EB0A24" w:rsidRPr="00EB0A24" w14:paraId="533BAB03" w14:textId="77777777">
        <w:trPr>
          <w:tblCellSpacing w:w="15" w:type="dxa"/>
        </w:trPr>
        <w:tc>
          <w:tcPr>
            <w:tcW w:w="0" w:type="auto"/>
            <w:vAlign w:val="center"/>
            <w:hideMark/>
          </w:tcPr>
          <w:p w14:paraId="2A591767"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Czech</w:t>
            </w:r>
          </w:p>
        </w:tc>
        <w:tc>
          <w:tcPr>
            <w:tcW w:w="0" w:type="auto"/>
            <w:vAlign w:val="center"/>
            <w:hideMark/>
          </w:tcPr>
          <w:p w14:paraId="36E390ED" w14:textId="77777777" w:rsidR="00EB0A24" w:rsidRPr="00EB0A24" w:rsidRDefault="00EB0A24" w:rsidP="00EB0A24">
            <w:pPr>
              <w:rPr>
                <w:rFonts w:ascii="Times New Roman" w:hAnsi="Times New Roman" w:cs="Times New Roman"/>
              </w:rPr>
            </w:pPr>
            <w:hyperlink r:id="rId16" w:history="1">
              <w:r w:rsidRPr="00EB0A24">
                <w:rPr>
                  <w:rStyle w:val="Hyperlink"/>
                  <w:rFonts w:ascii="Times New Roman" w:hAnsi="Times New Roman" w:cs="Times New Roman"/>
                </w:rPr>
                <w:t>→ Czech</w:t>
              </w:r>
            </w:hyperlink>
          </w:p>
        </w:tc>
      </w:tr>
      <w:tr w:rsidR="00EB0A24" w:rsidRPr="00EB0A24" w14:paraId="326AE962" w14:textId="77777777">
        <w:trPr>
          <w:tblCellSpacing w:w="15" w:type="dxa"/>
        </w:trPr>
        <w:tc>
          <w:tcPr>
            <w:tcW w:w="0" w:type="auto"/>
            <w:vAlign w:val="center"/>
            <w:hideMark/>
          </w:tcPr>
          <w:p w14:paraId="331C86E7"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Arabic</w:t>
            </w:r>
          </w:p>
        </w:tc>
        <w:tc>
          <w:tcPr>
            <w:tcW w:w="0" w:type="auto"/>
            <w:vAlign w:val="center"/>
            <w:hideMark/>
          </w:tcPr>
          <w:p w14:paraId="68702C93" w14:textId="77777777" w:rsidR="00EB0A24" w:rsidRPr="00EB0A24" w:rsidRDefault="00EB0A24" w:rsidP="00EB0A24">
            <w:pPr>
              <w:rPr>
                <w:rFonts w:ascii="Times New Roman" w:hAnsi="Times New Roman" w:cs="Times New Roman"/>
              </w:rPr>
            </w:pPr>
            <w:hyperlink r:id="rId17" w:history="1">
              <w:r w:rsidRPr="00EB0A24">
                <w:rPr>
                  <w:rStyle w:val="Hyperlink"/>
                  <w:rFonts w:ascii="Times New Roman" w:hAnsi="Times New Roman" w:cs="Times New Roman"/>
                </w:rPr>
                <w:t>→ Arabic</w:t>
              </w:r>
            </w:hyperlink>
          </w:p>
        </w:tc>
      </w:tr>
      <w:tr w:rsidR="00EB0A24" w:rsidRPr="00EB0A24" w14:paraId="2780BEA9" w14:textId="77777777">
        <w:trPr>
          <w:tblCellSpacing w:w="15" w:type="dxa"/>
        </w:trPr>
        <w:tc>
          <w:tcPr>
            <w:tcW w:w="0" w:type="auto"/>
            <w:vAlign w:val="center"/>
            <w:hideMark/>
          </w:tcPr>
          <w:p w14:paraId="4A88103F"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Hebrew</w:t>
            </w:r>
          </w:p>
        </w:tc>
        <w:tc>
          <w:tcPr>
            <w:tcW w:w="0" w:type="auto"/>
            <w:vAlign w:val="center"/>
            <w:hideMark/>
          </w:tcPr>
          <w:p w14:paraId="60E40AD7" w14:textId="77777777" w:rsidR="00EB0A24" w:rsidRPr="00EB0A24" w:rsidRDefault="00EB0A24" w:rsidP="00EB0A24">
            <w:pPr>
              <w:rPr>
                <w:rFonts w:ascii="Times New Roman" w:hAnsi="Times New Roman" w:cs="Times New Roman"/>
              </w:rPr>
            </w:pPr>
            <w:hyperlink r:id="rId18" w:history="1">
              <w:r w:rsidRPr="00EB0A24">
                <w:rPr>
                  <w:rStyle w:val="Hyperlink"/>
                  <w:rFonts w:ascii="Times New Roman" w:hAnsi="Times New Roman" w:cs="Times New Roman"/>
                </w:rPr>
                <w:t>→ Hebrew</w:t>
              </w:r>
            </w:hyperlink>
          </w:p>
        </w:tc>
      </w:tr>
      <w:tr w:rsidR="00EB0A24" w:rsidRPr="00EB0A24" w14:paraId="285C9C53" w14:textId="77777777">
        <w:trPr>
          <w:tblCellSpacing w:w="15" w:type="dxa"/>
        </w:trPr>
        <w:tc>
          <w:tcPr>
            <w:tcW w:w="0" w:type="auto"/>
            <w:vAlign w:val="center"/>
            <w:hideMark/>
          </w:tcPr>
          <w:p w14:paraId="111F2A18"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Farsi</w:t>
            </w:r>
          </w:p>
        </w:tc>
        <w:tc>
          <w:tcPr>
            <w:tcW w:w="0" w:type="auto"/>
            <w:vAlign w:val="center"/>
            <w:hideMark/>
          </w:tcPr>
          <w:p w14:paraId="739EA63E" w14:textId="77777777" w:rsidR="00EB0A24" w:rsidRPr="00EB0A24" w:rsidRDefault="00EB0A24" w:rsidP="00EB0A24">
            <w:pPr>
              <w:rPr>
                <w:rFonts w:ascii="Times New Roman" w:hAnsi="Times New Roman" w:cs="Times New Roman"/>
              </w:rPr>
            </w:pPr>
            <w:hyperlink r:id="rId19" w:history="1">
              <w:r w:rsidRPr="00EB0A24">
                <w:rPr>
                  <w:rStyle w:val="Hyperlink"/>
                  <w:rFonts w:ascii="Times New Roman" w:hAnsi="Times New Roman" w:cs="Times New Roman"/>
                </w:rPr>
                <w:t>→ Farsi</w:t>
              </w:r>
            </w:hyperlink>
          </w:p>
        </w:tc>
      </w:tr>
      <w:tr w:rsidR="00EB0A24" w:rsidRPr="00EB0A24" w14:paraId="1D30FADC" w14:textId="77777777">
        <w:trPr>
          <w:tblCellSpacing w:w="15" w:type="dxa"/>
        </w:trPr>
        <w:tc>
          <w:tcPr>
            <w:tcW w:w="0" w:type="auto"/>
            <w:vAlign w:val="center"/>
            <w:hideMark/>
          </w:tcPr>
          <w:p w14:paraId="03E5E31D"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Mandarin Chinese</w:t>
            </w:r>
          </w:p>
        </w:tc>
        <w:tc>
          <w:tcPr>
            <w:tcW w:w="0" w:type="auto"/>
            <w:vAlign w:val="center"/>
            <w:hideMark/>
          </w:tcPr>
          <w:p w14:paraId="2546838A" w14:textId="77777777" w:rsidR="00EB0A24" w:rsidRPr="00EB0A24" w:rsidRDefault="00EB0A24" w:rsidP="00EB0A24">
            <w:pPr>
              <w:rPr>
                <w:rFonts w:ascii="Times New Roman" w:hAnsi="Times New Roman" w:cs="Times New Roman"/>
              </w:rPr>
            </w:pPr>
            <w:hyperlink r:id="rId20" w:history="1">
              <w:r w:rsidRPr="00EB0A24">
                <w:rPr>
                  <w:rStyle w:val="Hyperlink"/>
                  <w:rFonts w:ascii="Times New Roman" w:hAnsi="Times New Roman" w:cs="Times New Roman"/>
                </w:rPr>
                <w:t>→ Chinese</w:t>
              </w:r>
            </w:hyperlink>
          </w:p>
        </w:tc>
      </w:tr>
      <w:tr w:rsidR="00EB0A24" w:rsidRPr="00EB0A24" w14:paraId="45E15CCE" w14:textId="77777777">
        <w:trPr>
          <w:tblCellSpacing w:w="15" w:type="dxa"/>
        </w:trPr>
        <w:tc>
          <w:tcPr>
            <w:tcW w:w="0" w:type="auto"/>
            <w:vAlign w:val="center"/>
            <w:hideMark/>
          </w:tcPr>
          <w:p w14:paraId="7B148676"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Japanese</w:t>
            </w:r>
          </w:p>
        </w:tc>
        <w:tc>
          <w:tcPr>
            <w:tcW w:w="0" w:type="auto"/>
            <w:vAlign w:val="center"/>
            <w:hideMark/>
          </w:tcPr>
          <w:p w14:paraId="5D775414" w14:textId="77777777" w:rsidR="00EB0A24" w:rsidRPr="00EB0A24" w:rsidRDefault="00EB0A24" w:rsidP="00EB0A24">
            <w:pPr>
              <w:rPr>
                <w:rFonts w:ascii="Times New Roman" w:hAnsi="Times New Roman" w:cs="Times New Roman"/>
              </w:rPr>
            </w:pPr>
            <w:hyperlink r:id="rId21" w:history="1">
              <w:r w:rsidRPr="00EB0A24">
                <w:rPr>
                  <w:rStyle w:val="Hyperlink"/>
                  <w:rFonts w:ascii="Times New Roman" w:hAnsi="Times New Roman" w:cs="Times New Roman"/>
                </w:rPr>
                <w:t>→ Japanese</w:t>
              </w:r>
            </w:hyperlink>
          </w:p>
        </w:tc>
      </w:tr>
      <w:tr w:rsidR="00EB0A24" w:rsidRPr="00EB0A24" w14:paraId="3860E464" w14:textId="77777777">
        <w:trPr>
          <w:tblCellSpacing w:w="15" w:type="dxa"/>
        </w:trPr>
        <w:tc>
          <w:tcPr>
            <w:tcW w:w="0" w:type="auto"/>
            <w:vAlign w:val="center"/>
            <w:hideMark/>
          </w:tcPr>
          <w:p w14:paraId="71B226FF"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Korean</w:t>
            </w:r>
          </w:p>
        </w:tc>
        <w:tc>
          <w:tcPr>
            <w:tcW w:w="0" w:type="auto"/>
            <w:vAlign w:val="center"/>
            <w:hideMark/>
          </w:tcPr>
          <w:p w14:paraId="5A8EEE82" w14:textId="77777777" w:rsidR="00EB0A24" w:rsidRPr="00EB0A24" w:rsidRDefault="00EB0A24" w:rsidP="00EB0A24">
            <w:pPr>
              <w:rPr>
                <w:rFonts w:ascii="Times New Roman" w:hAnsi="Times New Roman" w:cs="Times New Roman"/>
              </w:rPr>
            </w:pPr>
            <w:hyperlink r:id="rId22" w:history="1">
              <w:r w:rsidRPr="00EB0A24">
                <w:rPr>
                  <w:rStyle w:val="Hyperlink"/>
                  <w:rFonts w:ascii="Times New Roman" w:hAnsi="Times New Roman" w:cs="Times New Roman"/>
                </w:rPr>
                <w:t>→ Korean</w:t>
              </w:r>
            </w:hyperlink>
          </w:p>
        </w:tc>
      </w:tr>
    </w:tbl>
    <w:p w14:paraId="7826B122" w14:textId="77777777" w:rsidR="00EB0A24" w:rsidRPr="00EB0A24" w:rsidRDefault="00EB0A24" w:rsidP="00EB0A24">
      <w:pPr>
        <w:rPr>
          <w:rFonts w:ascii="Times New Roman" w:hAnsi="Times New Roman" w:cs="Times New Roman"/>
        </w:rPr>
      </w:pPr>
      <w:r w:rsidRPr="00EB0A24">
        <w:rPr>
          <w:rFonts w:ascii="Times New Roman" w:hAnsi="Times New Roman" w:cs="Times New Roman"/>
        </w:rPr>
        <w:t xml:space="preserve">All versions are available as machine-readable text at </w:t>
      </w:r>
      <w:hyperlink r:id="rId23" w:history="1">
        <w:r w:rsidRPr="00EB0A24">
          <w:rPr>
            <w:rStyle w:val="Hyperlink"/>
            <w:rFonts w:ascii="Times New Roman" w:hAnsi="Times New Roman" w:cs="Times New Roman"/>
            <w:b/>
            <w:bCs/>
          </w:rPr>
          <w:t>unicode.org/</w:t>
        </w:r>
        <w:proofErr w:type="spellStart"/>
        <w:r w:rsidRPr="00EB0A24">
          <w:rPr>
            <w:rStyle w:val="Hyperlink"/>
            <w:rFonts w:ascii="Times New Roman" w:hAnsi="Times New Roman" w:cs="Times New Roman"/>
            <w:b/>
            <w:bCs/>
          </w:rPr>
          <w:t>udhr</w:t>
        </w:r>
        <w:proofErr w:type="spellEnd"/>
      </w:hyperlink>
      <w:r w:rsidRPr="00EB0A24">
        <w:rPr>
          <w:rFonts w:ascii="Times New Roman" w:hAnsi="Times New Roman" w:cs="Times New Roman"/>
        </w:rPr>
        <w:t xml:space="preserve"> — extremely useful for NLP work.</w:t>
      </w:r>
    </w:p>
    <w:p w14:paraId="510E68F1" w14:textId="77777777" w:rsidR="00EB0A24" w:rsidRPr="003F5D02" w:rsidRDefault="00EB0A24">
      <w:pPr>
        <w:rPr>
          <w:rFonts w:ascii="Times New Roman" w:hAnsi="Times New Roman" w:cs="Times New Roman"/>
        </w:rPr>
      </w:pPr>
    </w:p>
    <w:sectPr w:rsidR="00EB0A24" w:rsidRPr="003F5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538D"/>
    <w:multiLevelType w:val="multilevel"/>
    <w:tmpl w:val="06D2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E4306"/>
    <w:multiLevelType w:val="multilevel"/>
    <w:tmpl w:val="227C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36639"/>
    <w:multiLevelType w:val="multilevel"/>
    <w:tmpl w:val="A7D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9480">
    <w:abstractNumId w:val="2"/>
  </w:num>
  <w:num w:numId="2" w16cid:durableId="276526144">
    <w:abstractNumId w:val="1"/>
  </w:num>
  <w:num w:numId="3" w16cid:durableId="211439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02"/>
    <w:rsid w:val="002D2EBF"/>
    <w:rsid w:val="002D4FFA"/>
    <w:rsid w:val="003F5D02"/>
    <w:rsid w:val="007163EC"/>
    <w:rsid w:val="00A71EA9"/>
    <w:rsid w:val="00E807EB"/>
    <w:rsid w:val="00EB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4001"/>
  <w15:chartTrackingRefBased/>
  <w15:docId w15:val="{BDB424C9-CC81-4B47-AED5-075E45D0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02"/>
    <w:rPr>
      <w:rFonts w:eastAsiaTheme="majorEastAsia" w:cstheme="majorBidi"/>
      <w:color w:val="272727" w:themeColor="text1" w:themeTint="D8"/>
    </w:rPr>
  </w:style>
  <w:style w:type="paragraph" w:styleId="Title">
    <w:name w:val="Title"/>
    <w:basedOn w:val="Normal"/>
    <w:next w:val="Normal"/>
    <w:link w:val="TitleChar"/>
    <w:uiPriority w:val="10"/>
    <w:qFormat/>
    <w:rsid w:val="003F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D02"/>
    <w:pPr>
      <w:spacing w:before="160"/>
      <w:jc w:val="center"/>
    </w:pPr>
    <w:rPr>
      <w:i/>
      <w:iCs/>
      <w:color w:val="404040" w:themeColor="text1" w:themeTint="BF"/>
    </w:rPr>
  </w:style>
  <w:style w:type="character" w:customStyle="1" w:styleId="QuoteChar">
    <w:name w:val="Quote Char"/>
    <w:basedOn w:val="DefaultParagraphFont"/>
    <w:link w:val="Quote"/>
    <w:uiPriority w:val="29"/>
    <w:rsid w:val="003F5D02"/>
    <w:rPr>
      <w:i/>
      <w:iCs/>
      <w:color w:val="404040" w:themeColor="text1" w:themeTint="BF"/>
    </w:rPr>
  </w:style>
  <w:style w:type="paragraph" w:styleId="ListParagraph">
    <w:name w:val="List Paragraph"/>
    <w:basedOn w:val="Normal"/>
    <w:uiPriority w:val="34"/>
    <w:qFormat/>
    <w:rsid w:val="003F5D02"/>
    <w:pPr>
      <w:ind w:left="720"/>
      <w:contextualSpacing/>
    </w:pPr>
  </w:style>
  <w:style w:type="character" w:styleId="IntenseEmphasis">
    <w:name w:val="Intense Emphasis"/>
    <w:basedOn w:val="DefaultParagraphFont"/>
    <w:uiPriority w:val="21"/>
    <w:qFormat/>
    <w:rsid w:val="003F5D02"/>
    <w:rPr>
      <w:i/>
      <w:iCs/>
      <w:color w:val="0F4761" w:themeColor="accent1" w:themeShade="BF"/>
    </w:rPr>
  </w:style>
  <w:style w:type="paragraph" w:styleId="IntenseQuote">
    <w:name w:val="Intense Quote"/>
    <w:basedOn w:val="Normal"/>
    <w:next w:val="Normal"/>
    <w:link w:val="IntenseQuoteChar"/>
    <w:uiPriority w:val="30"/>
    <w:qFormat/>
    <w:rsid w:val="003F5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D02"/>
    <w:rPr>
      <w:i/>
      <w:iCs/>
      <w:color w:val="0F4761" w:themeColor="accent1" w:themeShade="BF"/>
    </w:rPr>
  </w:style>
  <w:style w:type="character" w:styleId="IntenseReference">
    <w:name w:val="Intense Reference"/>
    <w:basedOn w:val="DefaultParagraphFont"/>
    <w:uiPriority w:val="32"/>
    <w:qFormat/>
    <w:rsid w:val="003F5D02"/>
    <w:rPr>
      <w:b/>
      <w:bCs/>
      <w:smallCaps/>
      <w:color w:val="0F4761" w:themeColor="accent1" w:themeShade="BF"/>
      <w:spacing w:val="5"/>
    </w:rPr>
  </w:style>
  <w:style w:type="character" w:styleId="Hyperlink">
    <w:name w:val="Hyperlink"/>
    <w:basedOn w:val="DefaultParagraphFont"/>
    <w:uiPriority w:val="99"/>
    <w:unhideWhenUsed/>
    <w:rsid w:val="00EB0A24"/>
    <w:rPr>
      <w:color w:val="467886" w:themeColor="hyperlink"/>
      <w:u w:val="single"/>
    </w:rPr>
  </w:style>
  <w:style w:type="character" w:styleId="UnresolvedMention">
    <w:name w:val="Unresolved Mention"/>
    <w:basedOn w:val="DefaultParagraphFont"/>
    <w:uiPriority w:val="99"/>
    <w:semiHidden/>
    <w:unhideWhenUsed/>
    <w:rsid w:val="00EB0A24"/>
    <w:rPr>
      <w:color w:val="605E5C"/>
      <w:shd w:val="clear" w:color="auto" w:fill="E1DFDD"/>
    </w:rPr>
  </w:style>
  <w:style w:type="character" w:styleId="FollowedHyperlink">
    <w:name w:val="FollowedHyperlink"/>
    <w:basedOn w:val="DefaultParagraphFont"/>
    <w:uiPriority w:val="99"/>
    <w:semiHidden/>
    <w:unhideWhenUsed/>
    <w:rsid w:val="00A71E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hchr.org/en/human-rights/universal-declaration/translations/german" TargetMode="External"/><Relationship Id="rId13" Type="http://schemas.openxmlformats.org/officeDocument/2006/relationships/hyperlink" Target="https://www.ohchr.org/en/human-rights/universal-declaration/translations/italian" TargetMode="External"/><Relationship Id="rId18" Type="http://schemas.openxmlformats.org/officeDocument/2006/relationships/hyperlink" Target="https://www.ohchr.org/en/human-rights/universal-declaration/translations/hebrew" TargetMode="External"/><Relationship Id="rId3" Type="http://schemas.openxmlformats.org/officeDocument/2006/relationships/settings" Target="settings.xml"/><Relationship Id="rId21" Type="http://schemas.openxmlformats.org/officeDocument/2006/relationships/hyperlink" Target="https://www.ohchr.org/en/human-rights/universal-declaration/translations/japanese" TargetMode="External"/><Relationship Id="rId7" Type="http://schemas.openxmlformats.org/officeDocument/2006/relationships/hyperlink" Target="https://www.ohchr.org/en/human-rights/universal-declaration/translations/english" TargetMode="External"/><Relationship Id="rId12" Type="http://schemas.openxmlformats.org/officeDocument/2006/relationships/hyperlink" Target="https://www.ohchr.org/en/human-rights/universal-declaration/translations/french" TargetMode="External"/><Relationship Id="rId17" Type="http://schemas.openxmlformats.org/officeDocument/2006/relationships/hyperlink" Target="https://www.ohchr.org/en/human-rights/universal-declaration/translations/arabic"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ohchr.org/en/human-rights/universal-declaration/translations/czech" TargetMode="External"/><Relationship Id="rId20" Type="http://schemas.openxmlformats.org/officeDocument/2006/relationships/hyperlink" Target="https://www.ohchr.org/en/human-rights/universal-declaration/translations/chinese" TargetMode="External"/><Relationship Id="rId1" Type="http://schemas.openxmlformats.org/officeDocument/2006/relationships/numbering" Target="numbering.xml"/><Relationship Id="rId6" Type="http://schemas.openxmlformats.org/officeDocument/2006/relationships/hyperlink" Target="https://en.wikipedia.org/wiki/Universal_Declaration_of_Human_Rights" TargetMode="External"/><Relationship Id="rId11" Type="http://schemas.openxmlformats.org/officeDocument/2006/relationships/hyperlink" Target="https://www.ohchr.org/en/human-rights/universal-declaration/translations/spanish" TargetMode="External"/><Relationship Id="rId24" Type="http://schemas.openxmlformats.org/officeDocument/2006/relationships/fontTable" Target="fontTable.xml"/><Relationship Id="rId5" Type="http://schemas.openxmlformats.org/officeDocument/2006/relationships/hyperlink" Target="https://sites.google.com/site/ifrudyardkipling/more-languages-%D0%B4%D1%80%D1%83%D0%B3%D0%B8%D0%B5-%D1%8F%D0%B7%D1%8B%D0%BA%D0%B8?authuser=0" TargetMode="External"/><Relationship Id="rId15" Type="http://schemas.openxmlformats.org/officeDocument/2006/relationships/hyperlink" Target="https://www.ohchr.org/en/human-rights/universal-declaration/translations/polish" TargetMode="External"/><Relationship Id="rId23" Type="http://schemas.openxmlformats.org/officeDocument/2006/relationships/hyperlink" Target="https://unicode.org/udhr/" TargetMode="External"/><Relationship Id="rId10" Type="http://schemas.openxmlformats.org/officeDocument/2006/relationships/hyperlink" Target="https://www.ohchr.org/en/human-rights/universal-declaration/translations/swedish" TargetMode="External"/><Relationship Id="rId19" Type="http://schemas.openxmlformats.org/officeDocument/2006/relationships/hyperlink" Target="https://www.ohchr.org/en/human-rights/universal-declaration/translations/farsi" TargetMode="External"/><Relationship Id="rId4" Type="http://schemas.openxmlformats.org/officeDocument/2006/relationships/webSettings" Target="webSettings.xml"/><Relationship Id="rId9" Type="http://schemas.openxmlformats.org/officeDocument/2006/relationships/hyperlink" Target="https://www.ohchr.org/en/human-rights/universal-declaration/translations/dutch" TargetMode="External"/><Relationship Id="rId14" Type="http://schemas.openxmlformats.org/officeDocument/2006/relationships/hyperlink" Target="https://www.ohchr.org/en/human-rights/universal-declaration/translations/russian" TargetMode="External"/><Relationship Id="rId22" Type="http://schemas.openxmlformats.org/officeDocument/2006/relationships/hyperlink" Target="https://www.ohchr.org/en/human-rights/universal-declaration/translations/kor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Schoffstall</dc:creator>
  <cp:keywords/>
  <dc:description/>
  <cp:lastModifiedBy>Nathan Schoffstall</cp:lastModifiedBy>
  <cp:revision>3</cp:revision>
  <dcterms:created xsi:type="dcterms:W3CDTF">2026-04-24T00:30:00Z</dcterms:created>
  <dcterms:modified xsi:type="dcterms:W3CDTF">2026-04-24T03:49:00Z</dcterms:modified>
</cp:coreProperties>
</file>