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B39DF5" w14:textId="77777777" w:rsidR="007438BE" w:rsidRPr="00FA5AF2" w:rsidRDefault="007438BE" w:rsidP="006C2C8F">
      <w:pPr>
        <w:pStyle w:val="Citazioneintensa"/>
        <w:ind w:right="565"/>
        <w:rPr>
          <w:sz w:val="40"/>
          <w:szCs w:val="40"/>
        </w:rPr>
      </w:pPr>
      <w:r w:rsidRPr="00FA5AF2">
        <w:rPr>
          <w:sz w:val="40"/>
          <w:szCs w:val="40"/>
        </w:rPr>
        <w:t>FAQ – CALCOLO DEL PREZZO E CURVE AD S</w:t>
      </w:r>
      <w:r>
        <w:rPr>
          <w:sz w:val="40"/>
          <w:szCs w:val="40"/>
        </w:rPr>
        <w:t xml:space="preserve"> </w:t>
      </w:r>
    </w:p>
    <w:p w14:paraId="5DBF829D" w14:textId="77777777" w:rsidR="007438BE" w:rsidRDefault="007438BE" w:rsidP="0089761C">
      <w:pPr>
        <w:pStyle w:val="Titolo1"/>
        <w:numPr>
          <w:ilvl w:val="0"/>
          <w:numId w:val="1"/>
        </w:numPr>
        <w:spacing w:after="240"/>
        <w:ind w:left="1418" w:right="565" w:hanging="567"/>
        <w:rPr>
          <w:sz w:val="36"/>
          <w:szCs w:val="36"/>
        </w:rPr>
      </w:pPr>
      <w:r>
        <w:rPr>
          <w:sz w:val="36"/>
          <w:szCs w:val="36"/>
        </w:rPr>
        <w:t>ALCUNE QUESTIONI PRELIMINARI</w:t>
      </w:r>
    </w:p>
    <w:p w14:paraId="1702AD3C" w14:textId="77777777" w:rsidR="007438BE" w:rsidRDefault="007438BE" w:rsidP="00CE3E08">
      <w:pPr>
        <w:pStyle w:val="Paragrafoelenco"/>
        <w:numPr>
          <w:ilvl w:val="0"/>
          <w:numId w:val="3"/>
        </w:numPr>
        <w:spacing w:after="0"/>
        <w:ind w:left="1208" w:right="567" w:hanging="357"/>
        <w:jc w:val="both"/>
        <w:rPr>
          <w:sz w:val="24"/>
          <w:szCs w:val="24"/>
          <w:u w:val="single"/>
        </w:rPr>
      </w:pPr>
      <w:r>
        <w:rPr>
          <w:sz w:val="24"/>
          <w:szCs w:val="24"/>
          <w:u w:val="single"/>
        </w:rPr>
        <w:t>Programmazione di base per il calcolo del prezzo della commessa e per la stesura delle curve ad S</w:t>
      </w:r>
    </w:p>
    <w:p w14:paraId="1EFC16C8" w14:textId="7A10D256" w:rsidR="00C369F9" w:rsidRDefault="007438BE" w:rsidP="00E83D4E">
      <w:pPr>
        <w:ind w:left="851" w:right="565"/>
        <w:jc w:val="both"/>
        <w:rPr>
          <w:sz w:val="24"/>
          <w:szCs w:val="24"/>
        </w:rPr>
      </w:pPr>
      <w:r w:rsidRPr="0074652F">
        <w:rPr>
          <w:sz w:val="24"/>
          <w:szCs w:val="24"/>
        </w:rPr>
        <w:t xml:space="preserve">Il calcolo del prezzo della commessa e la stesura delle curve ad S devono essere eseguiti sulla base della programmazione ottimale del progetto, cioè la programmazione risultante dal crashing. </w:t>
      </w:r>
      <w:bookmarkStart w:id="0" w:name="_GoBack"/>
      <w:bookmarkEnd w:id="0"/>
    </w:p>
    <w:p w14:paraId="2C625C59" w14:textId="77777777" w:rsidR="00FE75D7" w:rsidRDefault="001B60D8" w:rsidP="00FE75D7">
      <w:pPr>
        <w:pStyle w:val="Paragrafoelenco"/>
        <w:numPr>
          <w:ilvl w:val="0"/>
          <w:numId w:val="3"/>
        </w:numPr>
        <w:spacing w:after="0"/>
        <w:ind w:left="1208" w:right="567" w:hanging="357"/>
        <w:jc w:val="both"/>
        <w:rPr>
          <w:sz w:val="24"/>
          <w:szCs w:val="24"/>
          <w:u w:val="single"/>
        </w:rPr>
      </w:pPr>
      <w:r w:rsidRPr="001B60D8">
        <w:rPr>
          <w:sz w:val="24"/>
          <w:szCs w:val="24"/>
          <w:u w:val="single"/>
        </w:rPr>
        <w:t xml:space="preserve">Pagamento a subfornitori </w:t>
      </w:r>
    </w:p>
    <w:p w14:paraId="37855B4F" w14:textId="2DF85F07" w:rsidR="00FE75D7" w:rsidRPr="00FE75D7" w:rsidRDefault="00FE75D7" w:rsidP="00FE75D7">
      <w:pPr>
        <w:spacing w:after="0"/>
        <w:ind w:left="851" w:right="567"/>
        <w:jc w:val="both"/>
        <w:rPr>
          <w:sz w:val="24"/>
          <w:szCs w:val="24"/>
          <w:u w:val="single"/>
        </w:rPr>
      </w:pPr>
      <w:r w:rsidRPr="00FE75D7">
        <w:rPr>
          <w:sz w:val="24"/>
          <w:szCs w:val="24"/>
        </w:rPr>
        <w:t>I contractos  verranno pagati a 60 giorni dal giorno dell’emissione fattura a fine mese, sulla base di quanto da essi costruito durante il mese lavorativo. I fornitori di materiali (Equipment ) e il transportation supplier vengono pagati a 60gg dalla consegna.</w:t>
      </w:r>
    </w:p>
    <w:p w14:paraId="422C4D47" w14:textId="77777777" w:rsidR="001B60D8" w:rsidRPr="00FE75D7" w:rsidRDefault="001B60D8" w:rsidP="001B60D8">
      <w:pPr>
        <w:pStyle w:val="Paragrafoelenco"/>
        <w:spacing w:after="0"/>
        <w:ind w:left="1208" w:right="567"/>
        <w:jc w:val="both"/>
        <w:rPr>
          <w:sz w:val="24"/>
          <w:szCs w:val="24"/>
          <w:u w:val="single"/>
        </w:rPr>
      </w:pPr>
    </w:p>
    <w:p w14:paraId="2C5C4664" w14:textId="490ABDAD" w:rsidR="001B60D8" w:rsidRPr="00FE75D7" w:rsidRDefault="001B60D8" w:rsidP="00CE3E08">
      <w:pPr>
        <w:pStyle w:val="Paragrafoelenco"/>
        <w:numPr>
          <w:ilvl w:val="0"/>
          <w:numId w:val="3"/>
        </w:numPr>
        <w:spacing w:after="0"/>
        <w:ind w:left="1208" w:right="567" w:hanging="357"/>
        <w:jc w:val="both"/>
        <w:rPr>
          <w:sz w:val="24"/>
          <w:szCs w:val="24"/>
          <w:u w:val="single"/>
        </w:rPr>
      </w:pPr>
      <w:r w:rsidRPr="00FE75D7">
        <w:rPr>
          <w:sz w:val="24"/>
          <w:szCs w:val="24"/>
          <w:u w:val="single"/>
        </w:rPr>
        <w:t xml:space="preserve">Pagamento a risorse umane </w:t>
      </w:r>
    </w:p>
    <w:p w14:paraId="37F69BAD" w14:textId="2474926B" w:rsidR="001B60D8" w:rsidRPr="001B60D8" w:rsidRDefault="001B60D8" w:rsidP="001B60D8">
      <w:pPr>
        <w:spacing w:after="0"/>
        <w:ind w:left="851" w:right="567"/>
        <w:jc w:val="both"/>
        <w:rPr>
          <w:sz w:val="24"/>
          <w:szCs w:val="24"/>
        </w:rPr>
      </w:pPr>
      <w:r w:rsidRPr="00FE75D7">
        <w:rPr>
          <w:sz w:val="24"/>
          <w:szCs w:val="24"/>
        </w:rPr>
        <w:t>Le risorse umane sono pagate alla fine di ogni mese sulla base delle</w:t>
      </w:r>
      <w:r>
        <w:rPr>
          <w:sz w:val="24"/>
          <w:szCs w:val="24"/>
        </w:rPr>
        <w:t xml:space="preserve"> ore lavorate in quel mese.</w:t>
      </w:r>
    </w:p>
    <w:p w14:paraId="2BF0A7B7" w14:textId="77777777" w:rsidR="00005D7A" w:rsidRPr="00005D7A" w:rsidRDefault="00005D7A" w:rsidP="00005D7A">
      <w:pPr>
        <w:pStyle w:val="Paragrafoelenco"/>
        <w:ind w:left="851" w:right="565"/>
        <w:jc w:val="both"/>
        <w:rPr>
          <w:sz w:val="24"/>
          <w:szCs w:val="24"/>
        </w:rPr>
      </w:pPr>
    </w:p>
    <w:p w14:paraId="4A5ED4B2" w14:textId="77777777" w:rsidR="007438BE" w:rsidRDefault="007438BE" w:rsidP="00CE3E08">
      <w:pPr>
        <w:pStyle w:val="Paragrafoelenco"/>
        <w:numPr>
          <w:ilvl w:val="0"/>
          <w:numId w:val="3"/>
        </w:numPr>
        <w:ind w:right="565"/>
        <w:jc w:val="both"/>
        <w:rPr>
          <w:sz w:val="24"/>
          <w:szCs w:val="24"/>
          <w:u w:val="single"/>
        </w:rPr>
      </w:pPr>
      <w:r>
        <w:rPr>
          <w:sz w:val="24"/>
          <w:szCs w:val="24"/>
          <w:u w:val="single"/>
        </w:rPr>
        <w:t>Calcolo dei proventi/oneri finanziari</w:t>
      </w:r>
    </w:p>
    <w:p w14:paraId="331299DD" w14:textId="77777777" w:rsidR="007438BE" w:rsidRDefault="00DB4B8F" w:rsidP="0089761C">
      <w:pPr>
        <w:pStyle w:val="Paragrafoelenco"/>
        <w:ind w:left="851" w:right="565"/>
        <w:jc w:val="both"/>
        <w:rPr>
          <w:sz w:val="24"/>
          <w:szCs w:val="24"/>
        </w:rPr>
      </w:pPr>
      <w:r>
        <w:rPr>
          <w:sz w:val="24"/>
          <w:szCs w:val="24"/>
        </w:rPr>
        <w:t xml:space="preserve">Ogni mese </w:t>
      </w:r>
      <w:r w:rsidR="007438BE">
        <w:rPr>
          <w:sz w:val="24"/>
          <w:szCs w:val="24"/>
        </w:rPr>
        <w:t>i</w:t>
      </w:r>
      <w:r w:rsidR="007438BE" w:rsidRPr="002E7C96">
        <w:rPr>
          <w:sz w:val="24"/>
          <w:szCs w:val="24"/>
        </w:rPr>
        <w:t xml:space="preserve"> proventi</w:t>
      </w:r>
      <w:r w:rsidR="007438BE">
        <w:rPr>
          <w:sz w:val="24"/>
          <w:szCs w:val="24"/>
        </w:rPr>
        <w:t>/oneri finanziari</w:t>
      </w:r>
      <w:r>
        <w:rPr>
          <w:sz w:val="24"/>
          <w:szCs w:val="24"/>
        </w:rPr>
        <w:t xml:space="preserve"> che si manifestano per cassa </w:t>
      </w:r>
      <w:r w:rsidR="007438BE">
        <w:rPr>
          <w:sz w:val="24"/>
          <w:szCs w:val="24"/>
        </w:rPr>
        <w:t>possono essere calcolati sulla base di un valore valutato nel mese precedente e pari al flusso di cassa cumulato</w:t>
      </w:r>
      <w:r>
        <w:rPr>
          <w:sz w:val="24"/>
          <w:szCs w:val="24"/>
        </w:rPr>
        <w:t xml:space="preserve"> </w:t>
      </w:r>
      <w:r w:rsidR="00865E2F">
        <w:rPr>
          <w:sz w:val="24"/>
          <w:szCs w:val="24"/>
        </w:rPr>
        <w:t xml:space="preserve">dall’inizio della commessa </w:t>
      </w:r>
      <w:r>
        <w:rPr>
          <w:sz w:val="24"/>
          <w:szCs w:val="24"/>
        </w:rPr>
        <w:t>fino a tale mese</w:t>
      </w:r>
      <w:r w:rsidR="007438BE">
        <w:rPr>
          <w:sz w:val="24"/>
          <w:szCs w:val="24"/>
        </w:rPr>
        <w:t xml:space="preserve">.  </w:t>
      </w:r>
    </w:p>
    <w:p w14:paraId="6BA58E05" w14:textId="77777777" w:rsidR="007438BE" w:rsidRDefault="007438BE" w:rsidP="0089761C">
      <w:pPr>
        <w:pStyle w:val="Paragrafoelenco"/>
        <w:ind w:left="851" w:right="565"/>
        <w:jc w:val="both"/>
        <w:rPr>
          <w:sz w:val="24"/>
          <w:szCs w:val="24"/>
        </w:rPr>
      </w:pPr>
      <w:r>
        <w:rPr>
          <w:sz w:val="24"/>
          <w:szCs w:val="24"/>
        </w:rPr>
        <w:t>Pertanto, i proventi/oneri finanziari del mese t saranno determinati come segue:</w:t>
      </w:r>
    </w:p>
    <w:p w14:paraId="494654BF" w14:textId="77777777" w:rsidR="00DB4B8F" w:rsidRDefault="00DB4B8F" w:rsidP="0089761C">
      <w:pPr>
        <w:pStyle w:val="Paragrafoelenco"/>
        <w:ind w:left="851" w:right="565"/>
        <w:jc w:val="both"/>
        <w:rPr>
          <w:sz w:val="24"/>
          <w:szCs w:val="24"/>
        </w:rPr>
      </w:pPr>
    </w:p>
    <w:p w14:paraId="2A2DF1D7" w14:textId="77777777" w:rsidR="00DB4B8F" w:rsidRDefault="00DB4B8F" w:rsidP="00DB4B8F">
      <w:pPr>
        <w:pStyle w:val="Paragrafoelenco"/>
        <w:spacing w:before="240"/>
        <w:ind w:left="851" w:right="565"/>
        <w:jc w:val="center"/>
        <w:rPr>
          <w:sz w:val="24"/>
          <w:szCs w:val="24"/>
        </w:rPr>
      </w:pPr>
      <m:oMathPara>
        <m:oMath>
          <m:r>
            <w:rPr>
              <w:rFonts w:ascii="Cambria Math" w:hAnsi="Cambria Math"/>
              <w:sz w:val="24"/>
              <w:szCs w:val="24"/>
            </w:rPr>
            <m:t>IR*</m:t>
          </m:r>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t-1</m:t>
                  </m:r>
                </m:sup>
                <m:e>
                  <m:sSub>
                    <m:sSubPr>
                      <m:ctrlPr>
                        <w:rPr>
                          <w:rFonts w:ascii="Cambria Math" w:hAnsi="Cambria Math"/>
                          <w:i/>
                          <w:sz w:val="24"/>
                          <w:szCs w:val="24"/>
                        </w:rPr>
                      </m:ctrlPr>
                    </m:sSubPr>
                    <m:e>
                      <m:r>
                        <w:rPr>
                          <w:rFonts w:ascii="Cambria Math" w:hAnsi="Cambria Math"/>
                          <w:sz w:val="24"/>
                          <w:szCs w:val="24"/>
                        </w:rPr>
                        <m:t>CF</m:t>
                      </m:r>
                    </m:e>
                    <m:sub>
                      <m:r>
                        <w:rPr>
                          <w:rFonts w:ascii="Cambria Math" w:hAnsi="Cambria Math"/>
                          <w:sz w:val="24"/>
                          <w:szCs w:val="24"/>
                        </w:rPr>
                        <m:t>k</m:t>
                      </m:r>
                    </m:sub>
                  </m:sSub>
                </m:e>
              </m:nary>
              <m:r>
                <w:rPr>
                  <w:rFonts w:ascii="Cambria Math" w:hAnsi="Cambria Math"/>
                  <w:sz w:val="24"/>
                  <w:szCs w:val="24"/>
                </w:rPr>
                <m:t xml:space="preserve"> </m:t>
              </m:r>
            </m:e>
          </m:d>
        </m:oMath>
      </m:oMathPara>
    </w:p>
    <w:p w14:paraId="3FA37F66" w14:textId="77777777" w:rsidR="007438BE" w:rsidRDefault="007438BE" w:rsidP="0089761C">
      <w:pPr>
        <w:pStyle w:val="Paragrafoelenco"/>
        <w:ind w:left="851" w:right="565"/>
        <w:jc w:val="both"/>
        <w:rPr>
          <w:sz w:val="24"/>
          <w:szCs w:val="24"/>
        </w:rPr>
      </w:pPr>
    </w:p>
    <w:p w14:paraId="7E5B5207" w14:textId="77777777" w:rsidR="00DB4B8F" w:rsidRDefault="00DB4B8F" w:rsidP="00DB4B8F">
      <w:pPr>
        <w:pStyle w:val="Paragrafoelenco"/>
        <w:ind w:left="851" w:right="565"/>
        <w:jc w:val="right"/>
        <w:rPr>
          <w:sz w:val="24"/>
          <w:szCs w:val="24"/>
        </w:rPr>
      </w:pPr>
      <w:r>
        <w:rPr>
          <w:sz w:val="24"/>
          <w:szCs w:val="24"/>
        </w:rPr>
        <w:t>(1)</w:t>
      </w:r>
    </w:p>
    <w:p w14:paraId="1066DEEA" w14:textId="77777777" w:rsidR="007438BE" w:rsidRPr="00DB4B8F" w:rsidRDefault="007438BE" w:rsidP="00DB4B8F">
      <w:pPr>
        <w:pStyle w:val="Paragrafoelenco"/>
        <w:ind w:left="851" w:right="565"/>
        <w:jc w:val="both"/>
        <w:rPr>
          <w:sz w:val="24"/>
          <w:szCs w:val="24"/>
        </w:rPr>
      </w:pPr>
      <w:r w:rsidRPr="00DB4B8F">
        <w:rPr>
          <w:sz w:val="24"/>
          <w:szCs w:val="24"/>
        </w:rPr>
        <w:t>dove k è l’indice di mese, CF</w:t>
      </w:r>
      <w:r w:rsidRPr="00DB4B8F">
        <w:rPr>
          <w:sz w:val="24"/>
          <w:szCs w:val="24"/>
          <w:vertAlign w:val="subscript"/>
        </w:rPr>
        <w:t>k</w:t>
      </w:r>
      <w:r w:rsidRPr="00DB4B8F">
        <w:rPr>
          <w:sz w:val="24"/>
          <w:szCs w:val="24"/>
        </w:rPr>
        <w:t xml:space="preserve"> il cash </w:t>
      </w:r>
      <w:r w:rsidRPr="00436F97">
        <w:rPr>
          <w:sz w:val="24"/>
          <w:szCs w:val="24"/>
        </w:rPr>
        <w:t xml:space="preserve">flow </w:t>
      </w:r>
      <w:r w:rsidR="00A266F3" w:rsidRPr="00436F97">
        <w:rPr>
          <w:sz w:val="24"/>
          <w:szCs w:val="24"/>
        </w:rPr>
        <w:t xml:space="preserve">accumulato fino </w:t>
      </w:r>
      <w:r w:rsidR="00A266F3">
        <w:rPr>
          <w:sz w:val="24"/>
          <w:szCs w:val="24"/>
        </w:rPr>
        <w:t>a</w:t>
      </w:r>
      <w:r w:rsidRPr="00DB4B8F">
        <w:rPr>
          <w:sz w:val="24"/>
          <w:szCs w:val="24"/>
        </w:rPr>
        <w:t xml:space="preserve">l mese k (vedere paragrafo 4) e IR il tasso di interesse (attivo o passivo a seconda che </w:t>
      </w:r>
      <w:r w:rsidR="00F85C72">
        <w:rPr>
          <w:sz w:val="24"/>
          <w:szCs w:val="24"/>
        </w:rPr>
        <w:t>la quantità tra parentesi tonde</w:t>
      </w:r>
      <w:r w:rsidRPr="00DB4B8F">
        <w:rPr>
          <w:sz w:val="24"/>
          <w:szCs w:val="24"/>
        </w:rPr>
        <w:t xml:space="preserve"> sia positiva o negativa). </w:t>
      </w:r>
    </w:p>
    <w:p w14:paraId="558280F6" w14:textId="77777777" w:rsidR="00016B7B" w:rsidRDefault="007438BE" w:rsidP="00016B7B">
      <w:pPr>
        <w:pStyle w:val="Paragrafoelenco"/>
        <w:spacing w:after="120"/>
        <w:ind w:left="851" w:right="565"/>
        <w:jc w:val="both"/>
        <w:rPr>
          <w:sz w:val="24"/>
          <w:szCs w:val="24"/>
        </w:rPr>
      </w:pPr>
      <w:r>
        <w:rPr>
          <w:sz w:val="24"/>
          <w:szCs w:val="24"/>
        </w:rPr>
        <w:t xml:space="preserve">Se la quantità (1) è positiva si parla di provento finanziario, se è negativa si parla di onere finanziario. </w:t>
      </w:r>
    </w:p>
    <w:p w14:paraId="21FF6863" w14:textId="758C4986" w:rsidR="00436F97" w:rsidRDefault="00016B7B" w:rsidP="00436F97">
      <w:pPr>
        <w:pStyle w:val="Paragrafoelenco"/>
        <w:spacing w:before="240"/>
        <w:ind w:left="851" w:right="565"/>
        <w:rPr>
          <w:sz w:val="24"/>
          <w:szCs w:val="24"/>
        </w:rPr>
      </w:pPr>
      <w:r>
        <w:rPr>
          <w:sz w:val="24"/>
          <w:szCs w:val="24"/>
        </w:rPr>
        <w:t xml:space="preserve">Metodi alternativi per il </w:t>
      </w:r>
      <w:r w:rsidR="00DB4B8F">
        <w:rPr>
          <w:sz w:val="24"/>
          <w:szCs w:val="24"/>
        </w:rPr>
        <w:t xml:space="preserve">calcolo dei </w:t>
      </w:r>
      <w:r>
        <w:rPr>
          <w:sz w:val="24"/>
          <w:szCs w:val="24"/>
        </w:rPr>
        <w:t>proventi/oneri finanziari sono possibili purché corretti</w:t>
      </w:r>
      <w:r w:rsidR="008A663B">
        <w:rPr>
          <w:sz w:val="24"/>
          <w:szCs w:val="24"/>
        </w:rPr>
        <w:t xml:space="preserve"> e motivati</w:t>
      </w:r>
      <w:r>
        <w:rPr>
          <w:sz w:val="24"/>
          <w:szCs w:val="24"/>
        </w:rPr>
        <w:t xml:space="preserve">. </w:t>
      </w:r>
    </w:p>
    <w:p w14:paraId="21ED947D" w14:textId="77777777" w:rsidR="009C42D4" w:rsidRDefault="009C42D4" w:rsidP="00436F97">
      <w:pPr>
        <w:pStyle w:val="Paragrafoelenco"/>
        <w:spacing w:before="240"/>
        <w:ind w:left="851" w:right="565"/>
        <w:rPr>
          <w:sz w:val="24"/>
          <w:szCs w:val="24"/>
        </w:rPr>
      </w:pPr>
    </w:p>
    <w:p w14:paraId="6D2580FA" w14:textId="326270E1" w:rsidR="002C0DED" w:rsidRDefault="002C0DED" w:rsidP="00CE3E08">
      <w:pPr>
        <w:pStyle w:val="Paragrafoelenco"/>
        <w:numPr>
          <w:ilvl w:val="0"/>
          <w:numId w:val="3"/>
        </w:numPr>
        <w:ind w:right="565"/>
        <w:jc w:val="both"/>
        <w:rPr>
          <w:sz w:val="24"/>
          <w:szCs w:val="24"/>
          <w:u w:val="single"/>
        </w:rPr>
      </w:pPr>
      <w:bookmarkStart w:id="1" w:name="OLE_LINK5"/>
      <w:bookmarkStart w:id="2" w:name="OLE_LINK6"/>
      <w:r>
        <w:rPr>
          <w:sz w:val="24"/>
          <w:szCs w:val="24"/>
          <w:u w:val="single"/>
        </w:rPr>
        <w:t>Qual tasso di interesse mensile devo usare?</w:t>
      </w:r>
    </w:p>
    <w:p w14:paraId="06C69B4B" w14:textId="561BE9E2" w:rsidR="002C0DED" w:rsidRPr="002C0DED" w:rsidRDefault="002C0DED" w:rsidP="002C0DED">
      <w:pPr>
        <w:ind w:left="851" w:right="565"/>
        <w:jc w:val="both"/>
        <w:rPr>
          <w:sz w:val="24"/>
          <w:szCs w:val="24"/>
        </w:rPr>
      </w:pPr>
      <w:r w:rsidRPr="002C0DED">
        <w:rPr>
          <w:sz w:val="24"/>
          <w:szCs w:val="24"/>
        </w:rPr>
        <w:lastRenderedPageBreak/>
        <w:t xml:space="preserve">A rigore di logica, </w:t>
      </w:r>
      <w:r>
        <w:rPr>
          <w:sz w:val="24"/>
          <w:szCs w:val="24"/>
        </w:rPr>
        <w:t xml:space="preserve">per arrivare al tasso </w:t>
      </w:r>
      <w:r w:rsidRPr="002C0DED">
        <w:rPr>
          <w:sz w:val="24"/>
          <w:szCs w:val="24"/>
        </w:rPr>
        <w:t xml:space="preserve">annuale proposto nella RFP </w:t>
      </w:r>
      <w:r>
        <w:rPr>
          <w:sz w:val="24"/>
          <w:szCs w:val="24"/>
        </w:rPr>
        <w:t xml:space="preserve">si dovrebbe comporre </w:t>
      </w:r>
      <w:r w:rsidRPr="002C0DED">
        <w:rPr>
          <w:sz w:val="24"/>
          <w:szCs w:val="24"/>
        </w:rPr>
        <w:t>il tasso mensile sui 12 mesi</w:t>
      </w:r>
      <w:r>
        <w:rPr>
          <w:sz w:val="24"/>
          <w:szCs w:val="24"/>
        </w:rPr>
        <w:t>, e non semplicemente moltiplicare per 12 il tasso mensile</w:t>
      </w:r>
      <w:r w:rsidRPr="002C0DED">
        <w:rPr>
          <w:sz w:val="24"/>
          <w:szCs w:val="24"/>
        </w:rPr>
        <w:t xml:space="preserve">. </w:t>
      </w:r>
      <w:r>
        <w:rPr>
          <w:sz w:val="24"/>
          <w:szCs w:val="24"/>
        </w:rPr>
        <w:t xml:space="preserve">Tuttavia, data la differenza irrilevante tra i tassi di interesse mensili calcolati nei due modi, si lascia ai gruppi la scelta di quale tasso mensile utilizzare. </w:t>
      </w:r>
    </w:p>
    <w:p w14:paraId="2F73FB23" w14:textId="77777777" w:rsidR="003A4C96" w:rsidRPr="003A4C96" w:rsidRDefault="003A4C96" w:rsidP="003A4C96">
      <w:pPr>
        <w:spacing w:after="0"/>
        <w:ind w:right="567"/>
        <w:jc w:val="both"/>
        <w:rPr>
          <w:sz w:val="24"/>
          <w:szCs w:val="24"/>
          <w:u w:val="single"/>
        </w:rPr>
      </w:pPr>
    </w:p>
    <w:p w14:paraId="2A926794" w14:textId="4DBEE56A" w:rsidR="0074652F" w:rsidRDefault="0074652F" w:rsidP="00CE3E08">
      <w:pPr>
        <w:pStyle w:val="Paragrafoelenco"/>
        <w:numPr>
          <w:ilvl w:val="0"/>
          <w:numId w:val="3"/>
        </w:numPr>
        <w:spacing w:after="0"/>
        <w:ind w:left="1208" w:right="567" w:hanging="357"/>
        <w:jc w:val="both"/>
        <w:rPr>
          <w:sz w:val="24"/>
          <w:szCs w:val="24"/>
          <w:u w:val="single"/>
        </w:rPr>
      </w:pPr>
      <w:r>
        <w:rPr>
          <w:sz w:val="24"/>
          <w:szCs w:val="24"/>
          <w:u w:val="single"/>
        </w:rPr>
        <w:t>Come spalmare nel tempo le azioni di Mitigazione</w:t>
      </w:r>
    </w:p>
    <w:p w14:paraId="54CB12EC" w14:textId="77777777" w:rsidR="0074652F" w:rsidRDefault="0074652F" w:rsidP="0074652F">
      <w:pPr>
        <w:spacing w:after="0"/>
        <w:ind w:left="851" w:right="567"/>
        <w:jc w:val="both"/>
        <w:rPr>
          <w:sz w:val="24"/>
          <w:szCs w:val="24"/>
        </w:rPr>
      </w:pPr>
      <w:r>
        <w:rPr>
          <w:sz w:val="24"/>
          <w:szCs w:val="24"/>
        </w:rPr>
        <w:t>Il costo di ogni</w:t>
      </w:r>
      <w:r w:rsidRPr="0074652F">
        <w:rPr>
          <w:sz w:val="24"/>
          <w:szCs w:val="24"/>
        </w:rPr>
        <w:t xml:space="preserve"> azion</w:t>
      </w:r>
      <w:r>
        <w:rPr>
          <w:sz w:val="24"/>
          <w:szCs w:val="24"/>
        </w:rPr>
        <w:t>e</w:t>
      </w:r>
      <w:r w:rsidRPr="0074652F">
        <w:rPr>
          <w:sz w:val="24"/>
          <w:szCs w:val="24"/>
        </w:rPr>
        <w:t xml:space="preserve"> di mitigazione </w:t>
      </w:r>
      <w:r>
        <w:rPr>
          <w:sz w:val="24"/>
          <w:szCs w:val="24"/>
        </w:rPr>
        <w:t xml:space="preserve">dovrebbe essere allocato come voce unica di cash out in un periodo antecedente all’evento rischioso che intende mitigare. In alternativa, Si consiglia di spalmarlo sulle attività che sono impattate dall’evento rischioso mitigato. </w:t>
      </w:r>
    </w:p>
    <w:p w14:paraId="0731BD88" w14:textId="474FA072" w:rsidR="0074652F" w:rsidRPr="0074652F" w:rsidRDefault="0074652F" w:rsidP="0074652F">
      <w:pPr>
        <w:spacing w:after="0"/>
        <w:ind w:left="851" w:right="567"/>
        <w:jc w:val="both"/>
        <w:rPr>
          <w:sz w:val="24"/>
          <w:szCs w:val="24"/>
        </w:rPr>
      </w:pPr>
      <w:r>
        <w:rPr>
          <w:sz w:val="24"/>
          <w:szCs w:val="24"/>
        </w:rPr>
        <w:t xml:space="preserve"> </w:t>
      </w:r>
    </w:p>
    <w:p w14:paraId="4CC0C6E3" w14:textId="2B00890F" w:rsidR="0063349A" w:rsidRDefault="0063349A" w:rsidP="00CE3E08">
      <w:pPr>
        <w:pStyle w:val="Paragrafoelenco"/>
        <w:numPr>
          <w:ilvl w:val="0"/>
          <w:numId w:val="3"/>
        </w:numPr>
        <w:spacing w:after="0"/>
        <w:ind w:left="1208" w:right="567" w:hanging="357"/>
        <w:jc w:val="both"/>
        <w:rPr>
          <w:sz w:val="24"/>
          <w:szCs w:val="24"/>
          <w:u w:val="single"/>
        </w:rPr>
      </w:pPr>
      <w:r>
        <w:rPr>
          <w:sz w:val="24"/>
          <w:szCs w:val="24"/>
          <w:u w:val="single"/>
        </w:rPr>
        <w:t>Come spalmare nel tempo le polizze assicurative</w:t>
      </w:r>
    </w:p>
    <w:p w14:paraId="4E96CDCE" w14:textId="5CD1AEF0" w:rsidR="0063349A" w:rsidRPr="0063349A" w:rsidRDefault="0063349A" w:rsidP="0063349A">
      <w:pPr>
        <w:spacing w:after="0"/>
        <w:ind w:left="851" w:right="567"/>
        <w:jc w:val="both"/>
        <w:rPr>
          <w:sz w:val="24"/>
          <w:szCs w:val="24"/>
        </w:rPr>
      </w:pPr>
      <w:r w:rsidRPr="0063349A">
        <w:rPr>
          <w:sz w:val="24"/>
          <w:szCs w:val="24"/>
        </w:rPr>
        <w:t>Si potrà scegliere una delle seguenti alternative per il pagamento del premio per la polizza assicurativa:</w:t>
      </w:r>
    </w:p>
    <w:p w14:paraId="73310CB8" w14:textId="0B308ACD" w:rsidR="0063349A" w:rsidRDefault="0063349A" w:rsidP="00CE3E08">
      <w:pPr>
        <w:pStyle w:val="Paragrafoelenco"/>
        <w:numPr>
          <w:ilvl w:val="0"/>
          <w:numId w:val="5"/>
        </w:numPr>
        <w:spacing w:after="0"/>
        <w:ind w:right="567"/>
        <w:jc w:val="both"/>
        <w:rPr>
          <w:sz w:val="24"/>
          <w:szCs w:val="24"/>
        </w:rPr>
      </w:pPr>
      <w:r w:rsidRPr="0063349A">
        <w:rPr>
          <w:sz w:val="24"/>
          <w:szCs w:val="24"/>
        </w:rPr>
        <w:t>Pagamento in</w:t>
      </w:r>
      <w:r>
        <w:rPr>
          <w:sz w:val="24"/>
          <w:szCs w:val="24"/>
        </w:rPr>
        <w:t xml:space="preserve"> un’unica soluzione precedentemente all’evento rischioso coperto dalla polizza</w:t>
      </w:r>
    </w:p>
    <w:p w14:paraId="60499657" w14:textId="7EF913D2" w:rsidR="0063349A" w:rsidRDefault="0063349A" w:rsidP="00CE3E08">
      <w:pPr>
        <w:pStyle w:val="Paragrafoelenco"/>
        <w:numPr>
          <w:ilvl w:val="0"/>
          <w:numId w:val="5"/>
        </w:numPr>
        <w:spacing w:after="0"/>
        <w:ind w:right="567"/>
        <w:jc w:val="both"/>
        <w:rPr>
          <w:sz w:val="24"/>
          <w:szCs w:val="24"/>
        </w:rPr>
      </w:pPr>
      <w:r>
        <w:rPr>
          <w:sz w:val="24"/>
          <w:szCs w:val="24"/>
        </w:rPr>
        <w:t xml:space="preserve">Pagamento </w:t>
      </w:r>
      <w:r w:rsidR="00B55753">
        <w:rPr>
          <w:sz w:val="24"/>
          <w:szCs w:val="24"/>
        </w:rPr>
        <w:t xml:space="preserve">di più quote annuali da spalmare lungo la durata della commessa. Il primo pagamento avverrà precedentemente all’evento rischioso coperto dalla polizza, mentre quelli successivi ogni 12 mesi. </w:t>
      </w:r>
    </w:p>
    <w:p w14:paraId="347A5DFE" w14:textId="77777777" w:rsidR="00B55753" w:rsidRPr="00B55753" w:rsidRDefault="00B55753" w:rsidP="00B55753">
      <w:pPr>
        <w:spacing w:after="0"/>
        <w:ind w:right="567"/>
        <w:jc w:val="both"/>
        <w:rPr>
          <w:sz w:val="24"/>
          <w:szCs w:val="24"/>
        </w:rPr>
      </w:pPr>
    </w:p>
    <w:p w14:paraId="1A8095BC" w14:textId="1D36D039" w:rsidR="007438BE" w:rsidRPr="002F12D1" w:rsidRDefault="00A6574F" w:rsidP="00CE3E08">
      <w:pPr>
        <w:pStyle w:val="Paragrafoelenco"/>
        <w:numPr>
          <w:ilvl w:val="0"/>
          <w:numId w:val="3"/>
        </w:numPr>
        <w:spacing w:after="0"/>
        <w:ind w:left="1208" w:right="567" w:hanging="357"/>
        <w:jc w:val="both"/>
        <w:rPr>
          <w:sz w:val="24"/>
          <w:szCs w:val="24"/>
          <w:u w:val="single"/>
        </w:rPr>
      </w:pPr>
      <w:r w:rsidRPr="002F12D1">
        <w:rPr>
          <w:sz w:val="24"/>
          <w:szCs w:val="24"/>
          <w:u w:val="single"/>
        </w:rPr>
        <w:t>Va considerato</w:t>
      </w:r>
      <w:r w:rsidR="00C575BF" w:rsidRPr="002F12D1">
        <w:rPr>
          <w:sz w:val="24"/>
          <w:szCs w:val="24"/>
          <w:u w:val="single"/>
        </w:rPr>
        <w:t xml:space="preserve"> il Contingency B</w:t>
      </w:r>
      <w:r w:rsidR="007438BE" w:rsidRPr="002F12D1">
        <w:rPr>
          <w:sz w:val="24"/>
          <w:szCs w:val="24"/>
          <w:u w:val="single"/>
        </w:rPr>
        <w:t xml:space="preserve">udget </w:t>
      </w:r>
      <w:r w:rsidRPr="002F12D1">
        <w:rPr>
          <w:sz w:val="24"/>
          <w:szCs w:val="24"/>
          <w:u w:val="single"/>
        </w:rPr>
        <w:t>nel calcolo dei flussi di cassa</w:t>
      </w:r>
      <w:r w:rsidR="002F12D1" w:rsidRPr="002F12D1">
        <w:rPr>
          <w:sz w:val="24"/>
          <w:szCs w:val="24"/>
          <w:u w:val="single"/>
        </w:rPr>
        <w:t xml:space="preserve"> e degli interessi</w:t>
      </w:r>
      <w:r w:rsidRPr="002F12D1">
        <w:rPr>
          <w:sz w:val="24"/>
          <w:szCs w:val="24"/>
          <w:u w:val="single"/>
        </w:rPr>
        <w:t>?</w:t>
      </w:r>
    </w:p>
    <w:bookmarkEnd w:id="1"/>
    <w:bookmarkEnd w:id="2"/>
    <w:p w14:paraId="1EBF88C2" w14:textId="6C523B8B" w:rsidR="008C7A4D" w:rsidRDefault="00A6574F" w:rsidP="00436F97">
      <w:pPr>
        <w:ind w:left="851" w:right="565"/>
        <w:jc w:val="both"/>
        <w:rPr>
          <w:sz w:val="24"/>
          <w:szCs w:val="24"/>
        </w:rPr>
      </w:pPr>
      <w:r w:rsidRPr="002F12D1">
        <w:rPr>
          <w:sz w:val="24"/>
          <w:szCs w:val="24"/>
        </w:rPr>
        <w:t xml:space="preserve">Il Contingency Budget rappresenta un fondo di allocazione di risorse monetarie che </w:t>
      </w:r>
      <w:r w:rsidR="002F12D1" w:rsidRPr="002F12D1">
        <w:rPr>
          <w:sz w:val="24"/>
          <w:szCs w:val="24"/>
        </w:rPr>
        <w:t>viene</w:t>
      </w:r>
      <w:r w:rsidRPr="002F12D1">
        <w:rPr>
          <w:sz w:val="24"/>
          <w:szCs w:val="24"/>
        </w:rPr>
        <w:t xml:space="preserve"> utilizzato</w:t>
      </w:r>
      <w:r w:rsidR="002F12D1" w:rsidRPr="002F12D1">
        <w:rPr>
          <w:sz w:val="24"/>
          <w:szCs w:val="24"/>
        </w:rPr>
        <w:t xml:space="preserve"> solo</w:t>
      </w:r>
      <w:r w:rsidRPr="002F12D1">
        <w:rPr>
          <w:sz w:val="24"/>
          <w:szCs w:val="24"/>
        </w:rPr>
        <w:t xml:space="preserve"> </w:t>
      </w:r>
      <w:r w:rsidR="002F12D1" w:rsidRPr="002F12D1">
        <w:rPr>
          <w:sz w:val="24"/>
          <w:szCs w:val="24"/>
        </w:rPr>
        <w:t>nel caso in cui si incorra in costi extra dovuti all’accadimento di un evento rischioso</w:t>
      </w:r>
      <w:r w:rsidR="002858A7" w:rsidRPr="002F12D1">
        <w:rPr>
          <w:sz w:val="24"/>
          <w:szCs w:val="24"/>
        </w:rPr>
        <w:t>.</w:t>
      </w:r>
      <w:r w:rsidR="002F12D1" w:rsidRPr="002F12D1">
        <w:rPr>
          <w:sz w:val="24"/>
          <w:szCs w:val="24"/>
        </w:rPr>
        <w:t xml:space="preserve"> Per questo motivo non va considerato nel calcolo</w:t>
      </w:r>
      <w:r w:rsidR="002858A7" w:rsidRPr="002F12D1">
        <w:rPr>
          <w:sz w:val="24"/>
          <w:szCs w:val="24"/>
        </w:rPr>
        <w:t xml:space="preserve"> </w:t>
      </w:r>
      <w:r w:rsidR="002F12D1" w:rsidRPr="002F12D1">
        <w:rPr>
          <w:sz w:val="24"/>
          <w:szCs w:val="24"/>
        </w:rPr>
        <w:t>dei flussi di cassa e degli interessi di commessa.</w:t>
      </w:r>
    </w:p>
    <w:p w14:paraId="03947E38" w14:textId="34EE4F12" w:rsidR="007438BE" w:rsidRPr="000B7AC9" w:rsidRDefault="007438BE" w:rsidP="008C7A4D">
      <w:pPr>
        <w:pStyle w:val="Titolo1"/>
        <w:numPr>
          <w:ilvl w:val="0"/>
          <w:numId w:val="1"/>
        </w:numPr>
        <w:spacing w:after="240"/>
        <w:ind w:left="1135" w:right="565" w:hanging="284"/>
        <w:rPr>
          <w:sz w:val="36"/>
          <w:szCs w:val="36"/>
        </w:rPr>
      </w:pPr>
      <w:r w:rsidRPr="000B7AC9">
        <w:rPr>
          <w:sz w:val="36"/>
          <w:szCs w:val="36"/>
        </w:rPr>
        <w:t>NOTE SUL CALCOLO DEL PREZZO</w:t>
      </w:r>
    </w:p>
    <w:p w14:paraId="72BAE562" w14:textId="77777777" w:rsidR="007438BE" w:rsidRPr="00CB686F" w:rsidRDefault="007438BE" w:rsidP="00CE3E08">
      <w:pPr>
        <w:pStyle w:val="Paragrafoelenco"/>
        <w:numPr>
          <w:ilvl w:val="0"/>
          <w:numId w:val="2"/>
        </w:numPr>
        <w:ind w:right="565"/>
        <w:jc w:val="both"/>
        <w:rPr>
          <w:sz w:val="24"/>
          <w:szCs w:val="24"/>
          <w:u w:val="single"/>
        </w:rPr>
      </w:pPr>
      <w:r w:rsidRPr="00CB686F">
        <w:rPr>
          <w:sz w:val="24"/>
          <w:szCs w:val="24"/>
          <w:u w:val="single"/>
        </w:rPr>
        <w:t>Formula per il calcolo del prezzo.</w:t>
      </w:r>
    </w:p>
    <w:p w14:paraId="279B6FFA" w14:textId="681A3EBD" w:rsidR="007438BE" w:rsidRPr="00436F97" w:rsidRDefault="00E84684" w:rsidP="00436F97">
      <w:pPr>
        <w:pStyle w:val="Paragrafoelenco"/>
        <w:ind w:left="0" w:right="565"/>
        <w:jc w:val="center"/>
        <w:rPr>
          <w:sz w:val="24"/>
          <w:szCs w:val="24"/>
        </w:rPr>
      </w:pPr>
      <w:r>
        <w:rPr>
          <w:sz w:val="24"/>
          <w:szCs w:val="24"/>
        </w:rPr>
        <w:t xml:space="preserve">                                                                                                                                                                         </w:t>
      </w:r>
      <w:r w:rsidR="00EC5736">
        <w:rPr>
          <w:sz w:val="24"/>
          <w:szCs w:val="24"/>
        </w:rPr>
        <w:t xml:space="preserve">   </w:t>
      </w:r>
    </w:p>
    <w:p w14:paraId="11238B50" w14:textId="1126C8E5" w:rsidR="007438BE" w:rsidRDefault="003A4C96" w:rsidP="0089761C">
      <w:pPr>
        <w:pStyle w:val="Paragrafoelenco"/>
        <w:ind w:left="851" w:right="565"/>
        <w:jc w:val="both"/>
        <w:rPr>
          <w:sz w:val="24"/>
          <w:szCs w:val="24"/>
        </w:rPr>
      </w:pPr>
      <w:r>
        <w:rPr>
          <w:sz w:val="24"/>
          <w:szCs w:val="24"/>
        </w:rPr>
        <w:t>Per il calcolo del prezzo bisogna considerare che g</w:t>
      </w:r>
      <w:r w:rsidR="007438BE">
        <w:rPr>
          <w:sz w:val="24"/>
          <w:szCs w:val="24"/>
        </w:rPr>
        <w:t>li oneri e i proventi finanziari sono funzione del prezzo della commessa in quanto dipendono dal cash flow, che a s</w:t>
      </w:r>
      <w:r w:rsidR="00BA1620">
        <w:rPr>
          <w:sz w:val="24"/>
          <w:szCs w:val="24"/>
        </w:rPr>
        <w:t xml:space="preserve">ua volta dipende dagli incassi </w:t>
      </w:r>
      <w:r w:rsidR="007438BE">
        <w:rPr>
          <w:sz w:val="24"/>
          <w:szCs w:val="24"/>
        </w:rPr>
        <w:t xml:space="preserve">e quindi dal prezzo della commessa. </w:t>
      </w:r>
    </w:p>
    <w:p w14:paraId="2424A401" w14:textId="259A617F" w:rsidR="00401443" w:rsidRPr="00436F97" w:rsidRDefault="007438BE" w:rsidP="00436F97">
      <w:pPr>
        <w:pStyle w:val="Paragrafoelenco"/>
        <w:ind w:left="851" w:right="565"/>
        <w:jc w:val="both"/>
        <w:rPr>
          <w:i/>
          <w:sz w:val="24"/>
          <w:szCs w:val="24"/>
        </w:rPr>
      </w:pPr>
      <w:r>
        <w:rPr>
          <w:sz w:val="24"/>
          <w:szCs w:val="24"/>
        </w:rPr>
        <w:t xml:space="preserve">Siccome non è possibile risolvere </w:t>
      </w:r>
      <w:r w:rsidR="003A4C96">
        <w:rPr>
          <w:sz w:val="24"/>
          <w:szCs w:val="24"/>
        </w:rPr>
        <w:t xml:space="preserve">questa </w:t>
      </w:r>
      <w:r>
        <w:rPr>
          <w:sz w:val="24"/>
          <w:szCs w:val="24"/>
        </w:rPr>
        <w:t xml:space="preserve">equazione in forma chiusa, occorre adottare una </w:t>
      </w:r>
      <w:r>
        <w:rPr>
          <w:i/>
          <w:sz w:val="24"/>
          <w:szCs w:val="24"/>
        </w:rPr>
        <w:t>procedura iterativa di calcolo del prezzo.</w:t>
      </w:r>
      <w:r w:rsidR="003A4C96">
        <w:rPr>
          <w:i/>
          <w:sz w:val="24"/>
          <w:szCs w:val="24"/>
        </w:rPr>
        <w:t xml:space="preserve"> </w:t>
      </w:r>
      <w:r w:rsidR="003A4C96">
        <w:rPr>
          <w:sz w:val="24"/>
          <w:szCs w:val="24"/>
        </w:rPr>
        <w:t xml:space="preserve">La procedura è attivabile nelle Opzioni di calcolo di Excel. </w:t>
      </w:r>
      <w:r>
        <w:rPr>
          <w:i/>
          <w:sz w:val="24"/>
          <w:szCs w:val="24"/>
        </w:rPr>
        <w:t xml:space="preserve"> </w:t>
      </w:r>
    </w:p>
    <w:p w14:paraId="42D30223" w14:textId="77777777" w:rsidR="007438BE" w:rsidRPr="0034357F" w:rsidRDefault="007438BE" w:rsidP="00F06912">
      <w:pPr>
        <w:pStyle w:val="Titolo1"/>
        <w:numPr>
          <w:ilvl w:val="0"/>
          <w:numId w:val="1"/>
        </w:numPr>
        <w:spacing w:after="240"/>
        <w:ind w:left="1135" w:right="565" w:hanging="284"/>
        <w:rPr>
          <w:sz w:val="36"/>
          <w:szCs w:val="36"/>
        </w:rPr>
      </w:pPr>
      <w:r w:rsidRPr="000D43E3">
        <w:rPr>
          <w:sz w:val="36"/>
          <w:szCs w:val="36"/>
        </w:rPr>
        <w:t>NOTE SULLA</w:t>
      </w:r>
      <w:r>
        <w:rPr>
          <w:sz w:val="36"/>
          <w:szCs w:val="36"/>
        </w:rPr>
        <w:t xml:space="preserve"> FATTURAZIONE IN BASE A SAL</w:t>
      </w:r>
    </w:p>
    <w:p w14:paraId="3405D46E" w14:textId="1F9FD515" w:rsidR="007438BE" w:rsidRPr="00921CAF" w:rsidRDefault="007438BE" w:rsidP="00430DEC">
      <w:pPr>
        <w:pStyle w:val="Paragrafoelenco"/>
        <w:ind w:left="851" w:right="565"/>
        <w:jc w:val="both"/>
        <w:rPr>
          <w:sz w:val="24"/>
          <w:szCs w:val="24"/>
        </w:rPr>
      </w:pPr>
      <w:r>
        <w:rPr>
          <w:sz w:val="24"/>
          <w:szCs w:val="24"/>
        </w:rPr>
        <w:t xml:space="preserve">Una porzione del prezzo della commessa pari al </w:t>
      </w:r>
      <w:r w:rsidR="002A26A4">
        <w:rPr>
          <w:sz w:val="24"/>
          <w:szCs w:val="24"/>
        </w:rPr>
        <w:t>8</w:t>
      </w:r>
      <w:r w:rsidR="007A6500">
        <w:rPr>
          <w:sz w:val="24"/>
          <w:szCs w:val="24"/>
        </w:rPr>
        <w:t>0</w:t>
      </w:r>
      <w:r>
        <w:rPr>
          <w:sz w:val="24"/>
          <w:szCs w:val="24"/>
        </w:rPr>
        <w:t xml:space="preserve">% </w:t>
      </w:r>
      <w:r w:rsidR="00BA1620">
        <w:rPr>
          <w:sz w:val="24"/>
          <w:szCs w:val="24"/>
        </w:rPr>
        <w:t>è</w:t>
      </w:r>
      <w:r>
        <w:rPr>
          <w:sz w:val="24"/>
          <w:szCs w:val="24"/>
        </w:rPr>
        <w:t xml:space="preserve"> fatturata al committente sulla base dello stato </w:t>
      </w:r>
      <w:r w:rsidR="0083053B">
        <w:rPr>
          <w:sz w:val="24"/>
          <w:szCs w:val="24"/>
        </w:rPr>
        <w:t>avanzamento lavori mensile nelle fasi</w:t>
      </w:r>
      <w:r>
        <w:rPr>
          <w:sz w:val="24"/>
          <w:szCs w:val="24"/>
        </w:rPr>
        <w:t xml:space="preserve"> di</w:t>
      </w:r>
      <w:r w:rsidR="001979E3">
        <w:rPr>
          <w:sz w:val="24"/>
          <w:szCs w:val="24"/>
        </w:rPr>
        <w:t xml:space="preserve"> costruzione</w:t>
      </w:r>
      <w:r w:rsidR="0083053B" w:rsidRPr="00921CAF">
        <w:rPr>
          <w:sz w:val="24"/>
          <w:szCs w:val="24"/>
        </w:rPr>
        <w:t>.</w:t>
      </w:r>
    </w:p>
    <w:p w14:paraId="5EB34006" w14:textId="3FE31B6D" w:rsidR="007438BE" w:rsidRPr="00921CAF" w:rsidRDefault="007438BE" w:rsidP="004F1224">
      <w:pPr>
        <w:pStyle w:val="Paragrafoelenco"/>
        <w:ind w:left="851" w:right="565"/>
        <w:jc w:val="both"/>
        <w:rPr>
          <w:sz w:val="24"/>
          <w:szCs w:val="24"/>
        </w:rPr>
      </w:pPr>
      <w:r w:rsidRPr="00921CAF">
        <w:rPr>
          <w:sz w:val="24"/>
          <w:szCs w:val="24"/>
        </w:rPr>
        <w:t>P</w:t>
      </w:r>
      <w:r w:rsidR="005C73F2" w:rsidRPr="00921CAF">
        <w:rPr>
          <w:sz w:val="24"/>
          <w:szCs w:val="24"/>
        </w:rPr>
        <w:t xml:space="preserve">er ogni mese i in cui si svolgono tali fasi </w:t>
      </w:r>
      <w:r w:rsidRPr="00921CAF">
        <w:rPr>
          <w:sz w:val="24"/>
          <w:szCs w:val="24"/>
        </w:rPr>
        <w:t xml:space="preserve">occorre dunque </w:t>
      </w:r>
      <w:r w:rsidR="004E67F2" w:rsidRPr="00921CAF">
        <w:rPr>
          <w:sz w:val="24"/>
          <w:szCs w:val="24"/>
        </w:rPr>
        <w:t xml:space="preserve">determinare </w:t>
      </w:r>
      <w:r w:rsidRPr="00921CAF">
        <w:rPr>
          <w:sz w:val="24"/>
          <w:szCs w:val="24"/>
        </w:rPr>
        <w:t xml:space="preserve">la </w:t>
      </w:r>
      <w:r w:rsidR="00436F97">
        <w:rPr>
          <w:sz w:val="24"/>
          <w:szCs w:val="24"/>
        </w:rPr>
        <w:t>percentuale</w:t>
      </w:r>
      <w:r w:rsidRPr="00921CAF">
        <w:rPr>
          <w:sz w:val="24"/>
          <w:szCs w:val="24"/>
        </w:rPr>
        <w:t xml:space="preserve"> p</w:t>
      </w:r>
      <w:r w:rsidRPr="00921CAF">
        <w:rPr>
          <w:sz w:val="24"/>
          <w:szCs w:val="24"/>
          <w:vertAlign w:val="subscript"/>
        </w:rPr>
        <w:t>i</w:t>
      </w:r>
      <w:r w:rsidRPr="00921CAF">
        <w:rPr>
          <w:sz w:val="24"/>
          <w:szCs w:val="24"/>
        </w:rPr>
        <w:t xml:space="preserve"> di </w:t>
      </w:r>
      <w:r w:rsidR="00436F97">
        <w:rPr>
          <w:sz w:val="24"/>
          <w:szCs w:val="24"/>
        </w:rPr>
        <w:t xml:space="preserve">avanzamento di </w:t>
      </w:r>
      <w:r w:rsidRPr="00921CAF">
        <w:rPr>
          <w:sz w:val="24"/>
          <w:szCs w:val="24"/>
        </w:rPr>
        <w:t>questa porzione del prezzo che deve essere fatturata</w:t>
      </w:r>
      <w:r w:rsidR="004E67F2" w:rsidRPr="00921CAF">
        <w:rPr>
          <w:sz w:val="24"/>
          <w:szCs w:val="24"/>
        </w:rPr>
        <w:t>. p</w:t>
      </w:r>
      <w:r w:rsidR="004E67F2" w:rsidRPr="00921CAF">
        <w:rPr>
          <w:sz w:val="24"/>
          <w:szCs w:val="24"/>
          <w:vertAlign w:val="subscript"/>
        </w:rPr>
        <w:t>i</w:t>
      </w:r>
      <w:r w:rsidR="004E67F2" w:rsidRPr="00921CAF">
        <w:rPr>
          <w:sz w:val="24"/>
          <w:szCs w:val="24"/>
        </w:rPr>
        <w:t xml:space="preserve"> va calcolato</w:t>
      </w:r>
      <w:r w:rsidR="00D107D8" w:rsidRPr="00921CAF">
        <w:rPr>
          <w:sz w:val="24"/>
          <w:szCs w:val="24"/>
        </w:rPr>
        <w:t xml:space="preserve"> in proporzione a quanto </w:t>
      </w:r>
      <w:r w:rsidR="001979E3">
        <w:rPr>
          <w:sz w:val="24"/>
          <w:szCs w:val="24"/>
        </w:rPr>
        <w:t>costruito</w:t>
      </w:r>
      <w:r w:rsidR="00436F97">
        <w:rPr>
          <w:sz w:val="24"/>
          <w:szCs w:val="24"/>
        </w:rPr>
        <w:t xml:space="preserve"> tenendo in considerazione il costo dei materiali</w:t>
      </w:r>
      <w:r w:rsidR="001979E3">
        <w:rPr>
          <w:sz w:val="24"/>
          <w:szCs w:val="24"/>
        </w:rPr>
        <w:t>, dei subfornitori</w:t>
      </w:r>
      <w:r w:rsidR="00436F97">
        <w:rPr>
          <w:sz w:val="24"/>
          <w:szCs w:val="24"/>
        </w:rPr>
        <w:t xml:space="preserve"> e delle risorse umane impiegate</w:t>
      </w:r>
      <w:r w:rsidRPr="00921CAF">
        <w:rPr>
          <w:sz w:val="24"/>
          <w:szCs w:val="24"/>
        </w:rPr>
        <w:t xml:space="preserve">. </w:t>
      </w:r>
    </w:p>
    <w:p w14:paraId="1DAC0BA3" w14:textId="0ABC4FFE" w:rsidR="007438BE" w:rsidRDefault="007438BE" w:rsidP="00430DEC">
      <w:pPr>
        <w:pStyle w:val="Paragrafoelenco"/>
        <w:ind w:left="851" w:right="565"/>
        <w:jc w:val="both"/>
        <w:rPr>
          <w:sz w:val="24"/>
          <w:szCs w:val="24"/>
        </w:rPr>
      </w:pPr>
      <w:r w:rsidRPr="00921CAF">
        <w:rPr>
          <w:sz w:val="24"/>
          <w:szCs w:val="24"/>
        </w:rPr>
        <w:t>Pertanto, se P</w:t>
      </w:r>
      <w:r w:rsidR="002A26A4">
        <w:rPr>
          <w:sz w:val="24"/>
          <w:szCs w:val="24"/>
          <w:vertAlign w:val="subscript"/>
        </w:rPr>
        <w:t>8</w:t>
      </w:r>
      <w:r w:rsidR="006B1261" w:rsidRPr="00921CAF">
        <w:rPr>
          <w:sz w:val="24"/>
          <w:szCs w:val="24"/>
          <w:vertAlign w:val="subscript"/>
        </w:rPr>
        <w:t>0</w:t>
      </w:r>
      <w:r w:rsidRPr="00921CAF">
        <w:rPr>
          <w:sz w:val="24"/>
          <w:szCs w:val="24"/>
        </w:rPr>
        <w:t xml:space="preserve"> è la porzione del prezzo della commessa da corrispondere per SAL</w:t>
      </w:r>
      <w:r w:rsidR="005C73F2" w:rsidRPr="00921CAF">
        <w:rPr>
          <w:sz w:val="24"/>
          <w:szCs w:val="24"/>
        </w:rPr>
        <w:t xml:space="preserve"> nelle fasi di </w:t>
      </w:r>
      <w:r w:rsidR="001979E3">
        <w:rPr>
          <w:sz w:val="24"/>
          <w:szCs w:val="24"/>
        </w:rPr>
        <w:t>costruzione</w:t>
      </w:r>
      <w:r>
        <w:rPr>
          <w:sz w:val="24"/>
          <w:szCs w:val="24"/>
        </w:rPr>
        <w:t>, in ogni mese i si fatturerà una somma pari a:</w:t>
      </w:r>
    </w:p>
    <w:p w14:paraId="6C471D71" w14:textId="77777777" w:rsidR="007438BE" w:rsidRDefault="007438BE" w:rsidP="00430DEC">
      <w:pPr>
        <w:pStyle w:val="Paragrafoelenco"/>
        <w:ind w:left="851" w:right="565"/>
        <w:jc w:val="both"/>
        <w:rPr>
          <w:sz w:val="24"/>
          <w:szCs w:val="24"/>
        </w:rPr>
      </w:pPr>
    </w:p>
    <w:p w14:paraId="7F415ED9" w14:textId="6C1B0583" w:rsidR="007438BE" w:rsidRPr="003E04CB" w:rsidRDefault="00591ED3" w:rsidP="00D91CD6">
      <w:pPr>
        <w:pStyle w:val="Paragrafoelenco"/>
        <w:ind w:left="851" w:right="565"/>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 xml:space="preserve">i </m:t>
                  </m:r>
                </m:sub>
              </m:sSub>
              <m:r>
                <w:rPr>
                  <w:rFonts w:ascii="Cambria Math" w:hAnsi="Cambria Math"/>
                  <w:sz w:val="24"/>
                  <w:szCs w:val="24"/>
                </w:rPr>
                <m:t>*P</m:t>
              </m:r>
            </m:e>
            <m:sub>
              <m:r>
                <w:rPr>
                  <w:rFonts w:ascii="Cambria Math" w:hAnsi="Cambria Math"/>
                  <w:sz w:val="24"/>
                  <w:szCs w:val="24"/>
                </w:rPr>
                <m:t>80</m:t>
              </m:r>
            </m:sub>
          </m:sSub>
        </m:oMath>
      </m:oMathPara>
    </w:p>
    <w:p w14:paraId="09E0B321" w14:textId="77777777" w:rsidR="003E04CB" w:rsidRDefault="003E04CB" w:rsidP="00D91CD6">
      <w:pPr>
        <w:pStyle w:val="Paragrafoelenco"/>
        <w:ind w:left="851" w:right="565"/>
        <w:jc w:val="center"/>
        <w:rPr>
          <w:sz w:val="24"/>
          <w:szCs w:val="24"/>
        </w:rPr>
      </w:pPr>
    </w:p>
    <w:p w14:paraId="0C44BC0D" w14:textId="77777777" w:rsidR="003E04CB" w:rsidRPr="00F821B3" w:rsidRDefault="003E04CB" w:rsidP="003E04CB">
      <w:pPr>
        <w:pStyle w:val="Paragrafoelenco"/>
        <w:ind w:left="851" w:right="565"/>
        <w:jc w:val="both"/>
        <w:rPr>
          <w:sz w:val="24"/>
          <w:szCs w:val="24"/>
        </w:rPr>
      </w:pPr>
      <w:r>
        <w:rPr>
          <w:sz w:val="24"/>
          <w:szCs w:val="24"/>
        </w:rPr>
        <w:t xml:space="preserve">Ciascuna fattura sarà emessa alla fine del mese di competenza. </w:t>
      </w:r>
    </w:p>
    <w:p w14:paraId="43EF0801" w14:textId="77777777" w:rsidR="007438BE" w:rsidRDefault="007438BE" w:rsidP="00F06912">
      <w:pPr>
        <w:pStyle w:val="Titolo1"/>
        <w:numPr>
          <w:ilvl w:val="0"/>
          <w:numId w:val="1"/>
        </w:numPr>
        <w:spacing w:after="240"/>
        <w:ind w:left="1135" w:right="565" w:hanging="284"/>
        <w:rPr>
          <w:sz w:val="36"/>
          <w:szCs w:val="36"/>
        </w:rPr>
      </w:pPr>
      <w:r w:rsidRPr="0034357F">
        <w:rPr>
          <w:sz w:val="36"/>
          <w:szCs w:val="36"/>
        </w:rPr>
        <w:t xml:space="preserve">NOTE SULLA STESURA DELLE CURVE AD S </w:t>
      </w:r>
    </w:p>
    <w:p w14:paraId="4412DA91" w14:textId="77777777" w:rsidR="007438BE" w:rsidRDefault="007438BE" w:rsidP="00446233">
      <w:pPr>
        <w:ind w:left="851" w:right="565"/>
        <w:jc w:val="both"/>
        <w:rPr>
          <w:sz w:val="24"/>
          <w:szCs w:val="24"/>
        </w:rPr>
      </w:pPr>
      <w:r w:rsidRPr="00446233">
        <w:rPr>
          <w:sz w:val="24"/>
          <w:szCs w:val="24"/>
        </w:rPr>
        <w:t>Una volta ottenuto il prezzo turn-key della commessa</w:t>
      </w:r>
      <w:r>
        <w:rPr>
          <w:sz w:val="24"/>
          <w:szCs w:val="24"/>
        </w:rPr>
        <w:t xml:space="preserve"> secondo la procedura descritta al paragrafo 2, occorre calcolare i cash flow effettivi del progetto sulla base del prezzo definitivo e graficare le relative curve ad S.</w:t>
      </w:r>
    </w:p>
    <w:p w14:paraId="2257BC1A" w14:textId="77777777" w:rsidR="007438BE" w:rsidRDefault="007438BE" w:rsidP="00446233">
      <w:pPr>
        <w:ind w:left="851" w:right="565"/>
        <w:jc w:val="both"/>
        <w:rPr>
          <w:sz w:val="24"/>
          <w:szCs w:val="24"/>
        </w:rPr>
      </w:pPr>
      <w:r>
        <w:rPr>
          <w:sz w:val="24"/>
          <w:szCs w:val="24"/>
        </w:rPr>
        <w:t>Il cash flow in ciascun mese t</w:t>
      </w:r>
      <w:r w:rsidR="00D23BC1">
        <w:rPr>
          <w:sz w:val="24"/>
          <w:szCs w:val="24"/>
        </w:rPr>
        <w:t xml:space="preserve"> (ovvero alla fine del mese t)</w:t>
      </w:r>
      <w:r>
        <w:rPr>
          <w:sz w:val="24"/>
          <w:szCs w:val="24"/>
        </w:rPr>
        <w:t xml:space="preserve"> dell’orizzonte temporale di analisi è calcolato come:</w:t>
      </w:r>
    </w:p>
    <w:p w14:paraId="1AD7F99B" w14:textId="77777777" w:rsidR="007438BE" w:rsidRPr="00446233" w:rsidRDefault="00591ED3" w:rsidP="00D91CD6">
      <w:pPr>
        <w:ind w:left="851" w:right="565"/>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CF</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PF</m:t>
              </m:r>
            </m:e>
            <m:sub>
              <m:r>
                <w:rPr>
                  <w:rFonts w:ascii="Cambria Math" w:hAnsi="Cambria Math"/>
                  <w:sz w:val="24"/>
                  <w:szCs w:val="24"/>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OF</m:t>
              </m:r>
            </m:e>
            <m:sub>
              <m:r>
                <w:rPr>
                  <w:rFonts w:ascii="Cambria Math" w:hAnsi="Cambria Math"/>
                  <w:sz w:val="24"/>
                  <w:szCs w:val="24"/>
                </w:rPr>
                <m:t>t</m:t>
              </m:r>
            </m:sub>
          </m:sSub>
        </m:oMath>
      </m:oMathPara>
    </w:p>
    <w:p w14:paraId="37ED6B0C" w14:textId="6F837C15" w:rsidR="001979E3" w:rsidRDefault="001979E3" w:rsidP="00BA1620">
      <w:pPr>
        <w:tabs>
          <w:tab w:val="left" w:pos="933"/>
        </w:tabs>
        <w:ind w:left="851" w:right="565"/>
        <w:jc w:val="both"/>
        <w:rPr>
          <w:sz w:val="24"/>
          <w:szCs w:val="24"/>
        </w:rPr>
      </w:pPr>
      <w:r>
        <w:rPr>
          <w:sz w:val="24"/>
          <w:szCs w:val="24"/>
        </w:rPr>
        <w:t xml:space="preserve">Dove </w:t>
      </w:r>
      <w:r w:rsidRPr="001979E3">
        <w:rPr>
          <w:i/>
          <w:sz w:val="24"/>
          <w:szCs w:val="24"/>
        </w:rPr>
        <w:t>I</w:t>
      </w:r>
      <w:r w:rsidRPr="001979E3">
        <w:rPr>
          <w:i/>
          <w:sz w:val="24"/>
          <w:szCs w:val="24"/>
          <w:vertAlign w:val="subscript"/>
        </w:rPr>
        <w:t>t</w:t>
      </w:r>
      <w:r>
        <w:rPr>
          <w:sz w:val="24"/>
          <w:szCs w:val="24"/>
        </w:rPr>
        <w:t xml:space="preserve"> sono gli incassi, </w:t>
      </w:r>
      <w:r w:rsidRPr="001979E3">
        <w:rPr>
          <w:i/>
          <w:sz w:val="24"/>
          <w:szCs w:val="24"/>
        </w:rPr>
        <w:t>E</w:t>
      </w:r>
      <w:r w:rsidRPr="001979E3">
        <w:rPr>
          <w:i/>
          <w:sz w:val="24"/>
          <w:szCs w:val="24"/>
          <w:vertAlign w:val="subscript"/>
        </w:rPr>
        <w:t>t</w:t>
      </w:r>
      <w:r>
        <w:rPr>
          <w:sz w:val="24"/>
          <w:szCs w:val="24"/>
        </w:rPr>
        <w:t xml:space="preserve"> sono gli esborsi operativi (includendo costi diretti, indiretti e costi di mitigazione), </w:t>
      </w:r>
      <w:r w:rsidRPr="001979E3">
        <w:rPr>
          <w:i/>
          <w:sz w:val="24"/>
          <w:szCs w:val="24"/>
        </w:rPr>
        <w:t>PF</w:t>
      </w:r>
      <w:r w:rsidRPr="001979E3">
        <w:rPr>
          <w:i/>
          <w:sz w:val="24"/>
          <w:szCs w:val="24"/>
          <w:vertAlign w:val="subscript"/>
        </w:rPr>
        <w:t>t</w:t>
      </w:r>
      <w:r>
        <w:rPr>
          <w:sz w:val="24"/>
          <w:szCs w:val="24"/>
        </w:rPr>
        <w:t xml:space="preserve"> e </w:t>
      </w:r>
      <w:r w:rsidRPr="001979E3">
        <w:rPr>
          <w:i/>
          <w:sz w:val="24"/>
          <w:szCs w:val="24"/>
        </w:rPr>
        <w:t>OF</w:t>
      </w:r>
      <w:r w:rsidRPr="001979E3">
        <w:rPr>
          <w:i/>
          <w:sz w:val="24"/>
          <w:szCs w:val="24"/>
          <w:vertAlign w:val="subscript"/>
        </w:rPr>
        <w:t>t</w:t>
      </w:r>
      <w:r>
        <w:rPr>
          <w:sz w:val="24"/>
          <w:szCs w:val="24"/>
        </w:rPr>
        <w:t xml:space="preserve"> i proventi e gli oneri finanziari rispettivamente. </w:t>
      </w:r>
    </w:p>
    <w:p w14:paraId="6A8F5FB6" w14:textId="0F4DD4E7" w:rsidR="009E37ED" w:rsidRPr="00656BCD" w:rsidRDefault="007438BE" w:rsidP="00BA1620">
      <w:pPr>
        <w:tabs>
          <w:tab w:val="left" w:pos="933"/>
        </w:tabs>
        <w:ind w:left="851" w:right="565"/>
        <w:jc w:val="both"/>
        <w:rPr>
          <w:color w:val="FF0000"/>
          <w:sz w:val="24"/>
          <w:szCs w:val="24"/>
        </w:rPr>
      </w:pPr>
      <w:r>
        <w:rPr>
          <w:sz w:val="24"/>
          <w:szCs w:val="24"/>
        </w:rPr>
        <w:t>Si osservi che nel calcolo del prezzo del</w:t>
      </w:r>
      <w:r w:rsidR="00C575BF">
        <w:rPr>
          <w:sz w:val="24"/>
          <w:szCs w:val="24"/>
        </w:rPr>
        <w:t>la commessa è stato incluso il Contingency B</w:t>
      </w:r>
      <w:r>
        <w:rPr>
          <w:sz w:val="24"/>
          <w:szCs w:val="24"/>
        </w:rPr>
        <w:t xml:space="preserve">udget. </w:t>
      </w:r>
    </w:p>
    <w:p w14:paraId="1957AFFF" w14:textId="77777777" w:rsidR="007438BE" w:rsidRDefault="00D107D8" w:rsidP="0073644D">
      <w:pPr>
        <w:tabs>
          <w:tab w:val="left" w:pos="933"/>
        </w:tabs>
        <w:ind w:left="851" w:right="565"/>
        <w:jc w:val="both"/>
        <w:rPr>
          <w:sz w:val="24"/>
          <w:szCs w:val="24"/>
        </w:rPr>
      </w:pPr>
      <w:r>
        <w:rPr>
          <w:sz w:val="24"/>
          <w:szCs w:val="24"/>
        </w:rPr>
        <w:t>Si consiglia di tracciare</w:t>
      </w:r>
      <w:r w:rsidR="007438BE">
        <w:rPr>
          <w:sz w:val="24"/>
          <w:szCs w:val="24"/>
        </w:rPr>
        <w:t xml:space="preserve"> le seguenti curve ad S:</w:t>
      </w:r>
    </w:p>
    <w:p w14:paraId="54078C2C" w14:textId="4D4F1D50" w:rsidR="007438BE" w:rsidRPr="00272462" w:rsidRDefault="007438BE" w:rsidP="00CE3E08">
      <w:pPr>
        <w:pStyle w:val="Paragrafoelenco"/>
        <w:numPr>
          <w:ilvl w:val="0"/>
          <w:numId w:val="4"/>
        </w:numPr>
        <w:tabs>
          <w:tab w:val="left" w:pos="933"/>
        </w:tabs>
        <w:ind w:right="565"/>
        <w:jc w:val="both"/>
        <w:rPr>
          <w:sz w:val="24"/>
          <w:szCs w:val="24"/>
        </w:rPr>
      </w:pPr>
      <w:r w:rsidRPr="00272462">
        <w:rPr>
          <w:sz w:val="24"/>
          <w:szCs w:val="24"/>
        </w:rPr>
        <w:t>Curva ad S dei cash in</w:t>
      </w:r>
      <w:r w:rsidR="00EB1942" w:rsidRPr="00272462">
        <w:rPr>
          <w:sz w:val="24"/>
          <w:szCs w:val="24"/>
        </w:rPr>
        <w:t xml:space="preserve"> </w:t>
      </w:r>
      <w:r w:rsidR="00436F97">
        <w:rPr>
          <w:sz w:val="24"/>
          <w:szCs w:val="24"/>
        </w:rPr>
        <w:t xml:space="preserve">cumulati </w:t>
      </w:r>
      <w:r w:rsidR="00EB1942" w:rsidRPr="00272462">
        <w:rPr>
          <w:sz w:val="24"/>
          <w:szCs w:val="24"/>
        </w:rPr>
        <w:t>non attualizzati</w:t>
      </w:r>
      <w:r w:rsidRPr="00272462">
        <w:rPr>
          <w:sz w:val="24"/>
          <w:szCs w:val="24"/>
        </w:rPr>
        <w:t>.</w:t>
      </w:r>
    </w:p>
    <w:p w14:paraId="40995936" w14:textId="6F245B41" w:rsidR="007438BE" w:rsidRPr="00272462" w:rsidRDefault="007438BE" w:rsidP="00CE3E08">
      <w:pPr>
        <w:pStyle w:val="Paragrafoelenco"/>
        <w:numPr>
          <w:ilvl w:val="0"/>
          <w:numId w:val="4"/>
        </w:numPr>
        <w:tabs>
          <w:tab w:val="left" w:pos="933"/>
        </w:tabs>
        <w:ind w:right="565"/>
        <w:jc w:val="both"/>
        <w:rPr>
          <w:sz w:val="24"/>
          <w:szCs w:val="24"/>
        </w:rPr>
      </w:pPr>
      <w:r w:rsidRPr="00272462">
        <w:rPr>
          <w:sz w:val="24"/>
          <w:szCs w:val="24"/>
        </w:rPr>
        <w:t>Curva ad S dei cash out</w:t>
      </w:r>
      <w:r w:rsidR="00EB1942" w:rsidRPr="00272462">
        <w:rPr>
          <w:sz w:val="24"/>
          <w:szCs w:val="24"/>
        </w:rPr>
        <w:t xml:space="preserve"> </w:t>
      </w:r>
      <w:r w:rsidR="00436F97">
        <w:rPr>
          <w:sz w:val="24"/>
          <w:szCs w:val="24"/>
        </w:rPr>
        <w:t xml:space="preserve">cumulati </w:t>
      </w:r>
      <w:r w:rsidR="00EB1942" w:rsidRPr="00272462">
        <w:rPr>
          <w:sz w:val="24"/>
          <w:szCs w:val="24"/>
        </w:rPr>
        <w:t>non attualizzati</w:t>
      </w:r>
      <w:r w:rsidRPr="00272462">
        <w:rPr>
          <w:sz w:val="24"/>
          <w:szCs w:val="24"/>
        </w:rPr>
        <w:t xml:space="preserve">. </w:t>
      </w:r>
    </w:p>
    <w:p w14:paraId="30F82954" w14:textId="6FA250F8" w:rsidR="00B050BF" w:rsidRPr="00436F97" w:rsidRDefault="007438BE" w:rsidP="00CE3E08">
      <w:pPr>
        <w:pStyle w:val="Paragrafoelenco"/>
        <w:numPr>
          <w:ilvl w:val="0"/>
          <w:numId w:val="4"/>
        </w:numPr>
        <w:tabs>
          <w:tab w:val="left" w:pos="933"/>
        </w:tabs>
        <w:ind w:right="565"/>
        <w:jc w:val="both"/>
        <w:rPr>
          <w:sz w:val="24"/>
          <w:szCs w:val="24"/>
        </w:rPr>
      </w:pPr>
      <w:r w:rsidRPr="00272462">
        <w:rPr>
          <w:sz w:val="24"/>
          <w:szCs w:val="24"/>
        </w:rPr>
        <w:t xml:space="preserve">Curva ad S dei cash flow </w:t>
      </w:r>
      <w:r w:rsidR="00436F97">
        <w:rPr>
          <w:sz w:val="24"/>
          <w:szCs w:val="24"/>
        </w:rPr>
        <w:t xml:space="preserve">cumulati </w:t>
      </w:r>
      <w:r w:rsidRPr="00272462">
        <w:rPr>
          <w:sz w:val="24"/>
          <w:szCs w:val="24"/>
        </w:rPr>
        <w:t>non attualizzati.</w:t>
      </w:r>
    </w:p>
    <w:p w14:paraId="31285877" w14:textId="77777777" w:rsidR="006A227A" w:rsidRPr="00272462" w:rsidRDefault="006A227A" w:rsidP="006A227A">
      <w:pPr>
        <w:pStyle w:val="Paragrafoelenco"/>
        <w:tabs>
          <w:tab w:val="left" w:pos="933"/>
        </w:tabs>
        <w:ind w:right="565"/>
        <w:jc w:val="both"/>
        <w:rPr>
          <w:color w:val="FF0000"/>
          <w:sz w:val="24"/>
          <w:szCs w:val="24"/>
          <w:u w:val="single"/>
        </w:rPr>
      </w:pPr>
    </w:p>
    <w:sectPr w:rsidR="006A227A" w:rsidRPr="00272462" w:rsidSect="009314DB">
      <w:footerReference w:type="default" r:id="rId8"/>
      <w:pgSz w:w="11906" w:h="16838"/>
      <w:pgMar w:top="964"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D2C731" w14:textId="77777777" w:rsidR="00591ED3" w:rsidRDefault="00591ED3" w:rsidP="009314DB">
      <w:pPr>
        <w:spacing w:after="0" w:line="240" w:lineRule="auto"/>
      </w:pPr>
      <w:r>
        <w:separator/>
      </w:r>
    </w:p>
  </w:endnote>
  <w:endnote w:type="continuationSeparator" w:id="0">
    <w:p w14:paraId="25793E55" w14:textId="77777777" w:rsidR="00591ED3" w:rsidRDefault="00591ED3" w:rsidP="00931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D374BA" w14:textId="112BAB8B" w:rsidR="007438BE" w:rsidRDefault="009533D4" w:rsidP="009314DB">
    <w:pPr>
      <w:pStyle w:val="Pidipagina"/>
      <w:ind w:right="281"/>
      <w:jc w:val="right"/>
    </w:pPr>
    <w:r>
      <w:fldChar w:fldCharType="begin"/>
    </w:r>
    <w:r w:rsidR="00167E97">
      <w:instrText xml:space="preserve"> PAGE   \* MERGEFORMAT </w:instrText>
    </w:r>
    <w:r>
      <w:fldChar w:fldCharType="separate"/>
    </w:r>
    <w:r w:rsidR="00591ED3">
      <w:rPr>
        <w:noProof/>
      </w:rPr>
      <w:t>1</w:t>
    </w:r>
    <w:r>
      <w:rPr>
        <w:noProof/>
      </w:rPr>
      <w:fldChar w:fldCharType="end"/>
    </w:r>
  </w:p>
  <w:p w14:paraId="1D320C81" w14:textId="77777777" w:rsidR="007438BE" w:rsidRDefault="007438BE">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7EC471" w14:textId="77777777" w:rsidR="00591ED3" w:rsidRDefault="00591ED3" w:rsidP="009314DB">
      <w:pPr>
        <w:spacing w:after="0" w:line="240" w:lineRule="auto"/>
      </w:pPr>
      <w:r>
        <w:separator/>
      </w:r>
    </w:p>
  </w:footnote>
  <w:footnote w:type="continuationSeparator" w:id="0">
    <w:p w14:paraId="0FA78B9B" w14:textId="77777777" w:rsidR="00591ED3" w:rsidRDefault="00591ED3" w:rsidP="009314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D771D4"/>
    <w:multiLevelType w:val="hybridMultilevel"/>
    <w:tmpl w:val="A9165876"/>
    <w:lvl w:ilvl="0" w:tplc="F7F65C48">
      <w:start w:val="1"/>
      <w:numFmt w:val="lowerLetter"/>
      <w:lvlText w:val="%1)"/>
      <w:lvlJc w:val="left"/>
      <w:pPr>
        <w:ind w:left="1211" w:hanging="360"/>
      </w:pPr>
      <w:rPr>
        <w:rFonts w:cs="Times New Roman" w:hint="default"/>
      </w:rPr>
    </w:lvl>
    <w:lvl w:ilvl="1" w:tplc="04100019" w:tentative="1">
      <w:start w:val="1"/>
      <w:numFmt w:val="lowerLetter"/>
      <w:lvlText w:val="%2."/>
      <w:lvlJc w:val="left"/>
      <w:pPr>
        <w:ind w:left="1931" w:hanging="360"/>
      </w:pPr>
      <w:rPr>
        <w:rFonts w:cs="Times New Roman"/>
      </w:rPr>
    </w:lvl>
    <w:lvl w:ilvl="2" w:tplc="0410001B" w:tentative="1">
      <w:start w:val="1"/>
      <w:numFmt w:val="lowerRoman"/>
      <w:lvlText w:val="%3."/>
      <w:lvlJc w:val="right"/>
      <w:pPr>
        <w:ind w:left="2651" w:hanging="180"/>
      </w:pPr>
      <w:rPr>
        <w:rFonts w:cs="Times New Roman"/>
      </w:rPr>
    </w:lvl>
    <w:lvl w:ilvl="3" w:tplc="0410000F" w:tentative="1">
      <w:start w:val="1"/>
      <w:numFmt w:val="decimal"/>
      <w:lvlText w:val="%4."/>
      <w:lvlJc w:val="left"/>
      <w:pPr>
        <w:ind w:left="3371" w:hanging="360"/>
      </w:pPr>
      <w:rPr>
        <w:rFonts w:cs="Times New Roman"/>
      </w:rPr>
    </w:lvl>
    <w:lvl w:ilvl="4" w:tplc="04100019" w:tentative="1">
      <w:start w:val="1"/>
      <w:numFmt w:val="lowerLetter"/>
      <w:lvlText w:val="%5."/>
      <w:lvlJc w:val="left"/>
      <w:pPr>
        <w:ind w:left="4091" w:hanging="360"/>
      </w:pPr>
      <w:rPr>
        <w:rFonts w:cs="Times New Roman"/>
      </w:rPr>
    </w:lvl>
    <w:lvl w:ilvl="5" w:tplc="0410001B" w:tentative="1">
      <w:start w:val="1"/>
      <w:numFmt w:val="lowerRoman"/>
      <w:lvlText w:val="%6."/>
      <w:lvlJc w:val="right"/>
      <w:pPr>
        <w:ind w:left="4811" w:hanging="180"/>
      </w:pPr>
      <w:rPr>
        <w:rFonts w:cs="Times New Roman"/>
      </w:rPr>
    </w:lvl>
    <w:lvl w:ilvl="6" w:tplc="0410000F" w:tentative="1">
      <w:start w:val="1"/>
      <w:numFmt w:val="decimal"/>
      <w:lvlText w:val="%7."/>
      <w:lvlJc w:val="left"/>
      <w:pPr>
        <w:ind w:left="5531" w:hanging="360"/>
      </w:pPr>
      <w:rPr>
        <w:rFonts w:cs="Times New Roman"/>
      </w:rPr>
    </w:lvl>
    <w:lvl w:ilvl="7" w:tplc="04100019" w:tentative="1">
      <w:start w:val="1"/>
      <w:numFmt w:val="lowerLetter"/>
      <w:lvlText w:val="%8."/>
      <w:lvlJc w:val="left"/>
      <w:pPr>
        <w:ind w:left="6251" w:hanging="360"/>
      </w:pPr>
      <w:rPr>
        <w:rFonts w:cs="Times New Roman"/>
      </w:rPr>
    </w:lvl>
    <w:lvl w:ilvl="8" w:tplc="0410001B" w:tentative="1">
      <w:start w:val="1"/>
      <w:numFmt w:val="lowerRoman"/>
      <w:lvlText w:val="%9."/>
      <w:lvlJc w:val="right"/>
      <w:pPr>
        <w:ind w:left="6971" w:hanging="180"/>
      </w:pPr>
      <w:rPr>
        <w:rFonts w:cs="Times New Roman"/>
      </w:rPr>
    </w:lvl>
  </w:abstractNum>
  <w:abstractNum w:abstractNumId="1" w15:restartNumberingAfterBreak="0">
    <w:nsid w:val="3BC117A3"/>
    <w:multiLevelType w:val="hybridMultilevel"/>
    <w:tmpl w:val="FA228BB6"/>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 w15:restartNumberingAfterBreak="0">
    <w:nsid w:val="45464680"/>
    <w:multiLevelType w:val="hybridMultilevel"/>
    <w:tmpl w:val="3C9C972C"/>
    <w:lvl w:ilvl="0" w:tplc="C27EE594">
      <w:start w:val="1"/>
      <w:numFmt w:val="lowerLetter"/>
      <w:lvlText w:val="%1)"/>
      <w:lvlJc w:val="left"/>
      <w:pPr>
        <w:ind w:left="1211" w:hanging="360"/>
      </w:pPr>
      <w:rPr>
        <w:rFonts w:cs="Times New Roman" w:hint="default"/>
      </w:rPr>
    </w:lvl>
    <w:lvl w:ilvl="1" w:tplc="04100019" w:tentative="1">
      <w:start w:val="1"/>
      <w:numFmt w:val="lowerLetter"/>
      <w:lvlText w:val="%2."/>
      <w:lvlJc w:val="left"/>
      <w:pPr>
        <w:ind w:left="1931" w:hanging="360"/>
      </w:pPr>
      <w:rPr>
        <w:rFonts w:cs="Times New Roman"/>
      </w:rPr>
    </w:lvl>
    <w:lvl w:ilvl="2" w:tplc="0410001B" w:tentative="1">
      <w:start w:val="1"/>
      <w:numFmt w:val="lowerRoman"/>
      <w:lvlText w:val="%3."/>
      <w:lvlJc w:val="right"/>
      <w:pPr>
        <w:ind w:left="2651" w:hanging="180"/>
      </w:pPr>
      <w:rPr>
        <w:rFonts w:cs="Times New Roman"/>
      </w:rPr>
    </w:lvl>
    <w:lvl w:ilvl="3" w:tplc="0410000F" w:tentative="1">
      <w:start w:val="1"/>
      <w:numFmt w:val="decimal"/>
      <w:lvlText w:val="%4."/>
      <w:lvlJc w:val="left"/>
      <w:pPr>
        <w:ind w:left="3371" w:hanging="360"/>
      </w:pPr>
      <w:rPr>
        <w:rFonts w:cs="Times New Roman"/>
      </w:rPr>
    </w:lvl>
    <w:lvl w:ilvl="4" w:tplc="04100019" w:tentative="1">
      <w:start w:val="1"/>
      <w:numFmt w:val="lowerLetter"/>
      <w:lvlText w:val="%5."/>
      <w:lvlJc w:val="left"/>
      <w:pPr>
        <w:ind w:left="4091" w:hanging="360"/>
      </w:pPr>
      <w:rPr>
        <w:rFonts w:cs="Times New Roman"/>
      </w:rPr>
    </w:lvl>
    <w:lvl w:ilvl="5" w:tplc="0410001B" w:tentative="1">
      <w:start w:val="1"/>
      <w:numFmt w:val="lowerRoman"/>
      <w:lvlText w:val="%6."/>
      <w:lvlJc w:val="right"/>
      <w:pPr>
        <w:ind w:left="4811" w:hanging="180"/>
      </w:pPr>
      <w:rPr>
        <w:rFonts w:cs="Times New Roman"/>
      </w:rPr>
    </w:lvl>
    <w:lvl w:ilvl="6" w:tplc="0410000F" w:tentative="1">
      <w:start w:val="1"/>
      <w:numFmt w:val="decimal"/>
      <w:lvlText w:val="%7."/>
      <w:lvlJc w:val="left"/>
      <w:pPr>
        <w:ind w:left="5531" w:hanging="360"/>
      </w:pPr>
      <w:rPr>
        <w:rFonts w:cs="Times New Roman"/>
      </w:rPr>
    </w:lvl>
    <w:lvl w:ilvl="7" w:tplc="04100019" w:tentative="1">
      <w:start w:val="1"/>
      <w:numFmt w:val="lowerLetter"/>
      <w:lvlText w:val="%8."/>
      <w:lvlJc w:val="left"/>
      <w:pPr>
        <w:ind w:left="6251" w:hanging="360"/>
      </w:pPr>
      <w:rPr>
        <w:rFonts w:cs="Times New Roman"/>
      </w:rPr>
    </w:lvl>
    <w:lvl w:ilvl="8" w:tplc="0410001B" w:tentative="1">
      <w:start w:val="1"/>
      <w:numFmt w:val="lowerRoman"/>
      <w:lvlText w:val="%9."/>
      <w:lvlJc w:val="right"/>
      <w:pPr>
        <w:ind w:left="6971" w:hanging="180"/>
      </w:pPr>
      <w:rPr>
        <w:rFonts w:cs="Times New Roman"/>
      </w:rPr>
    </w:lvl>
  </w:abstractNum>
  <w:abstractNum w:abstractNumId="3" w15:restartNumberingAfterBreak="0">
    <w:nsid w:val="541445C7"/>
    <w:multiLevelType w:val="hybridMultilevel"/>
    <w:tmpl w:val="66902CE8"/>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4" w15:restartNumberingAfterBreak="0">
    <w:nsid w:val="79516164"/>
    <w:multiLevelType w:val="hybridMultilevel"/>
    <w:tmpl w:val="38C42972"/>
    <w:lvl w:ilvl="0" w:tplc="516E7410">
      <w:start w:val="1"/>
      <w:numFmt w:val="decimal"/>
      <w:lvlText w:val="%1."/>
      <w:lvlJc w:val="left"/>
      <w:pPr>
        <w:ind w:left="1065" w:hanging="360"/>
      </w:pPr>
      <w:rPr>
        <w:rFonts w:cs="Times New Roman" w:hint="default"/>
      </w:rPr>
    </w:lvl>
    <w:lvl w:ilvl="1" w:tplc="04100019" w:tentative="1">
      <w:start w:val="1"/>
      <w:numFmt w:val="lowerLetter"/>
      <w:lvlText w:val="%2."/>
      <w:lvlJc w:val="left"/>
      <w:pPr>
        <w:ind w:left="1785" w:hanging="360"/>
      </w:pPr>
      <w:rPr>
        <w:rFonts w:cs="Times New Roman"/>
      </w:rPr>
    </w:lvl>
    <w:lvl w:ilvl="2" w:tplc="0410001B" w:tentative="1">
      <w:start w:val="1"/>
      <w:numFmt w:val="lowerRoman"/>
      <w:lvlText w:val="%3."/>
      <w:lvlJc w:val="right"/>
      <w:pPr>
        <w:ind w:left="2505" w:hanging="180"/>
      </w:pPr>
      <w:rPr>
        <w:rFonts w:cs="Times New Roman"/>
      </w:rPr>
    </w:lvl>
    <w:lvl w:ilvl="3" w:tplc="0410000F" w:tentative="1">
      <w:start w:val="1"/>
      <w:numFmt w:val="decimal"/>
      <w:lvlText w:val="%4."/>
      <w:lvlJc w:val="left"/>
      <w:pPr>
        <w:ind w:left="3225" w:hanging="360"/>
      </w:pPr>
      <w:rPr>
        <w:rFonts w:cs="Times New Roman"/>
      </w:rPr>
    </w:lvl>
    <w:lvl w:ilvl="4" w:tplc="04100019" w:tentative="1">
      <w:start w:val="1"/>
      <w:numFmt w:val="lowerLetter"/>
      <w:lvlText w:val="%5."/>
      <w:lvlJc w:val="left"/>
      <w:pPr>
        <w:ind w:left="3945" w:hanging="360"/>
      </w:pPr>
      <w:rPr>
        <w:rFonts w:cs="Times New Roman"/>
      </w:rPr>
    </w:lvl>
    <w:lvl w:ilvl="5" w:tplc="0410001B" w:tentative="1">
      <w:start w:val="1"/>
      <w:numFmt w:val="lowerRoman"/>
      <w:lvlText w:val="%6."/>
      <w:lvlJc w:val="right"/>
      <w:pPr>
        <w:ind w:left="4665" w:hanging="180"/>
      </w:pPr>
      <w:rPr>
        <w:rFonts w:cs="Times New Roman"/>
      </w:rPr>
    </w:lvl>
    <w:lvl w:ilvl="6" w:tplc="0410000F" w:tentative="1">
      <w:start w:val="1"/>
      <w:numFmt w:val="decimal"/>
      <w:lvlText w:val="%7."/>
      <w:lvlJc w:val="left"/>
      <w:pPr>
        <w:ind w:left="5385" w:hanging="360"/>
      </w:pPr>
      <w:rPr>
        <w:rFonts w:cs="Times New Roman"/>
      </w:rPr>
    </w:lvl>
    <w:lvl w:ilvl="7" w:tplc="04100019" w:tentative="1">
      <w:start w:val="1"/>
      <w:numFmt w:val="lowerLetter"/>
      <w:lvlText w:val="%8."/>
      <w:lvlJc w:val="left"/>
      <w:pPr>
        <w:ind w:left="6105" w:hanging="360"/>
      </w:pPr>
      <w:rPr>
        <w:rFonts w:cs="Times New Roman"/>
      </w:rPr>
    </w:lvl>
    <w:lvl w:ilvl="8" w:tplc="0410001B" w:tentative="1">
      <w:start w:val="1"/>
      <w:numFmt w:val="lowerRoman"/>
      <w:lvlText w:val="%9."/>
      <w:lvlJc w:val="right"/>
      <w:pPr>
        <w:ind w:left="6825" w:hanging="180"/>
      </w:pPr>
      <w:rPr>
        <w:rFonts w:cs="Times New Roman"/>
      </w:rPr>
    </w:lvl>
  </w:abstractNum>
  <w:num w:numId="1">
    <w:abstractNumId w:val="4"/>
  </w:num>
  <w:num w:numId="2">
    <w:abstractNumId w:val="0"/>
  </w:num>
  <w:num w:numId="3">
    <w:abstractNumId w:val="2"/>
  </w:num>
  <w:num w:numId="4">
    <w:abstractNumId w:val="3"/>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3C9"/>
    <w:rsid w:val="0000105B"/>
    <w:rsid w:val="00005D7A"/>
    <w:rsid w:val="000129EE"/>
    <w:rsid w:val="0001312C"/>
    <w:rsid w:val="00013565"/>
    <w:rsid w:val="00015E5D"/>
    <w:rsid w:val="00016B7B"/>
    <w:rsid w:val="0002203F"/>
    <w:rsid w:val="00024068"/>
    <w:rsid w:val="00026787"/>
    <w:rsid w:val="00031ED4"/>
    <w:rsid w:val="00043E4B"/>
    <w:rsid w:val="0005119E"/>
    <w:rsid w:val="0005459C"/>
    <w:rsid w:val="00057B0A"/>
    <w:rsid w:val="00060225"/>
    <w:rsid w:val="00060C54"/>
    <w:rsid w:val="000644F0"/>
    <w:rsid w:val="00066594"/>
    <w:rsid w:val="0007179C"/>
    <w:rsid w:val="0007571B"/>
    <w:rsid w:val="00075D1A"/>
    <w:rsid w:val="000810ED"/>
    <w:rsid w:val="0008290E"/>
    <w:rsid w:val="00084E8E"/>
    <w:rsid w:val="0008688B"/>
    <w:rsid w:val="000968B7"/>
    <w:rsid w:val="000A17A4"/>
    <w:rsid w:val="000A19BE"/>
    <w:rsid w:val="000A2750"/>
    <w:rsid w:val="000A3FE9"/>
    <w:rsid w:val="000A44EF"/>
    <w:rsid w:val="000A5A7E"/>
    <w:rsid w:val="000A6235"/>
    <w:rsid w:val="000B1705"/>
    <w:rsid w:val="000B1FF8"/>
    <w:rsid w:val="000B2676"/>
    <w:rsid w:val="000B3388"/>
    <w:rsid w:val="000B7AC9"/>
    <w:rsid w:val="000C0035"/>
    <w:rsid w:val="000C1C35"/>
    <w:rsid w:val="000C66F4"/>
    <w:rsid w:val="000D1936"/>
    <w:rsid w:val="000D43E3"/>
    <w:rsid w:val="000E0DBA"/>
    <w:rsid w:val="000E3120"/>
    <w:rsid w:val="000E4E1C"/>
    <w:rsid w:val="000E7D94"/>
    <w:rsid w:val="000F1F97"/>
    <w:rsid w:val="000F2F3A"/>
    <w:rsid w:val="000F3CF1"/>
    <w:rsid w:val="000F4402"/>
    <w:rsid w:val="000F693E"/>
    <w:rsid w:val="000F7A31"/>
    <w:rsid w:val="00102492"/>
    <w:rsid w:val="00105D57"/>
    <w:rsid w:val="00111B10"/>
    <w:rsid w:val="00132628"/>
    <w:rsid w:val="001351E0"/>
    <w:rsid w:val="001423C8"/>
    <w:rsid w:val="00142B11"/>
    <w:rsid w:val="00145426"/>
    <w:rsid w:val="00145633"/>
    <w:rsid w:val="00145FE1"/>
    <w:rsid w:val="0014610C"/>
    <w:rsid w:val="001529BE"/>
    <w:rsid w:val="00162D7D"/>
    <w:rsid w:val="0016428C"/>
    <w:rsid w:val="001672DD"/>
    <w:rsid w:val="001674DB"/>
    <w:rsid w:val="00167E97"/>
    <w:rsid w:val="001732EE"/>
    <w:rsid w:val="00173A6B"/>
    <w:rsid w:val="00174F88"/>
    <w:rsid w:val="0017600A"/>
    <w:rsid w:val="00176B14"/>
    <w:rsid w:val="00190508"/>
    <w:rsid w:val="00192878"/>
    <w:rsid w:val="00193E0A"/>
    <w:rsid w:val="001957B5"/>
    <w:rsid w:val="00195A74"/>
    <w:rsid w:val="00196DD2"/>
    <w:rsid w:val="001979E3"/>
    <w:rsid w:val="001A54FE"/>
    <w:rsid w:val="001A60F4"/>
    <w:rsid w:val="001A68A4"/>
    <w:rsid w:val="001A776A"/>
    <w:rsid w:val="001A7C5E"/>
    <w:rsid w:val="001A7E08"/>
    <w:rsid w:val="001B29B9"/>
    <w:rsid w:val="001B48F2"/>
    <w:rsid w:val="001B60D8"/>
    <w:rsid w:val="001B7F11"/>
    <w:rsid w:val="001C00B2"/>
    <w:rsid w:val="001C66DF"/>
    <w:rsid w:val="001C76BD"/>
    <w:rsid w:val="001D0A47"/>
    <w:rsid w:val="001D0EA5"/>
    <w:rsid w:val="001D4064"/>
    <w:rsid w:val="001D4F0F"/>
    <w:rsid w:val="001D7236"/>
    <w:rsid w:val="001E0100"/>
    <w:rsid w:val="001E6C44"/>
    <w:rsid w:val="001E7B59"/>
    <w:rsid w:val="001F33D1"/>
    <w:rsid w:val="001F462E"/>
    <w:rsid w:val="001F4E96"/>
    <w:rsid w:val="001F5275"/>
    <w:rsid w:val="001F5796"/>
    <w:rsid w:val="001F76B4"/>
    <w:rsid w:val="00204A43"/>
    <w:rsid w:val="0020639C"/>
    <w:rsid w:val="00216DC1"/>
    <w:rsid w:val="00221571"/>
    <w:rsid w:val="00224FAF"/>
    <w:rsid w:val="00227775"/>
    <w:rsid w:val="002330C6"/>
    <w:rsid w:val="00246110"/>
    <w:rsid w:val="00247309"/>
    <w:rsid w:val="00256A5F"/>
    <w:rsid w:val="002618A9"/>
    <w:rsid w:val="00264B4F"/>
    <w:rsid w:val="00266F55"/>
    <w:rsid w:val="0027057E"/>
    <w:rsid w:val="00272089"/>
    <w:rsid w:val="00272462"/>
    <w:rsid w:val="0027425B"/>
    <w:rsid w:val="00277791"/>
    <w:rsid w:val="00284CF0"/>
    <w:rsid w:val="002858A7"/>
    <w:rsid w:val="002935CB"/>
    <w:rsid w:val="002A26A4"/>
    <w:rsid w:val="002A343D"/>
    <w:rsid w:val="002A401B"/>
    <w:rsid w:val="002A4114"/>
    <w:rsid w:val="002A6241"/>
    <w:rsid w:val="002B2780"/>
    <w:rsid w:val="002B61C2"/>
    <w:rsid w:val="002C0DED"/>
    <w:rsid w:val="002C12D5"/>
    <w:rsid w:val="002D1849"/>
    <w:rsid w:val="002D1E13"/>
    <w:rsid w:val="002D717B"/>
    <w:rsid w:val="002E20CF"/>
    <w:rsid w:val="002E25DD"/>
    <w:rsid w:val="002E6E5C"/>
    <w:rsid w:val="002E7C96"/>
    <w:rsid w:val="002F083C"/>
    <w:rsid w:val="002F0FB8"/>
    <w:rsid w:val="002F12D1"/>
    <w:rsid w:val="002F31E1"/>
    <w:rsid w:val="00300BD8"/>
    <w:rsid w:val="00311285"/>
    <w:rsid w:val="00312484"/>
    <w:rsid w:val="00313920"/>
    <w:rsid w:val="00317692"/>
    <w:rsid w:val="00320065"/>
    <w:rsid w:val="00321196"/>
    <w:rsid w:val="00322043"/>
    <w:rsid w:val="00326219"/>
    <w:rsid w:val="00331651"/>
    <w:rsid w:val="0033414C"/>
    <w:rsid w:val="00343007"/>
    <w:rsid w:val="0034357F"/>
    <w:rsid w:val="00353855"/>
    <w:rsid w:val="0036196C"/>
    <w:rsid w:val="00364BCF"/>
    <w:rsid w:val="003657EC"/>
    <w:rsid w:val="0037027D"/>
    <w:rsid w:val="00372108"/>
    <w:rsid w:val="00373A4B"/>
    <w:rsid w:val="0037656F"/>
    <w:rsid w:val="00384D75"/>
    <w:rsid w:val="003902C9"/>
    <w:rsid w:val="003919B8"/>
    <w:rsid w:val="0039775B"/>
    <w:rsid w:val="003A3420"/>
    <w:rsid w:val="003A3781"/>
    <w:rsid w:val="003A39E0"/>
    <w:rsid w:val="003A3D61"/>
    <w:rsid w:val="003A4C96"/>
    <w:rsid w:val="003A6478"/>
    <w:rsid w:val="003A6734"/>
    <w:rsid w:val="003B2BA2"/>
    <w:rsid w:val="003B7ED8"/>
    <w:rsid w:val="003C20F9"/>
    <w:rsid w:val="003C241A"/>
    <w:rsid w:val="003C2E33"/>
    <w:rsid w:val="003D21BE"/>
    <w:rsid w:val="003D49FA"/>
    <w:rsid w:val="003D6ADD"/>
    <w:rsid w:val="003E04CB"/>
    <w:rsid w:val="003E18E2"/>
    <w:rsid w:val="003E1BF3"/>
    <w:rsid w:val="003E2F13"/>
    <w:rsid w:val="003E6B1B"/>
    <w:rsid w:val="003E7D8E"/>
    <w:rsid w:val="003F0A7E"/>
    <w:rsid w:val="003F5E80"/>
    <w:rsid w:val="003F6884"/>
    <w:rsid w:val="0040141A"/>
    <w:rsid w:val="00401443"/>
    <w:rsid w:val="004105C7"/>
    <w:rsid w:val="0041282B"/>
    <w:rsid w:val="00414A4F"/>
    <w:rsid w:val="00415A2A"/>
    <w:rsid w:val="004209E0"/>
    <w:rsid w:val="004211CA"/>
    <w:rsid w:val="00422ADA"/>
    <w:rsid w:val="00423BDE"/>
    <w:rsid w:val="00424909"/>
    <w:rsid w:val="004250FC"/>
    <w:rsid w:val="0042541A"/>
    <w:rsid w:val="00430DEC"/>
    <w:rsid w:val="004325B3"/>
    <w:rsid w:val="0043579B"/>
    <w:rsid w:val="00436AFD"/>
    <w:rsid w:val="00436F97"/>
    <w:rsid w:val="00437D4C"/>
    <w:rsid w:val="00437F75"/>
    <w:rsid w:val="00440489"/>
    <w:rsid w:val="004430D2"/>
    <w:rsid w:val="00445938"/>
    <w:rsid w:val="00446233"/>
    <w:rsid w:val="00450238"/>
    <w:rsid w:val="00454204"/>
    <w:rsid w:val="00461D20"/>
    <w:rsid w:val="004620EC"/>
    <w:rsid w:val="00467592"/>
    <w:rsid w:val="00471FEB"/>
    <w:rsid w:val="00483130"/>
    <w:rsid w:val="00483E9F"/>
    <w:rsid w:val="00483FBF"/>
    <w:rsid w:val="00490D7C"/>
    <w:rsid w:val="004915E2"/>
    <w:rsid w:val="0049577B"/>
    <w:rsid w:val="004965DB"/>
    <w:rsid w:val="00497A82"/>
    <w:rsid w:val="004A273E"/>
    <w:rsid w:val="004A2D08"/>
    <w:rsid w:val="004A4BA7"/>
    <w:rsid w:val="004B11F1"/>
    <w:rsid w:val="004B1EB1"/>
    <w:rsid w:val="004B3DC4"/>
    <w:rsid w:val="004B64BD"/>
    <w:rsid w:val="004B6749"/>
    <w:rsid w:val="004B7225"/>
    <w:rsid w:val="004C5926"/>
    <w:rsid w:val="004D4BA7"/>
    <w:rsid w:val="004E0299"/>
    <w:rsid w:val="004E072C"/>
    <w:rsid w:val="004E28BB"/>
    <w:rsid w:val="004E67F2"/>
    <w:rsid w:val="004F108C"/>
    <w:rsid w:val="004F1224"/>
    <w:rsid w:val="004F4058"/>
    <w:rsid w:val="004F511E"/>
    <w:rsid w:val="004F68A3"/>
    <w:rsid w:val="004F6BA5"/>
    <w:rsid w:val="00500DA9"/>
    <w:rsid w:val="00512083"/>
    <w:rsid w:val="00515B3F"/>
    <w:rsid w:val="00516E9C"/>
    <w:rsid w:val="00525F25"/>
    <w:rsid w:val="00526B95"/>
    <w:rsid w:val="005276A0"/>
    <w:rsid w:val="00530211"/>
    <w:rsid w:val="00537791"/>
    <w:rsid w:val="00551517"/>
    <w:rsid w:val="0055233A"/>
    <w:rsid w:val="00554A97"/>
    <w:rsid w:val="00556AE7"/>
    <w:rsid w:val="00556BF9"/>
    <w:rsid w:val="00562436"/>
    <w:rsid w:val="00565B64"/>
    <w:rsid w:val="00567D13"/>
    <w:rsid w:val="00584230"/>
    <w:rsid w:val="00584653"/>
    <w:rsid w:val="0059144E"/>
    <w:rsid w:val="00591C10"/>
    <w:rsid w:val="00591ED3"/>
    <w:rsid w:val="005A4F69"/>
    <w:rsid w:val="005A533A"/>
    <w:rsid w:val="005A6ADC"/>
    <w:rsid w:val="005A7076"/>
    <w:rsid w:val="005B03C6"/>
    <w:rsid w:val="005B072F"/>
    <w:rsid w:val="005B3A78"/>
    <w:rsid w:val="005C3473"/>
    <w:rsid w:val="005C369C"/>
    <w:rsid w:val="005C3D49"/>
    <w:rsid w:val="005C520C"/>
    <w:rsid w:val="005C73F2"/>
    <w:rsid w:val="005C7C96"/>
    <w:rsid w:val="005D3399"/>
    <w:rsid w:val="005D4F2A"/>
    <w:rsid w:val="005E0625"/>
    <w:rsid w:val="005E0698"/>
    <w:rsid w:val="005E10BA"/>
    <w:rsid w:val="005F0B55"/>
    <w:rsid w:val="005F27DB"/>
    <w:rsid w:val="005F43F5"/>
    <w:rsid w:val="005F46D8"/>
    <w:rsid w:val="00600BF1"/>
    <w:rsid w:val="00605156"/>
    <w:rsid w:val="0061129D"/>
    <w:rsid w:val="0061475A"/>
    <w:rsid w:val="006235C4"/>
    <w:rsid w:val="00624BE4"/>
    <w:rsid w:val="00630B9E"/>
    <w:rsid w:val="0063250C"/>
    <w:rsid w:val="0063349A"/>
    <w:rsid w:val="00636482"/>
    <w:rsid w:val="0064004E"/>
    <w:rsid w:val="006421C8"/>
    <w:rsid w:val="00652550"/>
    <w:rsid w:val="00653B04"/>
    <w:rsid w:val="006547C1"/>
    <w:rsid w:val="00656BCD"/>
    <w:rsid w:val="00663918"/>
    <w:rsid w:val="00664B20"/>
    <w:rsid w:val="00666BB8"/>
    <w:rsid w:val="00675018"/>
    <w:rsid w:val="0068077C"/>
    <w:rsid w:val="00681E8B"/>
    <w:rsid w:val="00683EE7"/>
    <w:rsid w:val="006874BA"/>
    <w:rsid w:val="00690F8D"/>
    <w:rsid w:val="0069335B"/>
    <w:rsid w:val="00696A2C"/>
    <w:rsid w:val="006A15BB"/>
    <w:rsid w:val="006A18E6"/>
    <w:rsid w:val="006A1B04"/>
    <w:rsid w:val="006A227A"/>
    <w:rsid w:val="006A7640"/>
    <w:rsid w:val="006B1261"/>
    <w:rsid w:val="006B6D72"/>
    <w:rsid w:val="006B7A83"/>
    <w:rsid w:val="006B7D97"/>
    <w:rsid w:val="006C2B88"/>
    <w:rsid w:val="006C2C8F"/>
    <w:rsid w:val="006C3E4C"/>
    <w:rsid w:val="006D23B1"/>
    <w:rsid w:val="006D3F22"/>
    <w:rsid w:val="006D5084"/>
    <w:rsid w:val="006D638F"/>
    <w:rsid w:val="006D68FF"/>
    <w:rsid w:val="006E04CB"/>
    <w:rsid w:val="006E51BC"/>
    <w:rsid w:val="006F09C9"/>
    <w:rsid w:val="006F2E7B"/>
    <w:rsid w:val="006F670A"/>
    <w:rsid w:val="00702B8B"/>
    <w:rsid w:val="0070431D"/>
    <w:rsid w:val="00711F6E"/>
    <w:rsid w:val="007160A8"/>
    <w:rsid w:val="007162DE"/>
    <w:rsid w:val="00727AF4"/>
    <w:rsid w:val="0073644D"/>
    <w:rsid w:val="0073648D"/>
    <w:rsid w:val="007437A9"/>
    <w:rsid w:val="007438BE"/>
    <w:rsid w:val="0074652F"/>
    <w:rsid w:val="00746CC3"/>
    <w:rsid w:val="00751CB8"/>
    <w:rsid w:val="00752E18"/>
    <w:rsid w:val="00755C71"/>
    <w:rsid w:val="0076038C"/>
    <w:rsid w:val="00760811"/>
    <w:rsid w:val="0076304B"/>
    <w:rsid w:val="00765129"/>
    <w:rsid w:val="00787AAD"/>
    <w:rsid w:val="00792FF1"/>
    <w:rsid w:val="00796221"/>
    <w:rsid w:val="00797085"/>
    <w:rsid w:val="007A130B"/>
    <w:rsid w:val="007A4999"/>
    <w:rsid w:val="007A6500"/>
    <w:rsid w:val="007A6841"/>
    <w:rsid w:val="007A7B16"/>
    <w:rsid w:val="007B5A78"/>
    <w:rsid w:val="007B7E0A"/>
    <w:rsid w:val="007C4E93"/>
    <w:rsid w:val="007C54D5"/>
    <w:rsid w:val="007D098F"/>
    <w:rsid w:val="007D1D13"/>
    <w:rsid w:val="007D4008"/>
    <w:rsid w:val="007D4E7A"/>
    <w:rsid w:val="007E401C"/>
    <w:rsid w:val="007E572B"/>
    <w:rsid w:val="007E6CA2"/>
    <w:rsid w:val="007F0C5D"/>
    <w:rsid w:val="007F392D"/>
    <w:rsid w:val="007F40AB"/>
    <w:rsid w:val="007F4A89"/>
    <w:rsid w:val="007F57A3"/>
    <w:rsid w:val="00807FDA"/>
    <w:rsid w:val="00812C52"/>
    <w:rsid w:val="00815BE1"/>
    <w:rsid w:val="00817936"/>
    <w:rsid w:val="00823460"/>
    <w:rsid w:val="0083053B"/>
    <w:rsid w:val="00834137"/>
    <w:rsid w:val="00841AF6"/>
    <w:rsid w:val="008431AF"/>
    <w:rsid w:val="008474D6"/>
    <w:rsid w:val="008543B7"/>
    <w:rsid w:val="00854FDC"/>
    <w:rsid w:val="00863406"/>
    <w:rsid w:val="00865E2F"/>
    <w:rsid w:val="008725F0"/>
    <w:rsid w:val="0087460F"/>
    <w:rsid w:val="008775F2"/>
    <w:rsid w:val="00880D08"/>
    <w:rsid w:val="0088374D"/>
    <w:rsid w:val="0088496C"/>
    <w:rsid w:val="008902A4"/>
    <w:rsid w:val="00893AB9"/>
    <w:rsid w:val="0089761C"/>
    <w:rsid w:val="008A663B"/>
    <w:rsid w:val="008B3A5D"/>
    <w:rsid w:val="008B4FC0"/>
    <w:rsid w:val="008C0EBD"/>
    <w:rsid w:val="008C1B35"/>
    <w:rsid w:val="008C2586"/>
    <w:rsid w:val="008C7A4D"/>
    <w:rsid w:val="008D3C7E"/>
    <w:rsid w:val="008D3DF8"/>
    <w:rsid w:val="008D48A3"/>
    <w:rsid w:val="008D538A"/>
    <w:rsid w:val="008D6185"/>
    <w:rsid w:val="008D7055"/>
    <w:rsid w:val="008E3E50"/>
    <w:rsid w:val="008F3ECD"/>
    <w:rsid w:val="008F457C"/>
    <w:rsid w:val="00902D19"/>
    <w:rsid w:val="00904183"/>
    <w:rsid w:val="00905DE8"/>
    <w:rsid w:val="00906080"/>
    <w:rsid w:val="00910377"/>
    <w:rsid w:val="00912768"/>
    <w:rsid w:val="00913E8F"/>
    <w:rsid w:val="00921945"/>
    <w:rsid w:val="00921CAF"/>
    <w:rsid w:val="00925012"/>
    <w:rsid w:val="009256E6"/>
    <w:rsid w:val="00925BBA"/>
    <w:rsid w:val="00926370"/>
    <w:rsid w:val="00930345"/>
    <w:rsid w:val="009314DB"/>
    <w:rsid w:val="00932550"/>
    <w:rsid w:val="00951C75"/>
    <w:rsid w:val="00951FCB"/>
    <w:rsid w:val="009533D4"/>
    <w:rsid w:val="0095458D"/>
    <w:rsid w:val="0096269B"/>
    <w:rsid w:val="00962C98"/>
    <w:rsid w:val="00963AD3"/>
    <w:rsid w:val="0096432B"/>
    <w:rsid w:val="009656C4"/>
    <w:rsid w:val="009666AA"/>
    <w:rsid w:val="00971073"/>
    <w:rsid w:val="00971A4C"/>
    <w:rsid w:val="009813F0"/>
    <w:rsid w:val="00981404"/>
    <w:rsid w:val="009A0215"/>
    <w:rsid w:val="009A0636"/>
    <w:rsid w:val="009A1F78"/>
    <w:rsid w:val="009A4346"/>
    <w:rsid w:val="009B078C"/>
    <w:rsid w:val="009B07FF"/>
    <w:rsid w:val="009B0F00"/>
    <w:rsid w:val="009B24B8"/>
    <w:rsid w:val="009B70B7"/>
    <w:rsid w:val="009B70D0"/>
    <w:rsid w:val="009B729C"/>
    <w:rsid w:val="009B7AEB"/>
    <w:rsid w:val="009C42D4"/>
    <w:rsid w:val="009C4551"/>
    <w:rsid w:val="009C68ED"/>
    <w:rsid w:val="009C76B4"/>
    <w:rsid w:val="009D0100"/>
    <w:rsid w:val="009D3789"/>
    <w:rsid w:val="009D5A39"/>
    <w:rsid w:val="009D66B5"/>
    <w:rsid w:val="009E21F0"/>
    <w:rsid w:val="009E297F"/>
    <w:rsid w:val="009E37ED"/>
    <w:rsid w:val="009F0624"/>
    <w:rsid w:val="009F2061"/>
    <w:rsid w:val="009F2FFA"/>
    <w:rsid w:val="009F624C"/>
    <w:rsid w:val="009F6586"/>
    <w:rsid w:val="009F7692"/>
    <w:rsid w:val="00A00105"/>
    <w:rsid w:val="00A03FEA"/>
    <w:rsid w:val="00A13146"/>
    <w:rsid w:val="00A13C7B"/>
    <w:rsid w:val="00A212BD"/>
    <w:rsid w:val="00A266F3"/>
    <w:rsid w:val="00A26CF9"/>
    <w:rsid w:val="00A27142"/>
    <w:rsid w:val="00A3237F"/>
    <w:rsid w:val="00A35E60"/>
    <w:rsid w:val="00A37328"/>
    <w:rsid w:val="00A41A75"/>
    <w:rsid w:val="00A41ACE"/>
    <w:rsid w:val="00A5067B"/>
    <w:rsid w:val="00A5244B"/>
    <w:rsid w:val="00A52C79"/>
    <w:rsid w:val="00A55EEA"/>
    <w:rsid w:val="00A56857"/>
    <w:rsid w:val="00A6023D"/>
    <w:rsid w:val="00A602A5"/>
    <w:rsid w:val="00A603AD"/>
    <w:rsid w:val="00A6574F"/>
    <w:rsid w:val="00A80F39"/>
    <w:rsid w:val="00A83189"/>
    <w:rsid w:val="00A84925"/>
    <w:rsid w:val="00A87AAB"/>
    <w:rsid w:val="00A909D8"/>
    <w:rsid w:val="00A91C8E"/>
    <w:rsid w:val="00A91EFE"/>
    <w:rsid w:val="00A921CA"/>
    <w:rsid w:val="00A92987"/>
    <w:rsid w:val="00A9521F"/>
    <w:rsid w:val="00A970EF"/>
    <w:rsid w:val="00A97541"/>
    <w:rsid w:val="00AA0BEA"/>
    <w:rsid w:val="00AA4C9C"/>
    <w:rsid w:val="00AA77B5"/>
    <w:rsid w:val="00AB3EAE"/>
    <w:rsid w:val="00AB4297"/>
    <w:rsid w:val="00AC1449"/>
    <w:rsid w:val="00AC1ABE"/>
    <w:rsid w:val="00AC24B9"/>
    <w:rsid w:val="00AC3D1F"/>
    <w:rsid w:val="00AD08B1"/>
    <w:rsid w:val="00AD0DAB"/>
    <w:rsid w:val="00AD5A93"/>
    <w:rsid w:val="00AE0BAD"/>
    <w:rsid w:val="00AE7722"/>
    <w:rsid w:val="00AF167C"/>
    <w:rsid w:val="00AF402F"/>
    <w:rsid w:val="00AF4B32"/>
    <w:rsid w:val="00B006C4"/>
    <w:rsid w:val="00B025C9"/>
    <w:rsid w:val="00B050BF"/>
    <w:rsid w:val="00B05756"/>
    <w:rsid w:val="00B061AA"/>
    <w:rsid w:val="00B134D5"/>
    <w:rsid w:val="00B1655B"/>
    <w:rsid w:val="00B167C0"/>
    <w:rsid w:val="00B22D9B"/>
    <w:rsid w:val="00B36AA9"/>
    <w:rsid w:val="00B408CB"/>
    <w:rsid w:val="00B41575"/>
    <w:rsid w:val="00B43822"/>
    <w:rsid w:val="00B447A5"/>
    <w:rsid w:val="00B46030"/>
    <w:rsid w:val="00B518F0"/>
    <w:rsid w:val="00B522E7"/>
    <w:rsid w:val="00B53846"/>
    <w:rsid w:val="00B55753"/>
    <w:rsid w:val="00B60D2E"/>
    <w:rsid w:val="00B62DF5"/>
    <w:rsid w:val="00B653E3"/>
    <w:rsid w:val="00B70E38"/>
    <w:rsid w:val="00B72B9A"/>
    <w:rsid w:val="00B7307B"/>
    <w:rsid w:val="00B828F4"/>
    <w:rsid w:val="00B82A92"/>
    <w:rsid w:val="00B85CEF"/>
    <w:rsid w:val="00B868DC"/>
    <w:rsid w:val="00B92365"/>
    <w:rsid w:val="00B944CE"/>
    <w:rsid w:val="00B9450D"/>
    <w:rsid w:val="00B948FE"/>
    <w:rsid w:val="00B952BE"/>
    <w:rsid w:val="00B97634"/>
    <w:rsid w:val="00BA01F7"/>
    <w:rsid w:val="00BA12F9"/>
    <w:rsid w:val="00BA1620"/>
    <w:rsid w:val="00BA1C41"/>
    <w:rsid w:val="00BA4AFA"/>
    <w:rsid w:val="00BA62BE"/>
    <w:rsid w:val="00BB4482"/>
    <w:rsid w:val="00BB5047"/>
    <w:rsid w:val="00BB5AE6"/>
    <w:rsid w:val="00BB704F"/>
    <w:rsid w:val="00BB7CB1"/>
    <w:rsid w:val="00BD03B8"/>
    <w:rsid w:val="00BD383C"/>
    <w:rsid w:val="00BF215C"/>
    <w:rsid w:val="00BF3843"/>
    <w:rsid w:val="00BF55F2"/>
    <w:rsid w:val="00BF5DD6"/>
    <w:rsid w:val="00C0006E"/>
    <w:rsid w:val="00C00D7A"/>
    <w:rsid w:val="00C0220C"/>
    <w:rsid w:val="00C0257F"/>
    <w:rsid w:val="00C074F5"/>
    <w:rsid w:val="00C1051A"/>
    <w:rsid w:val="00C118D9"/>
    <w:rsid w:val="00C12343"/>
    <w:rsid w:val="00C124AE"/>
    <w:rsid w:val="00C13836"/>
    <w:rsid w:val="00C14221"/>
    <w:rsid w:val="00C21255"/>
    <w:rsid w:val="00C23797"/>
    <w:rsid w:val="00C27883"/>
    <w:rsid w:val="00C330B6"/>
    <w:rsid w:val="00C35B18"/>
    <w:rsid w:val="00C369F9"/>
    <w:rsid w:val="00C449C0"/>
    <w:rsid w:val="00C4632A"/>
    <w:rsid w:val="00C50EBD"/>
    <w:rsid w:val="00C51D53"/>
    <w:rsid w:val="00C5411A"/>
    <w:rsid w:val="00C575BF"/>
    <w:rsid w:val="00C67072"/>
    <w:rsid w:val="00C676A1"/>
    <w:rsid w:val="00C70FDB"/>
    <w:rsid w:val="00C72B84"/>
    <w:rsid w:val="00C759BF"/>
    <w:rsid w:val="00C842B3"/>
    <w:rsid w:val="00C85033"/>
    <w:rsid w:val="00C92443"/>
    <w:rsid w:val="00C95A5F"/>
    <w:rsid w:val="00C964C2"/>
    <w:rsid w:val="00C968A4"/>
    <w:rsid w:val="00C968C2"/>
    <w:rsid w:val="00CA3665"/>
    <w:rsid w:val="00CA4BF6"/>
    <w:rsid w:val="00CA4F07"/>
    <w:rsid w:val="00CA5061"/>
    <w:rsid w:val="00CA56E9"/>
    <w:rsid w:val="00CB5940"/>
    <w:rsid w:val="00CB686F"/>
    <w:rsid w:val="00CC01FD"/>
    <w:rsid w:val="00CC055D"/>
    <w:rsid w:val="00CC0C27"/>
    <w:rsid w:val="00CC3F0A"/>
    <w:rsid w:val="00CD14E5"/>
    <w:rsid w:val="00CD23CB"/>
    <w:rsid w:val="00CD3C6A"/>
    <w:rsid w:val="00CD3FEA"/>
    <w:rsid w:val="00CD732C"/>
    <w:rsid w:val="00CE2844"/>
    <w:rsid w:val="00CE3E08"/>
    <w:rsid w:val="00CE4794"/>
    <w:rsid w:val="00CE5FD6"/>
    <w:rsid w:val="00CE6539"/>
    <w:rsid w:val="00CE77F8"/>
    <w:rsid w:val="00CF46FA"/>
    <w:rsid w:val="00D0174A"/>
    <w:rsid w:val="00D01B93"/>
    <w:rsid w:val="00D0211A"/>
    <w:rsid w:val="00D0432E"/>
    <w:rsid w:val="00D049D4"/>
    <w:rsid w:val="00D0511B"/>
    <w:rsid w:val="00D107D8"/>
    <w:rsid w:val="00D21160"/>
    <w:rsid w:val="00D23BC1"/>
    <w:rsid w:val="00D24D24"/>
    <w:rsid w:val="00D25E5E"/>
    <w:rsid w:val="00D2764F"/>
    <w:rsid w:val="00D34377"/>
    <w:rsid w:val="00D35949"/>
    <w:rsid w:val="00D379C0"/>
    <w:rsid w:val="00D46593"/>
    <w:rsid w:val="00D47E49"/>
    <w:rsid w:val="00D56C7A"/>
    <w:rsid w:val="00D570F6"/>
    <w:rsid w:val="00D577BD"/>
    <w:rsid w:val="00D610EA"/>
    <w:rsid w:val="00D66B7A"/>
    <w:rsid w:val="00D71DBA"/>
    <w:rsid w:val="00D74470"/>
    <w:rsid w:val="00D748C6"/>
    <w:rsid w:val="00D8002B"/>
    <w:rsid w:val="00D8212D"/>
    <w:rsid w:val="00D91CD6"/>
    <w:rsid w:val="00D96627"/>
    <w:rsid w:val="00DA7477"/>
    <w:rsid w:val="00DB1B55"/>
    <w:rsid w:val="00DB367A"/>
    <w:rsid w:val="00DB47D1"/>
    <w:rsid w:val="00DB4B8F"/>
    <w:rsid w:val="00DB7CF2"/>
    <w:rsid w:val="00DC3BCA"/>
    <w:rsid w:val="00DC72BF"/>
    <w:rsid w:val="00DD0862"/>
    <w:rsid w:val="00DD08F5"/>
    <w:rsid w:val="00DD2FED"/>
    <w:rsid w:val="00DE3C9E"/>
    <w:rsid w:val="00DF0E78"/>
    <w:rsid w:val="00DF0F23"/>
    <w:rsid w:val="00E00773"/>
    <w:rsid w:val="00E02968"/>
    <w:rsid w:val="00E06C1B"/>
    <w:rsid w:val="00E06C4A"/>
    <w:rsid w:val="00E14DFA"/>
    <w:rsid w:val="00E1686B"/>
    <w:rsid w:val="00E17683"/>
    <w:rsid w:val="00E21233"/>
    <w:rsid w:val="00E2172A"/>
    <w:rsid w:val="00E34195"/>
    <w:rsid w:val="00E34570"/>
    <w:rsid w:val="00E37258"/>
    <w:rsid w:val="00E43CA5"/>
    <w:rsid w:val="00E44644"/>
    <w:rsid w:val="00E5050E"/>
    <w:rsid w:val="00E519B3"/>
    <w:rsid w:val="00E51C92"/>
    <w:rsid w:val="00E531F1"/>
    <w:rsid w:val="00E568CE"/>
    <w:rsid w:val="00E72AB6"/>
    <w:rsid w:val="00E748E8"/>
    <w:rsid w:val="00E75CB5"/>
    <w:rsid w:val="00E76240"/>
    <w:rsid w:val="00E7730C"/>
    <w:rsid w:val="00E8106B"/>
    <w:rsid w:val="00E82E5D"/>
    <w:rsid w:val="00E83D4E"/>
    <w:rsid w:val="00E84684"/>
    <w:rsid w:val="00E878E6"/>
    <w:rsid w:val="00E90410"/>
    <w:rsid w:val="00E923BD"/>
    <w:rsid w:val="00E92EA7"/>
    <w:rsid w:val="00E95361"/>
    <w:rsid w:val="00E95A60"/>
    <w:rsid w:val="00E97282"/>
    <w:rsid w:val="00EA1BDD"/>
    <w:rsid w:val="00EA4D25"/>
    <w:rsid w:val="00EA5459"/>
    <w:rsid w:val="00EA6211"/>
    <w:rsid w:val="00EB00C6"/>
    <w:rsid w:val="00EB18C8"/>
    <w:rsid w:val="00EB1942"/>
    <w:rsid w:val="00EB1BEA"/>
    <w:rsid w:val="00EB391F"/>
    <w:rsid w:val="00EB4871"/>
    <w:rsid w:val="00EC0827"/>
    <w:rsid w:val="00EC268A"/>
    <w:rsid w:val="00EC3EF9"/>
    <w:rsid w:val="00EC5736"/>
    <w:rsid w:val="00ED495A"/>
    <w:rsid w:val="00ED526E"/>
    <w:rsid w:val="00ED6DCB"/>
    <w:rsid w:val="00ED73C9"/>
    <w:rsid w:val="00EE1A62"/>
    <w:rsid w:val="00EE43FE"/>
    <w:rsid w:val="00EE5314"/>
    <w:rsid w:val="00EE7848"/>
    <w:rsid w:val="00EE7F14"/>
    <w:rsid w:val="00EF1D96"/>
    <w:rsid w:val="00EF52B6"/>
    <w:rsid w:val="00EF63CF"/>
    <w:rsid w:val="00F00912"/>
    <w:rsid w:val="00F02767"/>
    <w:rsid w:val="00F045FB"/>
    <w:rsid w:val="00F06455"/>
    <w:rsid w:val="00F06912"/>
    <w:rsid w:val="00F07FC6"/>
    <w:rsid w:val="00F13B40"/>
    <w:rsid w:val="00F150E3"/>
    <w:rsid w:val="00F1554C"/>
    <w:rsid w:val="00F2278A"/>
    <w:rsid w:val="00F27BAF"/>
    <w:rsid w:val="00F35AF3"/>
    <w:rsid w:val="00F40CDC"/>
    <w:rsid w:val="00F4177C"/>
    <w:rsid w:val="00F426FC"/>
    <w:rsid w:val="00F47B27"/>
    <w:rsid w:val="00F51EEF"/>
    <w:rsid w:val="00F524A9"/>
    <w:rsid w:val="00F53FF5"/>
    <w:rsid w:val="00F54B50"/>
    <w:rsid w:val="00F652D4"/>
    <w:rsid w:val="00F65829"/>
    <w:rsid w:val="00F70B91"/>
    <w:rsid w:val="00F71175"/>
    <w:rsid w:val="00F71D40"/>
    <w:rsid w:val="00F72317"/>
    <w:rsid w:val="00F80A0A"/>
    <w:rsid w:val="00F821B3"/>
    <w:rsid w:val="00F84B87"/>
    <w:rsid w:val="00F85C72"/>
    <w:rsid w:val="00F86A3C"/>
    <w:rsid w:val="00F93D80"/>
    <w:rsid w:val="00F94447"/>
    <w:rsid w:val="00F9497F"/>
    <w:rsid w:val="00F95CDD"/>
    <w:rsid w:val="00FA5AF2"/>
    <w:rsid w:val="00FA6066"/>
    <w:rsid w:val="00FB6B06"/>
    <w:rsid w:val="00FB7BED"/>
    <w:rsid w:val="00FB7ED7"/>
    <w:rsid w:val="00FD011C"/>
    <w:rsid w:val="00FD3EBA"/>
    <w:rsid w:val="00FE0086"/>
    <w:rsid w:val="00FE273B"/>
    <w:rsid w:val="00FE4820"/>
    <w:rsid w:val="00FE7168"/>
    <w:rsid w:val="00FE75D7"/>
    <w:rsid w:val="00FF0CEE"/>
    <w:rsid w:val="00FF100F"/>
    <w:rsid w:val="00FF2DAE"/>
    <w:rsid w:val="00FF6112"/>
    <w:rsid w:val="00FF64BC"/>
    <w:rsid w:val="00FF7358"/>
    <w:rsid w:val="00FF7C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4637EF"/>
  <w15:docId w15:val="{6FDC1686-187B-40BB-AD1C-5EF18B4BC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970EF"/>
    <w:pPr>
      <w:spacing w:after="200" w:line="276" w:lineRule="auto"/>
    </w:pPr>
    <w:rPr>
      <w:sz w:val="22"/>
      <w:szCs w:val="22"/>
      <w:lang w:eastAsia="en-US"/>
    </w:rPr>
  </w:style>
  <w:style w:type="paragraph" w:styleId="Titolo1">
    <w:name w:val="heading 1"/>
    <w:basedOn w:val="Normale"/>
    <w:next w:val="Normale"/>
    <w:link w:val="Titolo1Carattere"/>
    <w:uiPriority w:val="99"/>
    <w:qFormat/>
    <w:rsid w:val="00ED73C9"/>
    <w:pPr>
      <w:keepNext/>
      <w:keepLines/>
      <w:spacing w:before="480" w:after="0"/>
      <w:outlineLvl w:val="0"/>
    </w:pPr>
    <w:rPr>
      <w:rFonts w:ascii="Cambria" w:eastAsia="Times New Roman" w:hAnsi="Cambria"/>
      <w:b/>
      <w:bCs/>
      <w:color w:val="365F91"/>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9"/>
    <w:locked/>
    <w:rsid w:val="00ED73C9"/>
    <w:rPr>
      <w:rFonts w:ascii="Cambria" w:hAnsi="Cambria" w:cs="Times New Roman"/>
      <w:b/>
      <w:bCs/>
      <w:color w:val="365F91"/>
      <w:sz w:val="28"/>
      <w:szCs w:val="28"/>
    </w:rPr>
  </w:style>
  <w:style w:type="paragraph" w:styleId="Citazioneintensa">
    <w:name w:val="Intense Quote"/>
    <w:basedOn w:val="Normale"/>
    <w:next w:val="Normale"/>
    <w:link w:val="CitazioneintensaCarattere"/>
    <w:uiPriority w:val="99"/>
    <w:qFormat/>
    <w:rsid w:val="00ED73C9"/>
    <w:pPr>
      <w:pBdr>
        <w:bottom w:val="single" w:sz="4" w:space="4" w:color="4F81BD"/>
      </w:pBdr>
      <w:spacing w:before="200" w:after="280"/>
      <w:ind w:left="936" w:right="936"/>
    </w:pPr>
    <w:rPr>
      <w:b/>
      <w:bCs/>
      <w:i/>
      <w:iCs/>
      <w:color w:val="4F81BD"/>
    </w:rPr>
  </w:style>
  <w:style w:type="character" w:customStyle="1" w:styleId="CitazioneintensaCarattere">
    <w:name w:val="Citazione intensa Carattere"/>
    <w:basedOn w:val="Carpredefinitoparagrafo"/>
    <w:link w:val="Citazioneintensa"/>
    <w:uiPriority w:val="99"/>
    <w:locked/>
    <w:rsid w:val="00ED73C9"/>
    <w:rPr>
      <w:rFonts w:cs="Times New Roman"/>
      <w:b/>
      <w:bCs/>
      <w:i/>
      <w:iCs/>
      <w:color w:val="4F81BD"/>
    </w:rPr>
  </w:style>
  <w:style w:type="paragraph" w:styleId="Paragrafoelenco">
    <w:name w:val="List Paragraph"/>
    <w:basedOn w:val="Normale"/>
    <w:uiPriority w:val="99"/>
    <w:qFormat/>
    <w:rsid w:val="00ED73C9"/>
    <w:pPr>
      <w:ind w:left="720"/>
      <w:contextualSpacing/>
    </w:pPr>
  </w:style>
  <w:style w:type="paragraph" w:styleId="Intestazione">
    <w:name w:val="header"/>
    <w:basedOn w:val="Normale"/>
    <w:link w:val="IntestazioneCarattere"/>
    <w:uiPriority w:val="99"/>
    <w:semiHidden/>
    <w:rsid w:val="009314DB"/>
    <w:pPr>
      <w:tabs>
        <w:tab w:val="center" w:pos="4819"/>
        <w:tab w:val="right" w:pos="9638"/>
      </w:tabs>
    </w:pPr>
  </w:style>
  <w:style w:type="character" w:customStyle="1" w:styleId="IntestazioneCarattere">
    <w:name w:val="Intestazione Carattere"/>
    <w:basedOn w:val="Carpredefinitoparagrafo"/>
    <w:link w:val="Intestazione"/>
    <w:uiPriority w:val="99"/>
    <w:semiHidden/>
    <w:locked/>
    <w:rsid w:val="009314DB"/>
    <w:rPr>
      <w:rFonts w:cs="Times New Roman"/>
      <w:sz w:val="22"/>
      <w:szCs w:val="22"/>
      <w:lang w:eastAsia="en-US"/>
    </w:rPr>
  </w:style>
  <w:style w:type="paragraph" w:styleId="Pidipagina">
    <w:name w:val="footer"/>
    <w:basedOn w:val="Normale"/>
    <w:link w:val="PidipaginaCarattere"/>
    <w:uiPriority w:val="99"/>
    <w:rsid w:val="009314DB"/>
    <w:pPr>
      <w:tabs>
        <w:tab w:val="center" w:pos="4819"/>
        <w:tab w:val="right" w:pos="9638"/>
      </w:tabs>
    </w:pPr>
  </w:style>
  <w:style w:type="character" w:customStyle="1" w:styleId="PidipaginaCarattere">
    <w:name w:val="Piè di pagina Carattere"/>
    <w:basedOn w:val="Carpredefinitoparagrafo"/>
    <w:link w:val="Pidipagina"/>
    <w:uiPriority w:val="99"/>
    <w:locked/>
    <w:rsid w:val="009314DB"/>
    <w:rPr>
      <w:rFonts w:cs="Times New Roman"/>
      <w:sz w:val="22"/>
      <w:szCs w:val="22"/>
      <w:lang w:eastAsia="en-US"/>
    </w:rPr>
  </w:style>
  <w:style w:type="paragraph" w:styleId="Testofumetto">
    <w:name w:val="Balloon Text"/>
    <w:basedOn w:val="Normale"/>
    <w:link w:val="TestofumettoCarattere"/>
    <w:uiPriority w:val="99"/>
    <w:semiHidden/>
    <w:rsid w:val="00CD732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locked/>
    <w:rsid w:val="00CD732C"/>
    <w:rPr>
      <w:rFonts w:ascii="Tahoma" w:hAnsi="Tahoma" w:cs="Tahoma"/>
      <w:sz w:val="16"/>
      <w:szCs w:val="16"/>
      <w:lang w:val="it-IT"/>
    </w:rPr>
  </w:style>
  <w:style w:type="character" w:styleId="Testosegnaposto">
    <w:name w:val="Placeholder Text"/>
    <w:basedOn w:val="Carpredefinitoparagrafo"/>
    <w:uiPriority w:val="99"/>
    <w:semiHidden/>
    <w:rsid w:val="00D74470"/>
    <w:rPr>
      <w:rFonts w:cs="Times New Roman"/>
      <w:color w:val="808080"/>
    </w:rPr>
  </w:style>
  <w:style w:type="character" w:styleId="Rimandocommento">
    <w:name w:val="annotation reference"/>
    <w:basedOn w:val="Carpredefinitoparagrafo"/>
    <w:uiPriority w:val="99"/>
    <w:semiHidden/>
    <w:rsid w:val="00F40CDC"/>
    <w:rPr>
      <w:rFonts w:cs="Times New Roman"/>
      <w:sz w:val="16"/>
      <w:szCs w:val="16"/>
    </w:rPr>
  </w:style>
  <w:style w:type="paragraph" w:styleId="Testocommento">
    <w:name w:val="annotation text"/>
    <w:basedOn w:val="Normale"/>
    <w:link w:val="TestocommentoCarattere"/>
    <w:uiPriority w:val="99"/>
    <w:semiHidden/>
    <w:rsid w:val="00F40CDC"/>
    <w:pPr>
      <w:spacing w:line="240" w:lineRule="auto"/>
    </w:pPr>
    <w:rPr>
      <w:sz w:val="20"/>
      <w:szCs w:val="20"/>
    </w:rPr>
  </w:style>
  <w:style w:type="character" w:customStyle="1" w:styleId="TestocommentoCarattere">
    <w:name w:val="Testo commento Carattere"/>
    <w:basedOn w:val="Carpredefinitoparagrafo"/>
    <w:link w:val="Testocommento"/>
    <w:uiPriority w:val="99"/>
    <w:semiHidden/>
    <w:locked/>
    <w:rsid w:val="00F40CDC"/>
    <w:rPr>
      <w:rFonts w:cs="Times New Roman"/>
      <w:lang w:val="it-IT"/>
    </w:rPr>
  </w:style>
  <w:style w:type="paragraph" w:styleId="Soggettocommento">
    <w:name w:val="annotation subject"/>
    <w:basedOn w:val="Testocommento"/>
    <w:next w:val="Testocommento"/>
    <w:link w:val="SoggettocommentoCarattere"/>
    <w:uiPriority w:val="99"/>
    <w:semiHidden/>
    <w:rsid w:val="00F40CDC"/>
    <w:rPr>
      <w:b/>
      <w:bCs/>
    </w:rPr>
  </w:style>
  <w:style w:type="character" w:customStyle="1" w:styleId="SoggettocommentoCarattere">
    <w:name w:val="Soggetto commento Carattere"/>
    <w:basedOn w:val="TestocommentoCarattere"/>
    <w:link w:val="Soggettocommento"/>
    <w:uiPriority w:val="99"/>
    <w:semiHidden/>
    <w:locked/>
    <w:rsid w:val="00F40CDC"/>
    <w:rPr>
      <w:rFonts w:cs="Times New Roman"/>
      <w:b/>
      <w:bCs/>
      <w:lang w:val="it-IT"/>
    </w:rPr>
  </w:style>
  <w:style w:type="paragraph" w:styleId="Testonormale">
    <w:name w:val="Plain Text"/>
    <w:basedOn w:val="Normale"/>
    <w:link w:val="TestonormaleCarattere"/>
    <w:uiPriority w:val="99"/>
    <w:semiHidden/>
    <w:unhideWhenUsed/>
    <w:rsid w:val="00FE75D7"/>
    <w:pPr>
      <w:spacing w:after="0" w:line="240" w:lineRule="auto"/>
    </w:pPr>
    <w:rPr>
      <w:rFonts w:eastAsiaTheme="minorHAnsi" w:cstheme="minorBidi"/>
      <w:szCs w:val="21"/>
    </w:rPr>
  </w:style>
  <w:style w:type="character" w:customStyle="1" w:styleId="TestonormaleCarattere">
    <w:name w:val="Testo normale Carattere"/>
    <w:basedOn w:val="Carpredefinitoparagrafo"/>
    <w:link w:val="Testonormale"/>
    <w:uiPriority w:val="99"/>
    <w:semiHidden/>
    <w:rsid w:val="00FE75D7"/>
    <w:rPr>
      <w:rFonts w:eastAsiaTheme="minorHAnsi" w:cstheme="minorBidi"/>
      <w:sz w:val="22"/>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979479">
      <w:bodyDiv w:val="1"/>
      <w:marLeft w:val="0"/>
      <w:marRight w:val="0"/>
      <w:marTop w:val="0"/>
      <w:marBottom w:val="0"/>
      <w:divBdr>
        <w:top w:val="none" w:sz="0" w:space="0" w:color="auto"/>
        <w:left w:val="none" w:sz="0" w:space="0" w:color="auto"/>
        <w:bottom w:val="none" w:sz="0" w:space="0" w:color="auto"/>
        <w:right w:val="none" w:sz="0" w:space="0" w:color="auto"/>
      </w:divBdr>
    </w:div>
    <w:div w:id="1820346766">
      <w:bodyDiv w:val="1"/>
      <w:marLeft w:val="0"/>
      <w:marRight w:val="0"/>
      <w:marTop w:val="0"/>
      <w:marBottom w:val="0"/>
      <w:divBdr>
        <w:top w:val="none" w:sz="0" w:space="0" w:color="auto"/>
        <w:left w:val="none" w:sz="0" w:space="0" w:color="auto"/>
        <w:bottom w:val="none" w:sz="0" w:space="0" w:color="auto"/>
        <w:right w:val="none" w:sz="0" w:space="0" w:color="auto"/>
      </w:divBdr>
    </w:div>
    <w:div w:id="1966620752">
      <w:marLeft w:val="0"/>
      <w:marRight w:val="0"/>
      <w:marTop w:val="334"/>
      <w:marBottom w:val="0"/>
      <w:divBdr>
        <w:top w:val="none" w:sz="0" w:space="0" w:color="auto"/>
        <w:left w:val="none" w:sz="0" w:space="0" w:color="auto"/>
        <w:bottom w:val="none" w:sz="0" w:space="0" w:color="auto"/>
        <w:right w:val="none" w:sz="0" w:space="0" w:color="auto"/>
      </w:divBdr>
      <w:divsChild>
        <w:div w:id="1966620753">
          <w:marLeft w:val="0"/>
          <w:marRight w:val="0"/>
          <w:marTop w:val="0"/>
          <w:marBottom w:val="0"/>
          <w:divBdr>
            <w:top w:val="none" w:sz="0" w:space="0" w:color="auto"/>
            <w:left w:val="none" w:sz="0" w:space="0" w:color="auto"/>
            <w:bottom w:val="none" w:sz="0" w:space="0" w:color="auto"/>
            <w:right w:val="none" w:sz="0" w:space="0" w:color="auto"/>
          </w:divBdr>
        </w:div>
      </w:divsChild>
    </w:div>
    <w:div w:id="1966620754">
      <w:marLeft w:val="0"/>
      <w:marRight w:val="0"/>
      <w:marTop w:val="435"/>
      <w:marBottom w:val="0"/>
      <w:divBdr>
        <w:top w:val="none" w:sz="0" w:space="0" w:color="auto"/>
        <w:left w:val="none" w:sz="0" w:space="0" w:color="auto"/>
        <w:bottom w:val="none" w:sz="0" w:space="0" w:color="auto"/>
        <w:right w:val="none" w:sz="0" w:space="0" w:color="auto"/>
      </w:divBdr>
      <w:divsChild>
        <w:div w:id="1966620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24700-CA2B-4F67-AFA1-ADE73FA91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811</Words>
  <Characters>4627</Characters>
  <Application>Microsoft Office Word</Application>
  <DocSecurity>0</DocSecurity>
  <Lines>38</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FAQ – NETWORK SCHEDULING (NORMAL CONDITIONS)</vt:lpstr>
      <vt:lpstr>FAQ – NETWORK SCHEDULING (NORMAL CONDITIONS)</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FAQ – NETWORK SCHEDULING (NORMAL CONDITIONS)</dc:title>
  <dc:creator>Anna Cagliano</dc:creator>
  <cp:lastModifiedBy>Carlo Rafele</cp:lastModifiedBy>
  <cp:revision>2</cp:revision>
  <cp:lastPrinted>2011-12-09T17:05:00Z</cp:lastPrinted>
  <dcterms:created xsi:type="dcterms:W3CDTF">2020-11-13T14:52:00Z</dcterms:created>
  <dcterms:modified xsi:type="dcterms:W3CDTF">2020-11-13T14:52:00Z</dcterms:modified>
</cp:coreProperties>
</file>