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mpilazione-separata-e-linkage"/>
    <w:p>
      <w:pPr>
        <w:pStyle w:val="Heading1"/>
      </w:pPr>
      <w:r>
        <w:t xml:space="preserve">Compilazione separata e linkage</w:t>
      </w:r>
    </w:p>
    <w:p>
      <w:pPr>
        <w:pStyle w:val="FirstParagraph"/>
      </w:pPr>
      <w:r>
        <w:t xml:space="preserve">Se vogliamo utilizzare più file per suddividere il codice secondo criteri</w:t>
      </w:r>
      <w:r>
        <w:t xml:space="preserve"> </w:t>
      </w:r>
      <w:r>
        <w:t xml:space="preserve">coerenti con le metodologie di programmazione, possiamo ricorrere alla</w:t>
      </w:r>
      <w:r>
        <w:t xml:space="preserve"> </w:t>
      </w:r>
      <w:r>
        <w:rPr>
          <w:b/>
          <w:bCs/>
        </w:rPr>
        <w:t xml:space="preserve">compilazione separata</w:t>
      </w:r>
      <w:r>
        <w:t xml:space="preserve"> </w:t>
      </w:r>
      <w:r>
        <w:t xml:space="preserve">e al</w:t>
      </w:r>
      <w:r>
        <w:t xml:space="preserve"> </w:t>
      </w:r>
      <w:r>
        <w:rPr>
          <w:b/>
          <w:bCs/>
        </w:rPr>
        <w:t xml:space="preserve">linkage</w:t>
      </w:r>
      <w:r>
        <w:t xml:space="preserve"> </w:t>
      </w:r>
      <w:r>
        <w:t xml:space="preserve">di più file sorgente per ottenere il</w:t>
      </w:r>
      <w:r>
        <w:t xml:space="preserve"> </w:t>
      </w:r>
      <w:r>
        <w:t xml:space="preserve">programma finale.</w:t>
      </w:r>
    </w:p>
    <w:p>
      <w:pPr>
        <w:pStyle w:val="BodyText"/>
      </w:pPr>
      <w:r>
        <w:t xml:space="preserve">In una prima fase interviene il</w:t>
      </w:r>
      <w:r>
        <w:t xml:space="preserve"> </w:t>
      </w:r>
      <w:r>
        <w:rPr>
          <w:b/>
          <w:bCs/>
        </w:rPr>
        <w:t xml:space="preserve">preprocessore</w:t>
      </w:r>
      <w:r>
        <w:t xml:space="preserve">, che si occupa di:</w:t>
      </w:r>
    </w:p>
    <w:p>
      <w:pPr>
        <w:pStyle w:val="Compact"/>
        <w:numPr>
          <w:ilvl w:val="0"/>
          <w:numId w:val="1001"/>
        </w:numPr>
      </w:pPr>
      <w:r>
        <w:t xml:space="preserve">espandere le direttive</w:t>
      </w:r>
      <w:r>
        <w:t xml:space="preserve"> </w:t>
      </w:r>
      <w:r>
        <w:rPr>
          <w:rStyle w:val="VerbatimChar"/>
        </w:rPr>
        <w:t xml:space="preserve">#include</w:t>
      </w:r>
    </w:p>
    <w:p>
      <w:pPr>
        <w:pStyle w:val="Compact"/>
        <w:numPr>
          <w:ilvl w:val="0"/>
          <w:numId w:val="1001"/>
        </w:numPr>
      </w:pPr>
      <w:r>
        <w:t xml:space="preserve">sostituire le macro definite con</w:t>
      </w:r>
      <w:r>
        <w:t xml:space="preserve"> </w:t>
      </w:r>
      <w:r>
        <w:rPr>
          <w:rStyle w:val="VerbatimChar"/>
        </w:rPr>
        <w:t xml:space="preserve">#define</w:t>
      </w:r>
    </w:p>
    <w:p>
      <w:pPr>
        <w:pStyle w:val="FirstParagraph"/>
      </w:pPr>
      <w:r>
        <w:t xml:space="preserve">Successivamente ogni file sorgente viene compilato separatamente, producendo</w:t>
      </w:r>
      <w:r>
        <w:t xml:space="preserve"> </w:t>
      </w:r>
      <w:r>
        <w:t xml:space="preserve">delle</w:t>
      </w:r>
      <w:r>
        <w:t xml:space="preserve"> </w:t>
      </w:r>
      <w:r>
        <w:rPr>
          <w:b/>
          <w:bCs/>
        </w:rPr>
        <w:t xml:space="preserve">unità di traduzione</w:t>
      </w:r>
      <w:r>
        <w:t xml:space="preserve">.</w:t>
      </w:r>
    </w:p>
    <w:p>
      <w:pPr>
        <w:pStyle w:val="BodyText"/>
      </w:pPr>
      <w:r>
        <w:t xml:space="preserve">Infine entra in gioco il</w:t>
      </w:r>
      <w:r>
        <w:t xml:space="preserve"> </w:t>
      </w:r>
      <w:r>
        <w:rPr>
          <w:b/>
          <w:bCs/>
        </w:rPr>
        <w:t xml:space="preserve">linker</w:t>
      </w:r>
      <w:r>
        <w:t xml:space="preserve">, il modulo che ha il compito di collegare</w:t>
      </w:r>
      <w:r>
        <w:t xml:space="preserve"> </w:t>
      </w:r>
      <w:r>
        <w:t xml:space="preserve">(linkare) tra loro le varie unità di traduzione per generare l’eseguibile</w:t>
      </w:r>
      <w:r>
        <w:t xml:space="preserve"> </w:t>
      </w:r>
      <w:r>
        <w:t xml:space="preserve">finale.</w:t>
      </w:r>
    </w:p>
    <w:p>
      <w:pPr>
        <w:pStyle w:val="BodyText"/>
      </w:pPr>
      <w:r>
        <w:t xml:space="preserve">Durante la fase di linkaggio è necessario prestare particolare attenzione a</w:t>
      </w:r>
      <w:r>
        <w:t xml:space="preserve"> </w:t>
      </w:r>
      <w:r>
        <w:t xml:space="preserve">come dichiariamo e definiamo le entità (variabili, funzioni, classi) nei diversi</w:t>
      </w:r>
      <w:r>
        <w:t xml:space="preserve"> </w:t>
      </w:r>
      <w:r>
        <w:t xml:space="preserve">file. Alcuni errori, infatti,</w:t>
      </w:r>
      <w:r>
        <w:t xml:space="preserve"> </w:t>
      </w:r>
      <w:r>
        <w:rPr>
          <w:b/>
          <w:bCs/>
        </w:rPr>
        <w:t xml:space="preserve">non vengono rilevati dal compilatore</w:t>
      </w:r>
      <w:r>
        <w:t xml:space="preserve">, ma</w:t>
      </w:r>
      <w:r>
        <w:t xml:space="preserve"> </w:t>
      </w:r>
      <w:r>
        <w:t xml:space="preserve">emergono solo in fase di linkaggio (ad esempio simboli duplicati o non</w:t>
      </w:r>
      <w:r>
        <w:t xml:space="preserve"> </w:t>
      </w:r>
      <w:r>
        <w:t xml:space="preserve">definiti).</w:t>
      </w:r>
    </w:p>
    <w:bookmarkEnd w:id="9"/>
    <w:bookmarkStart w:id="12" w:name="tipi-di-linkage"/>
    <w:p>
      <w:pPr>
        <w:pStyle w:val="Heading1"/>
      </w:pPr>
      <w:r>
        <w:t xml:space="preserve">Tipi di linkage</w:t>
      </w:r>
    </w:p>
    <w:p>
      <w:pPr>
        <w:pStyle w:val="FirstParagraph"/>
      </w:pPr>
      <w:r>
        <w:t xml:space="preserve">Esistono principalmente due tipi di linkage:</w:t>
      </w:r>
    </w:p>
    <w:p>
      <w:pPr>
        <w:pStyle w:val="Compact"/>
        <w:numPr>
          <w:ilvl w:val="0"/>
          <w:numId w:val="1002"/>
        </w:numPr>
      </w:pPr>
      <w:r>
        <w:t xml:space="preserve">linkage interno</w:t>
      </w:r>
    </w:p>
    <w:p>
      <w:pPr>
        <w:pStyle w:val="Compact"/>
        <w:numPr>
          <w:ilvl w:val="0"/>
          <w:numId w:val="1002"/>
        </w:numPr>
      </w:pPr>
      <w:r>
        <w:t xml:space="preserve">linkage esterno</w:t>
      </w:r>
    </w:p>
    <w:bookmarkStart w:id="10" w:name="linkage-interno"/>
    <w:p>
      <w:pPr>
        <w:pStyle w:val="Heading2"/>
      </w:pPr>
      <w:r>
        <w:t xml:space="preserve">Linkage interno</w:t>
      </w:r>
    </w:p>
    <w:p>
      <w:pPr>
        <w:pStyle w:val="FirstParagraph"/>
      </w:pPr>
      <w:r>
        <w:t xml:space="preserve">Un’entità con</w:t>
      </w:r>
      <w:r>
        <w:t xml:space="preserve"> </w:t>
      </w:r>
      <w:r>
        <w:rPr>
          <w:b/>
          <w:bCs/>
        </w:rPr>
        <w:t xml:space="preserve">linkage interno</w:t>
      </w:r>
      <w:r>
        <w:t xml:space="preserve"> </w:t>
      </w:r>
      <w:r>
        <w:t xml:space="preserve">è visibile</w:t>
      </w:r>
      <w:r>
        <w:t xml:space="preserve"> </w:t>
      </w:r>
      <w:r>
        <w:rPr>
          <w:b/>
          <w:bCs/>
        </w:rPr>
        <w:t xml:space="preserve">solo all’interno dell’unità di</w:t>
      </w:r>
      <w:r>
        <w:rPr>
          <w:b/>
          <w:bCs/>
        </w:rPr>
        <w:t xml:space="preserve"> </w:t>
      </w:r>
      <w:r>
        <w:rPr>
          <w:b/>
          <w:bCs/>
        </w:rPr>
        <w:t xml:space="preserve">traduzione</w:t>
      </w:r>
      <w:r>
        <w:t xml:space="preserve"> </w:t>
      </w:r>
      <w:r>
        <w:t xml:space="preserve">in cui è definita e non può essere utilizzata da altri file.</w:t>
      </w:r>
    </w:p>
    <w:p>
      <w:pPr>
        <w:pStyle w:val="BodyText"/>
      </w:pPr>
      <w:r>
        <w:t xml:space="preserve">Il linkage interno si ottiene dichiarando l’entità:</w:t>
      </w:r>
    </w:p>
    <w:p>
      <w:pPr>
        <w:pStyle w:val="Compact"/>
        <w:numPr>
          <w:ilvl w:val="0"/>
          <w:numId w:val="1003"/>
        </w:numPr>
      </w:pPr>
      <w:r>
        <w:t xml:space="preserve">con la parola chiave</w:t>
      </w:r>
      <w:r>
        <w:t xml:space="preserve"> </w:t>
      </w:r>
      <w:r>
        <w:rPr>
          <w:rStyle w:val="VerbatimChar"/>
        </w:rPr>
        <w:t xml:space="preserve">static</w:t>
      </w:r>
    </w:p>
    <w:p>
      <w:pPr>
        <w:pStyle w:val="Compact"/>
        <w:numPr>
          <w:ilvl w:val="0"/>
          <w:numId w:val="1003"/>
        </w:numPr>
      </w:pPr>
      <w:r>
        <w:t xml:space="preserve">oppure dichiarando una variabile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a livello di namespace globale</w:t>
      </w:r>
      <w:r>
        <w:t xml:space="preserve"> </w:t>
      </w:r>
      <w:r>
        <w:t xml:space="preserve">(comportamento predefinito in C++)</w:t>
      </w:r>
    </w:p>
    <w:p>
      <w:pPr>
        <w:pStyle w:val="FirstParagraph"/>
      </w:pPr>
      <w:r>
        <w:t xml:space="preserve">Questo meccanismo permette di evitare conflitti di nomi tra file diversi.</w:t>
      </w:r>
    </w:p>
    <w:bookmarkEnd w:id="10"/>
    <w:bookmarkStart w:id="11" w:name="linkage-esterno"/>
    <w:p>
      <w:pPr>
        <w:pStyle w:val="Heading2"/>
      </w:pPr>
      <w:r>
        <w:t xml:space="preserve">Linkage esterno</w:t>
      </w:r>
    </w:p>
    <w:p>
      <w:pPr>
        <w:pStyle w:val="FirstParagraph"/>
      </w:pPr>
      <w:r>
        <w:t xml:space="preserve">Un’entità con</w:t>
      </w:r>
      <w:r>
        <w:t xml:space="preserve"> </w:t>
      </w:r>
      <w:r>
        <w:rPr>
          <w:b/>
          <w:bCs/>
        </w:rPr>
        <w:t xml:space="preserve">linkage esterno</w:t>
      </w:r>
      <w:r>
        <w:t xml:space="preserve"> </w:t>
      </w:r>
      <w:r>
        <w:t xml:space="preserve">è visibile e utilizzabile anche da altre unità</w:t>
      </w:r>
      <w:r>
        <w:t xml:space="preserve"> </w:t>
      </w:r>
      <w:r>
        <w:t xml:space="preserve">di traduzione.</w:t>
      </w:r>
    </w:p>
    <w:p>
      <w:pPr>
        <w:pStyle w:val="BodyText"/>
      </w:pPr>
      <w:r>
        <w:t xml:space="preserve">Per ottenere il linkage esterno:</w:t>
      </w:r>
    </w:p>
    <w:p>
      <w:pPr>
        <w:pStyle w:val="Compact"/>
        <w:numPr>
          <w:ilvl w:val="0"/>
          <w:numId w:val="1004"/>
        </w:numPr>
      </w:pPr>
      <w:r>
        <w:t xml:space="preserve">la definizione dell’entità deve essere unica</w:t>
      </w:r>
    </w:p>
    <w:p>
      <w:pPr>
        <w:pStyle w:val="Compact"/>
        <w:numPr>
          <w:ilvl w:val="0"/>
          <w:numId w:val="1004"/>
        </w:numPr>
      </w:pPr>
      <w:r>
        <w:t xml:space="preserve">le altre unità di traduzione devono dichiarare l’entità tramite la parola</w:t>
      </w:r>
      <w:r>
        <w:t xml:space="preserve"> </w:t>
      </w:r>
      <w:r>
        <w:t xml:space="preserve">chiave</w:t>
      </w:r>
      <w:r>
        <w:t xml:space="preserve"> </w:t>
      </w:r>
      <w:r>
        <w:rPr>
          <w:rStyle w:val="VerbatimChar"/>
        </w:rPr>
        <w:t xml:space="preserve">extern</w:t>
      </w:r>
    </w:p>
    <w:p>
      <w:pPr>
        <w:pStyle w:val="FirstParagraph"/>
      </w:pPr>
      <w:r>
        <w:t xml:space="preserve">Il linkage esterno è tipicamente utilizzato per funzioni e variabili globali</w:t>
      </w:r>
      <w:r>
        <w:t xml:space="preserve"> </w:t>
      </w:r>
      <w:r>
        <w:t xml:space="preserve">condivise tra più file.</w:t>
      </w:r>
    </w:p>
    <w:bookmarkEnd w:id="11"/>
    <w:bookmarkEnd w:id="12"/>
    <w:bookmarkStart w:id="13" w:name="nota-metodologica"/>
    <w:p>
      <w:pPr>
        <w:pStyle w:val="Heading1"/>
      </w:pPr>
      <w:r>
        <w:t xml:space="preserve">Nota metodologica</w:t>
      </w:r>
    </w:p>
    <w:p>
      <w:pPr>
        <w:pStyle w:val="FirstParagraph"/>
      </w:pPr>
      <w:r>
        <w:t xml:space="preserve">La corretta gestione del linkage è fondamentale per:</w:t>
      </w:r>
    </w:p>
    <w:p>
      <w:pPr>
        <w:pStyle w:val="Compact"/>
        <w:numPr>
          <w:ilvl w:val="0"/>
          <w:numId w:val="1005"/>
        </w:numPr>
      </w:pPr>
      <w:r>
        <w:t xml:space="preserve">favorire la modularità del codice</w:t>
      </w:r>
    </w:p>
    <w:p>
      <w:pPr>
        <w:pStyle w:val="Compact"/>
        <w:numPr>
          <w:ilvl w:val="0"/>
          <w:numId w:val="1005"/>
        </w:numPr>
      </w:pPr>
      <w:r>
        <w:t xml:space="preserve">evitare dipendenze non controllate</w:t>
      </w:r>
    </w:p>
    <w:p>
      <w:pPr>
        <w:pStyle w:val="Compact"/>
        <w:numPr>
          <w:ilvl w:val="0"/>
          <w:numId w:val="1005"/>
        </w:numPr>
      </w:pPr>
      <w:r>
        <w:t xml:space="preserve">prevenire errori difficili da individuare in fase di sviluppo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2025-12-21T18:01:32Z</dcterms:created>
  <dcterms:modified xsi:type="dcterms:W3CDTF">2025-12-21T18:01:32Z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