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rPr>
          <w:rFonts w:ascii="Times New Roman" w:hAnsi="Times New Roman"/>
        </w:rPr>
      </w:pPr>
      <w:bookmarkStart w:id="0" w:name="la-risorsa-informazione"/>
      <w:r>
        <w:rPr>
          <w:rFonts w:ascii="Times New Roman" w:hAnsi="Times New Roman"/>
        </w:rPr>
        <w:t>03. La risorsa informazione</w:t>
      </w:r>
    </w:p>
    <w:p>
      <w:pPr>
        <w:pStyle w:val="Heading2"/>
        <w:rPr>
          <w:rFonts w:ascii="Times New Roman" w:hAnsi="Times New Roman"/>
        </w:rPr>
      </w:pPr>
      <w:bookmarkStart w:id="1" w:name="introduzione"/>
      <w:r>
        <w:rPr>
          <w:rFonts w:ascii="Times New Roman" w:hAnsi="Times New Roman"/>
        </w:rPr>
        <w:t>Introduzione</w:t>
      </w:r>
    </w:p>
    <w:p>
      <w:pPr>
        <w:pStyle w:val="FirstParagraph"/>
        <w:rPr>
          <w:rFonts w:ascii="Times New Roman" w:hAnsi="Times New Roman"/>
        </w:rPr>
      </w:pPr>
      <w:r>
        <w:rPr>
          <w:rFonts w:ascii="Times New Roman" w:hAnsi="Times New Roman"/>
        </w:rPr>
        <w:t>Il lavoro del sistema informativo ha come oggetto principale l’informazione. Tutti i processi aziendali, sia decisionali sia operativi, utilizzano informazione al proprio interno e la scambiano con altri processi e con l’ambiente esterno.</w:t>
      </w:r>
    </w:p>
    <w:p>
      <w:pPr>
        <w:pStyle w:val="BodyText"/>
        <w:rPr>
          <w:rFonts w:ascii="Times New Roman" w:hAnsi="Times New Roman"/>
        </w:rPr>
      </w:pPr>
      <w:r>
        <w:rPr>
          <w:rFonts w:ascii="Times New Roman" w:hAnsi="Times New Roman"/>
        </w:rPr>
        <w:t>L’informazione possiede caratteristiche peculiari che rendono il sistema informativo profondamente diverso dai tradizionali settori tecnici dell’azienda. Per questo motivo, per comprendere pienamente il funzionamento di un sistema informativo – oggi divenuto il vero e proprio sistema nervoso digitale delle organizzazioni – è necessario analizzare in modo specifico la natura dell’informazione.</w:t>
      </w:r>
    </w:p>
    <w:p>
      <w:pPr>
        <w:pStyle w:val="BodyText"/>
        <w:rPr>
          <w:rFonts w:ascii="Times New Roman" w:hAnsi="Times New Roman"/>
        </w:rPr>
      </w:pPr>
      <w:bookmarkStart w:id="2" w:name="introduzione"/>
      <w:r>
        <w:rPr>
          <w:rFonts w:ascii="Times New Roman" w:hAnsi="Times New Roman"/>
        </w:rPr>
        <w:t>In questo capitolo vengono esaminate le caratteristiche dell’informazione, le modalità con cui viene rappresentata, conservata e trasmessa, e il suo ruolo nella costruzione della conoscenza organizzativa.</w:t>
      </w:r>
      <w:bookmarkEnd w:id="2"/>
    </w:p>
    <w:p>
      <w:pPr>
        <w:pStyle w:val="Heading2"/>
        <w:rPr>
          <w:rFonts w:ascii="Times New Roman" w:hAnsi="Times New Roman"/>
        </w:rPr>
      </w:pPr>
      <w:bookmarkStart w:id="3" w:name="linformazione-come-risorsa-organizzativa"/>
      <w:r>
        <w:rPr>
          <w:rFonts w:ascii="Times New Roman" w:hAnsi="Times New Roman"/>
        </w:rPr>
        <w:t>L’informazione come risorsa organizzativa</w:t>
      </w:r>
    </w:p>
    <w:p>
      <w:pPr>
        <w:pStyle w:val="FirstParagraph"/>
        <w:rPr>
          <w:rFonts w:ascii="Times New Roman" w:hAnsi="Times New Roman"/>
        </w:rPr>
      </w:pPr>
      <w:r>
        <w:rPr>
          <w:rFonts w:ascii="Times New Roman" w:hAnsi="Times New Roman"/>
        </w:rPr>
        <w:t>L’informazione è la principale risorsa scambiata, selezionata ed elaborata nelle attività gestionali di coordinamento e controllo. Ogni attività svolta all’interno di un’organizzazione, anche se non esplicitamente gestionale, ha sempre un contenuto informativo e contribuisce alla produzione o all’elaborazione di informazione.</w:t>
      </w:r>
    </w:p>
    <w:p>
      <w:pPr>
        <w:pStyle w:val="BodyText"/>
        <w:rPr>
          <w:rFonts w:ascii="Times New Roman" w:hAnsi="Times New Roman"/>
        </w:rPr>
      </w:pPr>
      <w:bookmarkStart w:id="4" w:name="linformazione-come-risorsa-organizzativa"/>
      <w:r>
        <w:rPr>
          <w:rFonts w:ascii="Times New Roman" w:hAnsi="Times New Roman"/>
        </w:rPr>
        <w:t>L’informazione è una risorsa immateriale, o intangibile, ed è alla base di altre risorse immateriali fondamentali come la conoscenza, l’esperienza individuale e l’esperienza organizzativa. A differenza delle risorse materiali, l’informazione non viene distrutta dal suo utilizzo (è non-depletable), può generare nuova informazione (self-generating) ed è difficilmente misurabile in termini puramente quantitativi.</w:t>
      </w:r>
      <w:bookmarkEnd w:id="4"/>
    </w:p>
    <w:p>
      <w:pPr>
        <w:pStyle w:val="Heading2"/>
        <w:rPr>
          <w:rFonts w:ascii="Times New Roman" w:hAnsi="Times New Roman"/>
        </w:rPr>
      </w:pPr>
      <w:bookmarkStart w:id="5" w:name="Xdfc4972b806ba738bc2d8aa9592daa6973af330"/>
      <w:r>
        <w:rPr>
          <w:rFonts w:ascii="Times New Roman" w:hAnsi="Times New Roman"/>
        </w:rPr>
        <w:t>Il ciclo di costruzione dell’informazione e della conoscenza</w:t>
      </w:r>
    </w:p>
    <w:p>
      <w:pPr>
        <w:pStyle w:val="FirstParagraph"/>
        <w:rPr>
          <w:rFonts w:ascii="Times New Roman" w:hAnsi="Times New Roman"/>
        </w:rPr>
      </w:pPr>
      <w:r>
        <w:rPr>
          <w:rFonts w:ascii="Times New Roman" w:hAnsi="Times New Roman"/>
        </w:rPr>
        <w:t>La costruzione dell’informazione e della conoscenza avviene attraverso una serie di stadi successivi. Questo processo è stato formalizzato nel modello noto come Piramide della Conoscenza o modello DIKW, acronimo dei termini inglesi Data, Information, Knowledge e Wisdom.</w:t>
      </w:r>
    </w:p>
    <w:p>
      <w:pPr>
        <w:pStyle w:val="BodyText"/>
        <w:rPr>
          <w:rFonts w:ascii="Times New Roman" w:hAnsi="Times New Roman"/>
        </w:rPr>
      </w:pPr>
      <w:r>
        <w:rPr>
          <w:rFonts w:ascii="Times New Roman" w:hAnsi="Times New Roman"/>
        </w:rPr>
        <w:t>Il modello DIKW è ampiamente utilizzato nell’ambito del knowledge management per descrivere il passaggio dai dati grezzi alla saggezza decisionale.</w:t>
      </w:r>
    </w:p>
    <w:p>
      <w:pPr>
        <w:pStyle w:val="CaptionedFigure"/>
        <w:rPr>
          <w:rFonts w:ascii="Times New Roman" w:hAnsi="Times New Roman"/>
        </w:rPr>
      </w:pPr>
      <w:r>
        <w:rPr>
          <w:rFonts w:ascii="Times New Roman" w:hAnsi="Times New Roman"/>
        </w:rPr>
        <w:drawing>
          <wp:inline distT="0" distB="0" distL="0" distR="0">
            <wp:extent cx="3597910" cy="1744345"/>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2"/>
                    <a:stretch>
                      <a:fillRect/>
                    </a:stretch>
                  </pic:blipFill>
                  <pic:spPr bwMode="auto">
                    <a:xfrm>
                      <a:off x="0" y="0"/>
                      <a:ext cx="3597910" cy="1744345"/>
                    </a:xfrm>
                    <a:prstGeom prst="rect">
                      <a:avLst/>
                    </a:prstGeom>
                    <a:noFill/>
                  </pic:spPr>
                </pic:pic>
              </a:graphicData>
            </a:graphic>
          </wp:inline>
        </w:drawing>
      </w:r>
    </w:p>
    <w:p>
      <w:pPr>
        <w:pStyle w:val="ImageCaption"/>
        <w:rPr>
          <w:rFonts w:ascii="Times New Roman" w:hAnsi="Times New Roman"/>
        </w:rPr>
      </w:pPr>
      <w:bookmarkStart w:id="6" w:name="Xdfc4972b806ba738bc2d8aa9592daa6973af330"/>
      <w:r>
        <w:rPr>
          <w:rFonts w:ascii="Times New Roman" w:hAnsi="Times New Roman"/>
        </w:rPr>
        <w:t>Piramide DIKW</w:t>
      </w:r>
      <w:bookmarkEnd w:id="6"/>
    </w:p>
    <w:p>
      <w:pPr>
        <w:pStyle w:val="Heading2"/>
        <w:rPr>
          <w:rFonts w:ascii="Times New Roman" w:hAnsi="Times New Roman"/>
        </w:rPr>
      </w:pPr>
      <w:bookmarkStart w:id="7" w:name="i-dati-data"/>
      <w:r>
        <w:rPr>
          <w:rFonts w:ascii="Times New Roman" w:hAnsi="Times New Roman"/>
        </w:rPr>
        <w:t>I dati (Data)</w:t>
      </w:r>
    </w:p>
    <w:p>
      <w:pPr>
        <w:pStyle w:val="FirstParagraph"/>
        <w:rPr>
          <w:rFonts w:ascii="Times New Roman" w:hAnsi="Times New Roman"/>
        </w:rPr>
      </w:pPr>
      <w:r>
        <w:rPr>
          <w:rFonts w:ascii="Times New Roman" w:hAnsi="Times New Roman"/>
        </w:rPr>
        <w:t>I dati rappresentano il materiale informativo grezzo, non ancora elaborato dal soggetto che li riceve. Essi descrivono fatti distinti e oggettivi, riferiti a eventi osservabili, ma presi singolarmente non possiedono un significato autonomo.</w:t>
      </w:r>
    </w:p>
    <w:p>
      <w:pPr>
        <w:pStyle w:val="BodyText"/>
        <w:rPr>
          <w:rFonts w:ascii="Times New Roman" w:hAnsi="Times New Roman"/>
        </w:rPr>
      </w:pPr>
      <w:r>
        <w:rPr>
          <w:rFonts w:ascii="Times New Roman" w:hAnsi="Times New Roman"/>
        </w:rPr>
        <w:t>In ambito organizzativo i dati possono essere visti come registrazioni strutturate delle transazioni. Ad esempio, una singola operazione di rifornimento presso una stazione di servizio può essere descritta tramite dati quali la data, la quantità di carburante erogata e il costo dell’operazione. Tuttavia, questi dati non spiegano il comportamento del cliente, né permettono di trarre conclusioni sulla gestione della stazione di servizio.</w:t>
      </w:r>
    </w:p>
    <w:p>
      <w:pPr>
        <w:pStyle w:val="BodyText"/>
        <w:rPr>
          <w:rFonts w:ascii="Times New Roman" w:hAnsi="Times New Roman"/>
        </w:rPr>
      </w:pPr>
      <w:bookmarkStart w:id="8" w:name="i-dati-data"/>
      <w:r>
        <w:rPr>
          <w:rFonts w:ascii="Times New Roman" w:hAnsi="Times New Roman"/>
        </w:rPr>
        <w:t>I dati costituiscono quindi la base su cui costruire i livelli informativi successivi, ma da soli non sono sufficienti a supportare decisioni.</w:t>
      </w:r>
      <w:bookmarkEnd w:id="8"/>
    </w:p>
    <w:p>
      <w:pPr>
        <w:pStyle w:val="Heading2"/>
        <w:rPr>
          <w:rFonts w:ascii="Times New Roman" w:hAnsi="Times New Roman"/>
        </w:rPr>
      </w:pPr>
      <w:bookmarkStart w:id="9" w:name="linformazione-information"/>
      <w:r>
        <w:rPr>
          <w:rFonts w:ascii="Times New Roman" w:hAnsi="Times New Roman"/>
        </w:rPr>
        <w:t>L’informazione (Information)</w:t>
      </w:r>
    </w:p>
    <w:p>
      <w:pPr>
        <w:pStyle w:val="FirstParagraph"/>
        <w:rPr>
          <w:rFonts w:ascii="Times New Roman" w:hAnsi="Times New Roman"/>
        </w:rPr>
      </w:pPr>
      <w:r>
        <w:rPr>
          <w:rFonts w:ascii="Times New Roman" w:hAnsi="Times New Roman"/>
        </w:rPr>
        <w:t>L’informazione nasce quando i dati vengono elaborati cognitivamente, organizzati e messi in relazione all’interno di un contesto. È il contesto che conferisce significato ai dati.</w:t>
      </w:r>
    </w:p>
    <w:p>
      <w:pPr>
        <w:pStyle w:val="BodyText"/>
        <w:rPr>
          <w:rFonts w:ascii="Times New Roman" w:hAnsi="Times New Roman"/>
        </w:rPr>
      </w:pPr>
      <w:r>
        <w:rPr>
          <w:rFonts w:ascii="Times New Roman" w:hAnsi="Times New Roman"/>
        </w:rPr>
        <w:t>Trasformare dati in informazione significa selezionarli, interpretarli, correlarli e presentarli in una forma comprensibile. Un insieme di dati può risultare privo di significato se osservato isolatamente, ma diventare informativo se inserito in un contesto rilevante.</w:t>
      </w:r>
    </w:p>
    <w:p>
      <w:pPr>
        <w:pStyle w:val="BodyText"/>
        <w:rPr>
          <w:rFonts w:ascii="Times New Roman" w:hAnsi="Times New Roman"/>
        </w:rPr>
      </w:pPr>
      <w:r>
        <w:rPr>
          <w:rFonts w:ascii="Times New Roman" w:hAnsi="Times New Roman"/>
        </w:rPr>
        <w:t>Nel caso informatico, l’analisi dei dati di accesso a un portale Web, correlando le azioni di un singolo utente e ricostruendo il suo percorso di navigazione, produce informazione utile sul comportamento dell’utente stesso.</w:t>
      </w:r>
    </w:p>
    <w:p>
      <w:pPr>
        <w:pStyle w:val="BodyText"/>
        <w:rPr>
          <w:rFonts w:ascii="Times New Roman" w:hAnsi="Times New Roman"/>
        </w:rPr>
      </w:pPr>
      <w:bookmarkStart w:id="10" w:name="linformazione-information"/>
      <w:r>
        <w:rPr>
          <w:rFonts w:ascii="Times New Roman" w:hAnsi="Times New Roman"/>
        </w:rPr>
        <w:t>L’informazione, a differenza del dato, è in grado di modificare la percezione e il ragionamento di chi la riceve.</w:t>
      </w:r>
      <w:bookmarkEnd w:id="10"/>
    </w:p>
    <w:p>
      <w:pPr>
        <w:pStyle w:val="Heading2"/>
        <w:rPr>
          <w:rFonts w:ascii="Times New Roman" w:hAnsi="Times New Roman"/>
        </w:rPr>
      </w:pPr>
      <w:bookmarkStart w:id="11" w:name="la-conoscenza-knowledge"/>
      <w:r>
        <w:rPr>
          <w:rFonts w:ascii="Times New Roman" w:hAnsi="Times New Roman"/>
        </w:rPr>
        <w:t>La conoscenza (Knowledge)</w:t>
      </w:r>
    </w:p>
    <w:p>
      <w:pPr>
        <w:pStyle w:val="FirstParagraph"/>
        <w:rPr>
          <w:rFonts w:ascii="Times New Roman" w:hAnsi="Times New Roman"/>
        </w:rPr>
      </w:pPr>
      <w:r>
        <w:rPr>
          <w:rFonts w:ascii="Times New Roman" w:hAnsi="Times New Roman"/>
        </w:rPr>
        <w:t>La conoscenza può essere definita come informazione applicata. Essa risponde non solo alla domanda “che cosa”, ma anche alle domande “come” e “quando” utilizzare l’informazione.</w:t>
      </w:r>
    </w:p>
    <w:p>
      <w:pPr>
        <w:pStyle w:val="BodyText"/>
        <w:rPr>
          <w:rFonts w:ascii="Times New Roman" w:hAnsi="Times New Roman"/>
        </w:rPr>
      </w:pPr>
      <w:r>
        <w:rPr>
          <w:rFonts w:ascii="Times New Roman" w:hAnsi="Times New Roman"/>
        </w:rPr>
        <w:t>La conoscenza nasce dall’esperienza e dall’interazione tra individui, processi e contesto. Non è semplicemente accumulabile come i dati o l’informazione, ma richiede un processo di interiorizzazione da parte delle persone.</w:t>
      </w:r>
    </w:p>
    <w:p>
      <w:pPr>
        <w:pStyle w:val="BodyText"/>
        <w:rPr>
          <w:rFonts w:ascii="Times New Roman" w:hAnsi="Times New Roman"/>
        </w:rPr>
      </w:pPr>
      <w:bookmarkStart w:id="12" w:name="la-conoscenza-knowledge"/>
      <w:r>
        <w:rPr>
          <w:rFonts w:ascii="Times New Roman" w:hAnsi="Times New Roman"/>
        </w:rPr>
        <w:t>In ambito organizzativo, la conoscenza consente di comprendere i modelli di comportamento, di prevedere eventi futuri e di supportare decisioni complesse.</w:t>
      </w:r>
      <w:bookmarkEnd w:id="12"/>
    </w:p>
    <w:p>
      <w:pPr>
        <w:pStyle w:val="Heading2"/>
        <w:rPr>
          <w:rFonts w:ascii="Times New Roman" w:hAnsi="Times New Roman"/>
        </w:rPr>
      </w:pPr>
      <w:bookmarkStart w:id="13" w:name="la-saggezza-wisdom"/>
      <w:r>
        <w:rPr>
          <w:rFonts w:ascii="Times New Roman" w:hAnsi="Times New Roman"/>
        </w:rPr>
        <w:t>La saggezza (Wisdom)</w:t>
      </w:r>
    </w:p>
    <w:p>
      <w:pPr>
        <w:pStyle w:val="FirstParagraph"/>
        <w:rPr>
          <w:rFonts w:ascii="Times New Roman" w:hAnsi="Times New Roman"/>
        </w:rPr>
      </w:pPr>
      <w:r>
        <w:rPr>
          <w:rFonts w:ascii="Times New Roman" w:hAnsi="Times New Roman"/>
        </w:rPr>
        <w:t>La saggezza rappresenta il livello più alto del modello DIKW ed è una forma di meta-conoscenza. Essa deriva dalla capacità di valutare criticamente la conoscenza, tenendo conto dell’esperienza, delle conseguenze e del contesto complessivo.</w:t>
      </w:r>
    </w:p>
    <w:p>
      <w:pPr>
        <w:pStyle w:val="BodyText"/>
        <w:rPr>
          <w:rFonts w:ascii="Times New Roman" w:hAnsi="Times New Roman"/>
        </w:rPr>
      </w:pPr>
      <w:r>
        <w:rPr>
          <w:rFonts w:ascii="Times New Roman" w:hAnsi="Times New Roman"/>
        </w:rPr>
        <w:t>La saggezza non può essere creata o trasferita nello stesso modo dei dati o dell’informazione. Può essere solo favorita attraverso l’esperienza, la riflessione e la comprensione profonda dei processi.</w:t>
      </w:r>
    </w:p>
    <w:p>
      <w:pPr>
        <w:pStyle w:val="BodyText"/>
        <w:rPr>
          <w:rFonts w:ascii="Times New Roman" w:hAnsi="Times New Roman"/>
        </w:rPr>
      </w:pPr>
      <w:bookmarkStart w:id="14" w:name="la-saggezza-wisdom"/>
      <w:r>
        <w:rPr>
          <w:rFonts w:ascii="Times New Roman" w:hAnsi="Times New Roman"/>
        </w:rPr>
        <w:t>Alcuni autori introducono uno stadio intermedio tra conoscenza e saggezza, definito comprensione o consapevolezza (understanding), che rappresenta la capacità di cogliere le relazioni profonde tra i fenomeni osservati.</w:t>
      </w:r>
      <w:bookmarkEnd w:id="14"/>
    </w:p>
    <w:p>
      <w:pPr>
        <w:pStyle w:val="Heading2"/>
        <w:rPr>
          <w:rFonts w:ascii="Times New Roman" w:hAnsi="Times New Roman"/>
        </w:rPr>
      </w:pPr>
      <w:bookmarkStart w:id="15" w:name="tipologie-di-conoscenza"/>
      <w:r>
        <w:rPr>
          <w:rFonts w:ascii="Times New Roman" w:hAnsi="Times New Roman"/>
        </w:rPr>
        <w:t>Tipologie di conoscenza</w:t>
      </w:r>
    </w:p>
    <w:p>
      <w:pPr>
        <w:pStyle w:val="FirstParagraph"/>
        <w:rPr>
          <w:rFonts w:ascii="Times New Roman" w:hAnsi="Times New Roman"/>
        </w:rPr>
      </w:pPr>
      <w:r>
        <w:rPr>
          <w:rFonts w:ascii="Times New Roman" w:hAnsi="Times New Roman"/>
        </w:rPr>
        <w:t>Nel knowledge management si distinguono principalmente tre tipi di conoscenza: la conoscenza esplicita, la conoscenza tacita e la conoscenza incorporata.</w:t>
      </w:r>
    </w:p>
    <w:p>
      <w:pPr>
        <w:pStyle w:val="BodyText"/>
        <w:rPr>
          <w:rFonts w:ascii="Times New Roman" w:hAnsi="Times New Roman"/>
        </w:rPr>
      </w:pPr>
      <w:r>
        <w:rPr>
          <w:rFonts w:ascii="Times New Roman" w:hAnsi="Times New Roman"/>
        </w:rPr>
        <w:t>La conoscenza esplicita è quella formalizzata e codificata in documenti, manuali, procedure e regole. È facilmente trasmissibile e conservabile.</w:t>
      </w:r>
    </w:p>
    <w:p>
      <w:pPr>
        <w:pStyle w:val="BodyText"/>
        <w:rPr>
          <w:rFonts w:ascii="Times New Roman" w:hAnsi="Times New Roman"/>
        </w:rPr>
      </w:pPr>
      <w:r>
        <w:rPr>
          <w:rFonts w:ascii="Times New Roman" w:hAnsi="Times New Roman"/>
        </w:rPr>
        <w:t>La conoscenza tacita è invece personale, intuitiva e difficilmente formalizzabile. Comprende competenze, valori, intuizioni ed esperienze individuali. Il cosiddetto “saper fare” rientra in questa categoria.</w:t>
      </w:r>
    </w:p>
    <w:p>
      <w:pPr>
        <w:pStyle w:val="BodyText"/>
        <w:rPr>
          <w:rFonts w:ascii="Times New Roman" w:hAnsi="Times New Roman"/>
        </w:rPr>
      </w:pPr>
      <w:bookmarkStart w:id="16" w:name="tipologie-di-conoscenza"/>
      <w:r>
        <w:rPr>
          <w:rFonts w:ascii="Times New Roman" w:hAnsi="Times New Roman"/>
        </w:rPr>
        <w:t>La conoscenza incorporata è una forma di conoscenza esplicita che, pur essendo formalizzata, non è immediatamente riutilizzabile senza un adeguato livello di esperienza. Un processo formalizzato, ad esempio, può essere eseguito meccanicamente senza comprenderne le ragioni profonde.</w:t>
      </w:r>
      <w:bookmarkEnd w:id="16"/>
    </w:p>
    <w:p>
      <w:pPr>
        <w:pStyle w:val="Heading2"/>
        <w:rPr>
          <w:rFonts w:ascii="Times New Roman" w:hAnsi="Times New Roman"/>
        </w:rPr>
      </w:pPr>
      <w:bookmarkStart w:id="17" w:name="Xccd0083416b381e6ffe941d1e715d45a4319c0a"/>
      <w:r>
        <w:rPr>
          <w:rFonts w:ascii="Times New Roman" w:hAnsi="Times New Roman"/>
        </w:rPr>
        <w:t>La spirale della conoscenza di Nonaka e Takeuchi</w:t>
      </w:r>
    </w:p>
    <w:p>
      <w:pPr>
        <w:pStyle w:val="FirstParagraph"/>
        <w:rPr>
          <w:rFonts w:ascii="Times New Roman" w:hAnsi="Times New Roman"/>
        </w:rPr>
      </w:pPr>
      <w:r>
        <w:rPr>
          <w:rFonts w:ascii="Times New Roman" w:hAnsi="Times New Roman"/>
        </w:rPr>
        <w:t>Nonaka e Takeuchi hanno descritto il processo di creazione della conoscenza organizzativa attraverso il modello della spirale della conoscenza.</w:t>
      </w:r>
    </w:p>
    <w:p>
      <w:pPr>
        <w:pStyle w:val="BodyText"/>
        <w:rPr>
          <w:rFonts w:ascii="Times New Roman" w:hAnsi="Times New Roman"/>
        </w:rPr>
      </w:pPr>
      <w:r>
        <w:rPr>
          <w:rFonts w:ascii="Times New Roman" w:hAnsi="Times New Roman"/>
        </w:rPr>
        <w:t>Il modello prevede quattro modalità di conversione tra conoscenza tacita ed esplicita. La socializzazione rappresenta il passaggio da conoscenza tacita a tacita attraverso l’interazione tra individui. L’esternalizzazione consiste nella trasformazione della conoscenza tacita in conoscenza esplicita mediante la formalizzazione. La combinazione riguarda la rielaborazione di conoscenza esplicita per generare nuova conoscenza esplicita. L’interiorizzazione descrive il processo inverso, in cui la conoscenza esplicita viene assimilata e trasformata in conoscenza tacita.</w:t>
      </w:r>
    </w:p>
    <w:p>
      <w:pPr>
        <w:pStyle w:val="BodyText"/>
        <w:rPr>
          <w:rFonts w:ascii="Times New Roman" w:hAnsi="Times New Roman"/>
        </w:rPr>
      </w:pPr>
      <w:r>
        <w:rPr>
          <w:rFonts w:ascii="Times New Roman" w:hAnsi="Times New Roman"/>
        </w:rPr>
        <w:t>Il termine “spirale” evidenzia il fatto che questo processo non è lineare, ma ciclico e cumulativo, e consente la crescita continua della conoscenza a livello individuale e organizzativo.</w:t>
      </w:r>
    </w:p>
    <w:p>
      <w:pPr>
        <w:pStyle w:val="CaptionedFigure"/>
        <w:rPr>
          <w:rFonts w:ascii="Times New Roman" w:hAnsi="Times New Roman"/>
        </w:rPr>
      </w:pPr>
      <w:r>
        <w:rPr>
          <w:rFonts w:ascii="Times New Roman" w:hAnsi="Times New Roman"/>
        </w:rPr>
        <w:drawing>
          <wp:inline distT="0" distB="0" distL="0" distR="0">
            <wp:extent cx="3995420" cy="2967355"/>
            <wp:effectExtent l="0" t="0" r="0" b="0"/>
            <wp:docPr id="2" name="Immagin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2" descr=""/>
                    <pic:cNvPicPr>
                      <a:picLocks noChangeAspect="1" noChangeArrowheads="1"/>
                    </pic:cNvPicPr>
                  </pic:nvPicPr>
                  <pic:blipFill>
                    <a:blip r:embed="rId3"/>
                    <a:stretch>
                      <a:fillRect/>
                    </a:stretch>
                  </pic:blipFill>
                  <pic:spPr bwMode="auto">
                    <a:xfrm>
                      <a:off x="0" y="0"/>
                      <a:ext cx="3995420" cy="2967355"/>
                    </a:xfrm>
                    <a:prstGeom prst="rect">
                      <a:avLst/>
                    </a:prstGeom>
                    <a:noFill/>
                  </pic:spPr>
                </pic:pic>
              </a:graphicData>
            </a:graphic>
          </wp:inline>
        </w:drawing>
      </w:r>
    </w:p>
    <w:p>
      <w:pPr>
        <w:pStyle w:val="ImageCaption"/>
        <w:spacing w:before="0" w:after="120"/>
        <w:rPr>
          <w:rFonts w:ascii="Times New Roman" w:hAnsi="Times New Roman"/>
        </w:rPr>
      </w:pPr>
      <w:bookmarkStart w:id="18" w:name="la-risorsa-informazione"/>
      <w:bookmarkStart w:id="19" w:name="Xccd0083416b381e6ffe941d1e715d45a4319c0a"/>
      <w:r>
        <w:rPr>
          <w:rFonts w:ascii="Times New Roman" w:hAnsi="Times New Roman"/>
        </w:rPr>
        <w:t>Spirale della conoscenza</w:t>
      </w:r>
      <w:bookmarkEnd w:id="18"/>
      <w:bookmarkEnd w:id="19"/>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1"/>
    <w:family w:val="swiss"/>
    <w:pitch w:val="default"/>
  </w:font>
  <w:font w:name="Aptos Display">
    <w:charset w:val="01"/>
    <w:family w:val="swiss"/>
    <w:pitch w:val="default"/>
  </w:font>
  <w:font w:name="Consolas">
    <w:charset w:val="01"/>
    <w:family w:val="swiss"/>
    <w:pitch w:val="default"/>
  </w:font>
  <w:font w:name="Arial">
    <w:charset w:val="01"/>
    <w:family w:val="swiss"/>
    <w:pitch w:val="default"/>
  </w:font>
  <w:font w:name="Times New Roman">
    <w:charset w:val="01"/>
    <w:family w:val="roman"/>
    <w:pitch w:val="variable"/>
  </w:font>
</w:fonts>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Caratterinotaapidipagina">
    <w:name w:val="Caratteri nota a piè di pagina"/>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Titolo">
    <w:name w:val="Titolo"/>
    <w:basedOn w:val="Normal"/>
    <w:next w:val="BodyText"/>
    <w:qFormat/>
    <w:pPr>
      <w:keepNext w:val="true"/>
      <w:spacing w:before="240" w:after="120"/>
    </w:pPr>
    <w:rPr>
      <w:rFonts w:ascii="Arial" w:hAnsi="Arial" w:eastAsia="Microsoft YaHei" w:cs="Arial"/>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ascii="Arial" w:hAnsi="Arial" w:cs="Arial"/>
      <w:sz w:val="24"/>
    </w:rPr>
  </w:style>
  <w:style w:type="paragraph" w:styleId="Caption">
    <w:name w:val="caption"/>
    <w:basedOn w:val="Normal"/>
    <w:link w:val="BodyTextChar"/>
    <w:qFormat/>
    <w:pPr>
      <w:spacing w:before="0" w:after="120"/>
    </w:pPr>
    <w:rPr>
      <w:i/>
    </w:rPr>
  </w:style>
  <w:style w:type="paragraph" w:styleId="Indice">
    <w:name w:val="Indice"/>
    <w:basedOn w:val="Normal"/>
    <w:qFormat/>
    <w:pPr>
      <w:suppressLineNumbers/>
    </w:pPr>
    <w:rPr>
      <w:rFonts w:ascii="Arial" w:hAnsi="Arial" w:cs="Arial"/>
      <w:sz w:val="24"/>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a" w:customStyle="1">
    <w:name w:val="Figura"/>
    <w:basedOn w:val="Normal"/>
    <w:qFormat/>
    <w:pPr/>
    <w:rPr/>
  </w:style>
  <w:style w:type="paragraph" w:styleId="CaptionedFigure" w:customStyle="1">
    <w:name w:val="Captioned Figure"/>
    <w:basedOn w:val="Figura"/>
    <w:qFormat/>
    <w:pPr>
      <w:keepNext w:val="true"/>
    </w:pPr>
    <w:rPr/>
  </w:style>
  <w:style w:type="paragraph" w:styleId="IndexHeading">
    <w:name w:val="index heading"/>
    <w:basedOn w:val="Titolo"/>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LibreOffice/25.2.7.2$Windows_X86_64 LibreOffice_project/5cbfd1ab6520636bb5f7b99185aa69bd7456825d</Application>
  <AppVersion>15.0000</AppVersion>
  <Pages>4</Pages>
  <Words>912</Words>
  <Characters>5951</Characters>
  <CharactersWithSpaces>6826</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2025-12-22T17:45:07Z</dcterms:created>
  <dc:creator/>
  <dc:description/>
  <dc:language>it-IT</dc:language>
  <cp:lastModifiedBy/>
  <dcterms:modified xsi:type="dcterms:W3CDTF">2025-12-22T18:46:14Z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