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6" w:tblpY="805"/>
        <w:tblW w:w="10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Tableaux du CV : le premier tableau comporte le titre, et le deuxième la partie principale du CV"/>
      </w:tblPr>
      <w:tblGrid>
        <w:gridCol w:w="10757"/>
      </w:tblGrid>
      <w:tr w:rsidR="00A704CA" w:rsidRPr="00687620" w14:paraId="22062294" w14:textId="77777777" w:rsidTr="00F97E7E">
        <w:trPr>
          <w:trHeight w:val="2215"/>
        </w:trPr>
        <w:tc>
          <w:tcPr>
            <w:tcW w:w="10757" w:type="dxa"/>
          </w:tcPr>
          <w:p w14:paraId="5572298F" w14:textId="77777777" w:rsidR="00A704CA" w:rsidRPr="00D1699E" w:rsidRDefault="009C552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b/>
                <w:bCs/>
                <w:sz w:val="32"/>
                <w:lang w:val="en-GB"/>
              </w:rPr>
            </w:pPr>
            <w:r w:rsidRPr="00D1699E">
              <w:rPr>
                <w:rFonts w:ascii="Calibri Light" w:hAnsi="Calibri Light" w:cs="Calibri Light"/>
                <w:b/>
                <w:bCs/>
                <w:sz w:val="32"/>
                <w:lang w:val="en-GB"/>
              </w:rPr>
              <w:t>Luca De Gennaro Aquino</w:t>
            </w:r>
          </w:p>
          <w:p w14:paraId="17B12BF8" w14:textId="77777777" w:rsidR="00E83E87" w:rsidRPr="00D1699E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</w:pPr>
          </w:p>
          <w:p w14:paraId="02F0747B" w14:textId="37001706" w:rsidR="00E83E87" w:rsidRPr="00D1699E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>Grenoble Ecole de Mana</w:t>
            </w:r>
            <w:r w:rsidR="00F11FBA"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>ge</w:t>
            </w:r>
            <w:r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>ment</w:t>
            </w:r>
          </w:p>
          <w:p w14:paraId="67444FED" w14:textId="2367D518" w:rsidR="00274C5D" w:rsidRPr="00274C5D" w:rsidRDefault="00274C5D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74C5D">
              <w:rPr>
                <w:rFonts w:ascii="Calibri Light" w:hAnsi="Calibri Light" w:cs="Calibri Light"/>
                <w:sz w:val="20"/>
                <w:szCs w:val="20"/>
                <w:lang w:val="en-GB"/>
              </w:rPr>
              <w:t>Department of Accounting, Law and Finance</w:t>
            </w:r>
          </w:p>
          <w:p w14:paraId="5DB14CAD" w14:textId="77777777" w:rsidR="00D25DAE" w:rsidRPr="00687620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12 Rue Pierre Semard</w:t>
            </w:r>
          </w:p>
          <w:p w14:paraId="75D77950" w14:textId="77777777" w:rsidR="00E83E87" w:rsidRPr="00687620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 xml:space="preserve">38000 Grenoble, </w:t>
            </w:r>
            <w:r w:rsidR="00D25DAE" w:rsidRPr="00687620">
              <w:rPr>
                <w:rFonts w:ascii="Calibri Light" w:hAnsi="Calibri Light" w:cs="Calibri Light"/>
                <w:sz w:val="20"/>
                <w:szCs w:val="20"/>
              </w:rPr>
              <w:t>France</w:t>
            </w:r>
            <w:bookmarkStart w:id="0" w:name="_GoBack"/>
            <w:bookmarkEnd w:id="0"/>
          </w:p>
          <w:p w14:paraId="6655FB8E" w14:textId="77777777" w:rsidR="00D25DAE" w:rsidRPr="00687620" w:rsidRDefault="00D25DAE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Office F813b</w:t>
            </w:r>
          </w:p>
          <w:p w14:paraId="0BA05C6B" w14:textId="77777777" w:rsidR="00E83E87" w:rsidRPr="00687620" w:rsidRDefault="007C2F50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hyperlink r:id="rId8" w:history="1">
              <w:r w:rsidR="00D25DAE" w:rsidRPr="00687620">
                <w:rPr>
                  <w:rStyle w:val="Hyperlink"/>
                  <w:rFonts w:ascii="Calibri Light" w:hAnsi="Calibri Light" w:cs="Calibri Light"/>
                  <w:sz w:val="20"/>
                  <w:szCs w:val="20"/>
                </w:rPr>
                <w:t>luca.degennaroaquino@grenoble-em.com</w:t>
              </w:r>
            </w:hyperlink>
            <w:r w:rsidR="00D25DAE" w:rsidRPr="00687620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</w:tbl>
    <w:tbl>
      <w:tblPr>
        <w:tblW w:w="5658" w:type="pct"/>
        <w:tblInd w:w="-567" w:type="dxa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Tableaux du CV : le premier tableau comporte le titre, et le deuxième la partie principale du CV"/>
      </w:tblPr>
      <w:tblGrid>
        <w:gridCol w:w="1843"/>
        <w:gridCol w:w="7557"/>
      </w:tblGrid>
      <w:tr w:rsidR="00E83E87" w:rsidRPr="00687620" w14:paraId="216C8B9B" w14:textId="77777777" w:rsidTr="006E7072">
        <w:trPr>
          <w:trHeight w:val="423"/>
        </w:trPr>
        <w:tc>
          <w:tcPr>
            <w:tcW w:w="1843" w:type="dxa"/>
          </w:tcPr>
          <w:p w14:paraId="606959F6" w14:textId="77777777" w:rsidR="00E83E87" w:rsidRPr="00687620" w:rsidRDefault="00E83E87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PERSONAL INFORMATION</w:t>
            </w:r>
          </w:p>
        </w:tc>
        <w:tc>
          <w:tcPr>
            <w:tcW w:w="7557" w:type="dxa"/>
            <w:tcMar>
              <w:top w:w="144" w:type="dxa"/>
            </w:tcMar>
          </w:tcPr>
          <w:p w14:paraId="44AD162C" w14:textId="3B4BBABD" w:rsidR="00E83E87" w:rsidRPr="00836B25" w:rsidRDefault="00E83E87" w:rsidP="007E28C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Date</w:t>
            </w:r>
            <w:r w:rsidR="00E2393B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and place</w:t>
            </w: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of birth</w:t>
            </w:r>
            <w:r w:rsidR="00DD4532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:</w:t>
            </w: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 </w:t>
            </w:r>
            <w:r w:rsidR="00BB2CEA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16/07/1991</w:t>
            </w:r>
            <w:r w:rsidR="00E2393B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, Sant’Agnello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="00E2393B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Italy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3F386DBA" w14:textId="4E089BBF" w:rsidR="00E83E87" w:rsidRPr="00836B25" w:rsidRDefault="00E83E87" w:rsidP="007E28C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Citizenship : Italian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72D646F1" w14:textId="6347C205" w:rsidR="00E83E87" w:rsidRPr="00836B25" w:rsidRDefault="00E83E87" w:rsidP="007E28C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Phone: +33 0767387586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</w:tc>
      </w:tr>
      <w:tr w:rsidR="00CA44C2" w:rsidRPr="00D1699E" w14:paraId="0D8A4C4D" w14:textId="77777777" w:rsidTr="006E7072">
        <w:trPr>
          <w:trHeight w:val="765"/>
        </w:trPr>
        <w:tc>
          <w:tcPr>
            <w:tcW w:w="1843" w:type="dxa"/>
          </w:tcPr>
          <w:p w14:paraId="5C347D1E" w14:textId="77777777" w:rsidR="00CA44C2" w:rsidRPr="00687620" w:rsidRDefault="00D25DAE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CURRENT POSITION</w:t>
            </w:r>
          </w:p>
          <w:p w14:paraId="64B0D07F" w14:textId="560F7CBC" w:rsidR="00996241" w:rsidRPr="00687620" w:rsidRDefault="00996241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</w:rPr>
            </w:pPr>
          </w:p>
        </w:tc>
        <w:tc>
          <w:tcPr>
            <w:tcW w:w="7557" w:type="dxa"/>
            <w:tcMar>
              <w:top w:w="144" w:type="dxa"/>
            </w:tcMar>
          </w:tcPr>
          <w:p w14:paraId="52292AC5" w14:textId="298EAE23" w:rsidR="00D1699E" w:rsidRPr="00D1699E" w:rsidRDefault="00D1699E" w:rsidP="007E28CC">
            <w:pPr>
              <w:pStyle w:val="Heading1"/>
              <w:numPr>
                <w:ilvl w:val="0"/>
                <w:numId w:val="21"/>
              </w:numPr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D1699E">
              <w:rPr>
                <w:rFonts w:ascii="Calibri Light" w:eastAsiaTheme="minorEastAsia" w:hAnsi="Calibri Light" w:cs="Calibri Light"/>
                <w:sz w:val="20"/>
                <w:szCs w:val="20"/>
                <w:lang w:val="en-GB"/>
              </w:rPr>
              <w:t>PhD candidate in Mathematical Finance</w:t>
            </w:r>
            <w:r w:rsidRPr="00D1699E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, since 09/2017.</w:t>
            </w:r>
          </w:p>
          <w:p w14:paraId="6E3B87DA" w14:textId="2AC7E857" w:rsidR="00CA44C2" w:rsidRPr="00D1699E" w:rsidRDefault="00D25DAE" w:rsidP="00D1699E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Grenoble Ecole de Manag</w:t>
            </w:r>
            <w:r w:rsidR="00F11FBA" w:rsidRPr="00D1699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e</w:t>
            </w:r>
            <w:r w:rsidRPr="00D1699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ment</w:t>
            </w:r>
            <w:r w:rsidR="00834F53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, </w:t>
            </w:r>
            <w:r w:rsidR="002D2624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France</w:t>
            </w:r>
            <w:r w:rsidR="00834F53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</w:t>
            </w:r>
            <w:r w:rsidR="00F97E7E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-</w:t>
            </w:r>
            <w:r w:rsidR="00834F53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Department of Law, Accounting and Finance</w:t>
            </w:r>
          </w:p>
          <w:p w14:paraId="797D6462" w14:textId="561DE8B1" w:rsidR="00F32146" w:rsidRPr="00F32146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Advisor: Prof. Carole Bernard</w:t>
            </w:r>
            <w:r w:rsidR="00116678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5A810081" w14:textId="1B4EF426" w:rsidR="00F32146" w:rsidRPr="00F32146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Thesis: Model Uncertainty in Finance and Insurance</w:t>
            </w:r>
            <w:r w:rsidR="00116678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21FD4D46" w14:textId="321D9B60" w:rsidR="00996241" w:rsidRPr="00687620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Research interests: computational financ</w:t>
            </w:r>
            <w:r w:rsid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e; machine learning; risk measurement; decision theory</w:t>
            </w:r>
          </w:p>
        </w:tc>
      </w:tr>
      <w:tr w:rsidR="00F8731E" w:rsidRPr="00687620" w14:paraId="6988593D" w14:textId="77777777" w:rsidTr="006E7072">
        <w:trPr>
          <w:trHeight w:val="1881"/>
        </w:trPr>
        <w:tc>
          <w:tcPr>
            <w:tcW w:w="1843" w:type="dxa"/>
          </w:tcPr>
          <w:p w14:paraId="0D9DDF99" w14:textId="77777777" w:rsidR="00F8731E" w:rsidRPr="00687620" w:rsidRDefault="00D25DAE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EDUCATION</w:t>
            </w:r>
          </w:p>
        </w:tc>
        <w:tc>
          <w:tcPr>
            <w:tcW w:w="7557" w:type="dxa"/>
            <w:tcMar>
              <w:top w:w="144" w:type="dxa"/>
            </w:tcMar>
          </w:tcPr>
          <w:p w14:paraId="24F2D07B" w14:textId="77777777" w:rsidR="00D1699E" w:rsidRPr="00D1699E" w:rsidRDefault="00D1699E" w:rsidP="00D1699E">
            <w:pPr>
              <w:pStyle w:val="Heading1"/>
              <w:numPr>
                <w:ilvl w:val="0"/>
                <w:numId w:val="21"/>
              </w:numPr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sz w:val="20"/>
                <w:szCs w:val="20"/>
                <w:lang w:val="en-GB"/>
              </w:rPr>
            </w:pPr>
            <w:r w:rsidRPr="00D1699E">
              <w:rPr>
                <w:rFonts w:ascii="Calibri Light" w:eastAsiaTheme="minorEastAsia" w:hAnsi="Calibri Light" w:cs="Calibri Light"/>
                <w:bCs/>
                <w:sz w:val="20"/>
                <w:szCs w:val="20"/>
                <w:lang w:val="en-GB"/>
              </w:rPr>
              <w:t xml:space="preserve">MPhil in Business Administration </w:t>
            </w:r>
            <w:r w:rsidRPr="00D1699E">
              <w:rPr>
                <w:rFonts w:ascii="Calibri Light" w:eastAsiaTheme="minorEastAsia" w:hAnsi="Calibri Light" w:cs="Calibri Light"/>
                <w:b w:val="0"/>
                <w:sz w:val="20"/>
                <w:szCs w:val="20"/>
                <w:lang w:val="en-GB"/>
              </w:rPr>
              <w:t xml:space="preserve">(specialized in Finance) , </w:t>
            </w:r>
            <w:r w:rsidRPr="00D1699E">
              <w:rPr>
                <w:rFonts w:ascii="Calibri Light" w:hAnsi="Calibri Light" w:cs="Calibri Light"/>
                <w:b w:val="0"/>
                <w:sz w:val="20"/>
                <w:szCs w:val="20"/>
                <w:lang w:val="en-GB"/>
              </w:rPr>
              <w:t>09/2017 – 09/2019.</w:t>
            </w:r>
          </w:p>
          <w:p w14:paraId="56720FB3" w14:textId="1481389E" w:rsidR="006E7072" w:rsidRPr="00D1699E" w:rsidRDefault="006E7072" w:rsidP="00D1699E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b w:val="0"/>
                <w:i/>
                <w:iCs/>
                <w:sz w:val="20"/>
                <w:szCs w:val="20"/>
                <w:lang w:val="en-GB"/>
              </w:rPr>
              <w:t>Grenoble Ecole de Manag</w:t>
            </w:r>
            <w:r w:rsidR="00F11FBA" w:rsidRPr="00D1699E">
              <w:rPr>
                <w:rFonts w:ascii="Calibri Light" w:hAnsi="Calibri Light" w:cs="Calibri Light"/>
                <w:b w:val="0"/>
                <w:i/>
                <w:iCs/>
                <w:sz w:val="20"/>
                <w:szCs w:val="20"/>
                <w:lang w:val="en-GB"/>
              </w:rPr>
              <w:t>e</w:t>
            </w:r>
            <w:r w:rsidRPr="00D1699E">
              <w:rPr>
                <w:rFonts w:ascii="Calibri Light" w:hAnsi="Calibri Light" w:cs="Calibri Light"/>
                <w:b w:val="0"/>
                <w:i/>
                <w:iCs/>
                <w:sz w:val="20"/>
                <w:szCs w:val="20"/>
                <w:lang w:val="en-GB"/>
              </w:rPr>
              <w:t>ment</w:t>
            </w:r>
            <w:r w:rsidRPr="00D1699E">
              <w:rPr>
                <w:rFonts w:ascii="Calibri Light" w:hAnsi="Calibri Light" w:cs="Calibri Light"/>
                <w:b w:val="0"/>
                <w:sz w:val="20"/>
                <w:szCs w:val="20"/>
                <w:lang w:val="en-GB"/>
              </w:rPr>
              <w:t>, France - Department of Law, Accounting and Finance</w:t>
            </w:r>
          </w:p>
          <w:p w14:paraId="230BC88A" w14:textId="77777777" w:rsidR="006E7072" w:rsidRPr="00D1699E" w:rsidRDefault="006E7072" w:rsidP="006E7072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sz w:val="20"/>
                <w:szCs w:val="20"/>
                <w:lang w:val="en-GB"/>
              </w:rPr>
            </w:pPr>
          </w:p>
          <w:p w14:paraId="428C3CEC" w14:textId="14B230D0" w:rsidR="00D1699E" w:rsidRPr="00D1699E" w:rsidRDefault="00D1699E" w:rsidP="007E28CC">
            <w:pPr>
              <w:pStyle w:val="Heading1"/>
              <w:numPr>
                <w:ilvl w:val="0"/>
                <w:numId w:val="17"/>
              </w:numPr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MSc in Mathematical Finance </w:t>
            </w:r>
            <w:r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(with Distinction), 09/2016 - 09/2017.</w:t>
            </w:r>
          </w:p>
          <w:p w14:paraId="7C9797D7" w14:textId="4BCE4079" w:rsidR="00BB2CEA" w:rsidRPr="00D1699E" w:rsidRDefault="002D2624" w:rsidP="00D1699E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Loughborough University</w:t>
            </w:r>
            <w:r w:rsidR="00834F53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, United Kingdom </w:t>
            </w:r>
            <w:r w:rsidR="00F97E7E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-</w:t>
            </w:r>
            <w:r w:rsidR="00834F53" w:rsidRPr="00D1699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Department of Mathematical Sciences</w:t>
            </w:r>
          </w:p>
          <w:p w14:paraId="185F038D" w14:textId="244F3304" w:rsidR="003D58A2" w:rsidRPr="003D58A2" w:rsidRDefault="003D58A2" w:rsidP="007E28CC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Advisor: Prof. József Lörinczi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1017F6B7" w14:textId="29092DB9" w:rsidR="003D58A2" w:rsidRDefault="003D58A2" w:rsidP="007E28CC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Thesis : </w:t>
            </w:r>
            <w:r w:rsidRPr="00C93EAB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 xml:space="preserve">Long-Time </w:t>
            </w:r>
            <w:r w:rsidR="00BF322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b</w:t>
            </w:r>
            <w:r w:rsidRPr="00C93EAB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 xml:space="preserve">ehaviour of Feller </w:t>
            </w:r>
            <w:r w:rsidR="00BF322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p</w:t>
            </w:r>
            <w:r w:rsidRPr="00C93EAB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rocesses</w:t>
            </w:r>
            <w:r w:rsidR="00116678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.</w:t>
            </w:r>
          </w:p>
          <w:p w14:paraId="75D5CDBB" w14:textId="34DE7C81" w:rsidR="00BF322E" w:rsidRDefault="00C93EAB" w:rsidP="007E28CC">
            <w:pPr>
              <w:pStyle w:val="Heading1"/>
              <w:spacing w:after="0"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    </w:t>
            </w:r>
            <w:r w:rsidR="00BF322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 </w:t>
            </w:r>
            <w:r w:rsidR="003D58A2"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Award for the best thesis of </w:t>
            </w:r>
            <w:r w:rsidR="00BF322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academic year 2016/</w:t>
            </w:r>
            <w:r w:rsidR="003D58A2"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2017 in Mathematical</w:t>
            </w:r>
            <w:r w:rsidR="006E707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</w:t>
            </w:r>
            <w:r w:rsidR="003D58A2"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Science</w:t>
            </w:r>
            <w:r w:rsid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</w:t>
            </w:r>
            <w:r w:rsidR="00427B24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4D9B9158" w14:textId="77777777" w:rsidR="00C93EAB" w:rsidRPr="002A24FD" w:rsidRDefault="00C93EAB" w:rsidP="007E28CC">
            <w:pPr>
              <w:pStyle w:val="Heading1"/>
              <w:spacing w:after="0"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</w:p>
          <w:p w14:paraId="57AD5041" w14:textId="177A8577" w:rsidR="00D1699E" w:rsidRPr="00D1699E" w:rsidRDefault="00D1699E" w:rsidP="007E28CC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 xml:space="preserve">MSc in Finance and Insurance </w:t>
            </w:r>
            <w:r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>(with Honors), 10/2013 - 07/2016.</w:t>
            </w:r>
          </w:p>
          <w:p w14:paraId="1DF20DFC" w14:textId="77777777" w:rsidR="00D1699E" w:rsidRPr="00834F53" w:rsidRDefault="00D1699E" w:rsidP="00D1699E">
            <w:pPr>
              <w:pStyle w:val="ListParagraph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University of Rome “La Sapienza”,</w:t>
            </w:r>
            <w:r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Italy - Faculty of Economics</w:t>
            </w:r>
          </w:p>
          <w:p w14:paraId="6A0F4A52" w14:textId="77777777" w:rsidR="00D1699E" w:rsidRPr="003D58A2" w:rsidRDefault="00D1699E" w:rsidP="00D1699E">
            <w:pPr>
              <w:pStyle w:val="ListParagraph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Advisor: Prof. Maria Chiarolla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525EE7DE" w14:textId="28BFC663" w:rsidR="00D1699E" w:rsidRDefault="00D1699E" w:rsidP="00D1699E">
            <w:pPr>
              <w:pStyle w:val="ListParagraph"/>
              <w:spacing w:before="240"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Thesis: Credit-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l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inked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n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otes with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c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ounterparty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r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isk under the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g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eneralised Fong-Vasicek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t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wo-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f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actor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i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nterest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r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ate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m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odel: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a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nalytical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c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haracterization and Monte-Carlo 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v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aluation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602A95C9" w14:textId="77777777" w:rsidR="00D1699E" w:rsidRPr="00D1699E" w:rsidRDefault="00D1699E" w:rsidP="00D1699E">
            <w:pPr>
              <w:pStyle w:val="ListParagraph"/>
              <w:spacing w:before="240"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  <w:p w14:paraId="603A30FB" w14:textId="00EFF518" w:rsidR="00D1699E" w:rsidRDefault="00D1699E" w:rsidP="00D1699E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 xml:space="preserve">BSc in Banking, Insurance and Financial Markets, </w:t>
            </w:r>
            <w:r w:rsidRPr="00B93D40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09/2010 - 10/2013.</w:t>
            </w:r>
          </w:p>
          <w:p w14:paraId="109A38BE" w14:textId="4236B18E" w:rsidR="00B93D40" w:rsidRPr="00B93D40" w:rsidRDefault="00B93D40" w:rsidP="00B93D40">
            <w:pPr>
              <w:pStyle w:val="ListParagraph"/>
              <w:spacing w:after="0" w:line="276" w:lineRule="auto"/>
              <w:ind w:left="360"/>
              <w:jc w:val="both"/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</w:pPr>
            <w:r w:rsidRPr="00B93D40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University of Rome “La Sapienza</w:t>
            </w:r>
            <w:r w:rsidRPr="00B93D40">
              <w:rPr>
                <w:rFonts w:ascii="Calibri Light" w:hAnsi="Calibri Light" w:cs="Calibri Light"/>
                <w:sz w:val="20"/>
                <w:szCs w:val="20"/>
                <w:lang w:val="en-GB"/>
              </w:rPr>
              <w:t>”, Italy - Faculty of Economics</w:t>
            </w:r>
          </w:p>
          <w:p w14:paraId="4A6A4290" w14:textId="474664D6" w:rsidR="00E753DE" w:rsidRPr="00D1699E" w:rsidRDefault="00D1699E" w:rsidP="00B93D40">
            <w:pPr>
              <w:pStyle w:val="ListParagraph"/>
              <w:spacing w:after="0" w:line="276" w:lineRule="auto"/>
              <w:ind w:left="36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D1699E">
              <w:rPr>
                <w:rFonts w:ascii="Calibri Light" w:hAnsi="Calibri Light" w:cs="Calibri Light"/>
                <w:sz w:val="20"/>
                <w:szCs w:val="20"/>
                <w:lang w:val="en-GB"/>
              </w:rPr>
              <w:t>Advisor: Prof. Marina Brogi.</w:t>
            </w:r>
          </w:p>
        </w:tc>
      </w:tr>
      <w:tr w:rsidR="00F8731E" w:rsidRPr="00D1699E" w14:paraId="13086404" w14:textId="77777777" w:rsidTr="006E7072">
        <w:trPr>
          <w:trHeight w:val="287"/>
        </w:trPr>
        <w:tc>
          <w:tcPr>
            <w:tcW w:w="1843" w:type="dxa"/>
          </w:tcPr>
          <w:p w14:paraId="2ED46B94" w14:textId="77777777" w:rsidR="00F8731E" w:rsidRPr="00687620" w:rsidRDefault="00DD4532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PUBLICATIONS</w:t>
            </w:r>
          </w:p>
        </w:tc>
        <w:tc>
          <w:tcPr>
            <w:tcW w:w="7557" w:type="dxa"/>
            <w:tcMar>
              <w:top w:w="144" w:type="dxa"/>
            </w:tcMar>
          </w:tcPr>
          <w:p w14:paraId="262FCE41" w14:textId="5BB46836" w:rsidR="00F8731E" w:rsidRPr="003D58A2" w:rsidRDefault="00DD4532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L. D</w:t>
            </w:r>
            <w:r w:rsidR="00387949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e</w:t>
            </w: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G</w:t>
            </w:r>
            <w:r w:rsidR="00387949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ennaro Aquino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, C. B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ernard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 xml:space="preserve">Semi-analytical prices for </w:t>
            </w:r>
            <w:r w:rsidR="001A126E"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l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 xml:space="preserve">ookback and </w:t>
            </w:r>
            <w:r w:rsidR="001A126E"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b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arrier options under the Heston model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="008917B1" w:rsidRPr="008917B1">
              <w:rPr>
                <w:rFonts w:ascii="Calibri Light" w:hAnsi="Calibri Light" w:cs="Calibri Light"/>
                <w:sz w:val="20"/>
                <w:szCs w:val="20"/>
                <w:lang w:val="en-GB"/>
              </w:rPr>
              <w:t>Decisions in Economics and Finance, 42(2), 715-741</w:t>
            </w:r>
            <w:r w:rsidR="008917B1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</w:tc>
      </w:tr>
      <w:tr w:rsidR="00F8731E" w:rsidRPr="00D1699E" w14:paraId="5FB0D79C" w14:textId="77777777" w:rsidTr="006E7072">
        <w:trPr>
          <w:trHeight w:val="252"/>
        </w:trPr>
        <w:tc>
          <w:tcPr>
            <w:tcW w:w="1843" w:type="dxa"/>
          </w:tcPr>
          <w:p w14:paraId="43F19D1C" w14:textId="77777777" w:rsidR="00F8731E" w:rsidRPr="00687620" w:rsidRDefault="00DD4532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WORKING PAPERS</w:t>
            </w:r>
          </w:p>
        </w:tc>
        <w:tc>
          <w:tcPr>
            <w:tcW w:w="7557" w:type="dxa"/>
            <w:tcMar>
              <w:top w:w="144" w:type="dxa"/>
            </w:tcMar>
          </w:tcPr>
          <w:p w14:paraId="272502BB" w14:textId="70342263" w:rsidR="00F8731E" w:rsidRPr="008917B1" w:rsidRDefault="001A126E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L.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De Gennaro Aquino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C.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Bernard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Bounds on multi-asset derivatives via neural networks</w:t>
            </w:r>
            <w:r w:rsidR="008917B1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 xml:space="preserve">, </w:t>
            </w:r>
            <w:r w:rsidR="008917B1" w:rsidRPr="008917B1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preprint arXiv: 1911.05523</w:t>
            </w:r>
            <w:r w:rsidR="008917B1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.</w:t>
            </w:r>
          </w:p>
          <w:p w14:paraId="6600D367" w14:textId="1B181113" w:rsidR="008917B1" w:rsidRPr="003D58A2" w:rsidRDefault="008917B1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917B1">
              <w:rPr>
                <w:rFonts w:ascii="Calibri Light" w:hAnsi="Calibri Light" w:cs="Calibri Light"/>
                <w:sz w:val="20"/>
                <w:szCs w:val="20"/>
                <w:lang w:val="en-GB"/>
              </w:rPr>
              <w:t>L. De Gennaro Aquino, S. Eckstein, M. Kupper, Primal-dual methods for optimal transport and related problems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630D8B2F" w14:textId="2202C04B" w:rsidR="001A126E" w:rsidRDefault="001A126E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lastRenderedPageBreak/>
              <w:t xml:space="preserve">C.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Bernard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L.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De Gennaro Aquino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Optimal annuities demand for general risk averse investors</w:t>
            </w:r>
            <w:r w:rsidR="006771D4"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.</w:t>
            </w:r>
          </w:p>
          <w:p w14:paraId="19A1651D" w14:textId="03B6B0E5" w:rsidR="00687620" w:rsidRPr="008917B1" w:rsidRDefault="008917B1" w:rsidP="008917B1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C. Bernard, L. De Gennaro Aquino, S. Vanduffel,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Multivariate expected utility maximization and improved multi-asset allocation.</w:t>
            </w:r>
          </w:p>
        </w:tc>
      </w:tr>
      <w:tr w:rsidR="00F8731E" w:rsidRPr="00D1699E" w14:paraId="5452774C" w14:textId="77777777" w:rsidTr="006E7072">
        <w:trPr>
          <w:trHeight w:val="617"/>
        </w:trPr>
        <w:tc>
          <w:tcPr>
            <w:tcW w:w="1843" w:type="dxa"/>
          </w:tcPr>
          <w:p w14:paraId="1E4C5FDA" w14:textId="77777777" w:rsidR="00F8731E" w:rsidRPr="00687620" w:rsidRDefault="00687620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lastRenderedPageBreak/>
              <w:t>TEACHING EXPERIENCE</w:t>
            </w:r>
          </w:p>
        </w:tc>
        <w:tc>
          <w:tcPr>
            <w:tcW w:w="7557" w:type="dxa"/>
            <w:tcMar>
              <w:top w:w="144" w:type="dxa"/>
            </w:tcMar>
          </w:tcPr>
          <w:p w14:paraId="53798B5D" w14:textId="2E1C0512" w:rsidR="008917B1" w:rsidRPr="008917B1" w:rsidRDefault="00687620" w:rsidP="008917B1">
            <w:pPr>
              <w:pStyle w:val="Heading1"/>
              <w:numPr>
                <w:ilvl w:val="0"/>
                <w:numId w:val="17"/>
              </w:numPr>
              <w:spacing w:line="276" w:lineRule="auto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34F53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Grenoble Ecole de Manag</w:t>
            </w:r>
            <w:r w:rsidR="001E7B0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e</w:t>
            </w:r>
            <w:r w:rsidRPr="00834F53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ment</w:t>
            </w:r>
          </w:p>
          <w:p w14:paraId="2BB3FA3D" w14:textId="2C5F17CD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International Financial Risk Management, Master in International Business - Paris, 04/2020U</w:t>
            </w:r>
          </w:p>
          <w:p w14:paraId="1543CB7F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Advanced Quantitative Methods for Finance, ESC 2A Programme Grande Ecole - Grenoble, 01/2020 - 03/2020</w:t>
            </w:r>
          </w:p>
          <w:p w14:paraId="5FA0898B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International Financial Risk Management, Master in International Business - Grenoble, 11/2019 - 12/2019</w:t>
            </w:r>
          </w:p>
          <w:p w14:paraId="477A1A7E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Fundamentals of Excel and Statistics, MSc Finance - Singapore, 10/2019</w:t>
            </w:r>
          </w:p>
          <w:p w14:paraId="54611E82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Fundamentals of Excel and Statistics, MSc Finance - Grenoble, 09/2019</w:t>
            </w:r>
          </w:p>
          <w:p w14:paraId="5043CE69" w14:textId="4B900F79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it-IT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it-IT"/>
              </w:rPr>
              <w:t>Corporate Governance, ESC 3A Programme Grande Ecole - Grenoble, 01/2019 - 02/2019</w:t>
            </w:r>
          </w:p>
        </w:tc>
      </w:tr>
      <w:tr w:rsidR="002A24FD" w:rsidRPr="00D1699E" w14:paraId="276FE43A" w14:textId="77777777" w:rsidTr="006E7072">
        <w:trPr>
          <w:trHeight w:val="203"/>
        </w:trPr>
        <w:tc>
          <w:tcPr>
            <w:tcW w:w="1843" w:type="dxa"/>
          </w:tcPr>
          <w:p w14:paraId="7AB780B0" w14:textId="77777777" w:rsidR="002A24FD" w:rsidRDefault="002A24FD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TALKS AND POSTERS</w:t>
            </w:r>
          </w:p>
        </w:tc>
        <w:tc>
          <w:tcPr>
            <w:tcW w:w="7557" w:type="dxa"/>
            <w:tcMar>
              <w:top w:w="144" w:type="dxa"/>
            </w:tcMar>
          </w:tcPr>
          <w:p w14:paraId="5DDB1CAB" w14:textId="58AFEC29" w:rsidR="008917B1" w:rsidRPr="008917B1" w:rsidRDefault="008917B1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Research in Options, IMPA, Rio de Janeiro, Brasil, 12/2019</w:t>
            </w:r>
          </w:p>
          <w:p w14:paraId="6AECAE8D" w14:textId="0B94900A" w:rsidR="008917B1" w:rsidRDefault="008917B1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Research seminar, University of Konstanz, 10/2019.</w:t>
            </w:r>
          </w:p>
          <w:p w14:paraId="636D3DA7" w14:textId="77777777" w:rsidR="008917B1" w:rsidRPr="006E7072" w:rsidRDefault="008917B1" w:rsidP="008917B1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Vienna Congress on Mathematical Finance, University of Vienna, Austria, 09/2019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22DD8624" w14:textId="0CE62304" w:rsidR="006E7072" w:rsidRPr="008917B1" w:rsidRDefault="008917B1" w:rsidP="008917B1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SIAM Conference on Financial Mathematics and Engineering, University of Toronto, Canada, 06/2019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F97E7E" w:rsidRPr="00D1699E" w14:paraId="63E09E87" w14:textId="77777777" w:rsidTr="006E7072">
        <w:trPr>
          <w:trHeight w:val="203"/>
        </w:trPr>
        <w:tc>
          <w:tcPr>
            <w:tcW w:w="1843" w:type="dxa"/>
          </w:tcPr>
          <w:p w14:paraId="44FD3276" w14:textId="40BB5E93" w:rsidR="00F97E7E" w:rsidRDefault="00F97E7E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VISITING POSITIONS</w:t>
            </w:r>
          </w:p>
        </w:tc>
        <w:tc>
          <w:tcPr>
            <w:tcW w:w="7557" w:type="dxa"/>
            <w:tcMar>
              <w:top w:w="144" w:type="dxa"/>
            </w:tcMar>
          </w:tcPr>
          <w:p w14:paraId="4085B0E9" w14:textId="059C08C2" w:rsidR="00F97E7E" w:rsidRPr="00F97E7E" w:rsidRDefault="00F97E7E" w:rsidP="007E28C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University of Konstanz, Germany - </w:t>
            </w:r>
            <w:r w:rsidRPr="00F97E7E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Department of Mathematic</w:t>
            </w: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s</w:t>
            </w:r>
            <w:r w:rsidRPr="00F97E7E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09/2019 - 10/2019</w:t>
            </w:r>
            <w:r w:rsidRPr="00F97E7E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, invited by Prof. </w:t>
            </w: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Michael Kupper</w:t>
            </w:r>
            <w:r w:rsidR="00427B24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 and Stephan Eckstein</w:t>
            </w:r>
            <w:r w:rsidR="00116678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2A24FD" w:rsidRPr="00D1699E" w14:paraId="765A8D6A" w14:textId="77777777" w:rsidTr="006E7072">
        <w:trPr>
          <w:trHeight w:val="1591"/>
        </w:trPr>
        <w:tc>
          <w:tcPr>
            <w:tcW w:w="1843" w:type="dxa"/>
            <w:tcBorders>
              <w:bottom w:val="single" w:sz="4" w:space="0" w:color="auto"/>
            </w:tcBorders>
          </w:tcPr>
          <w:p w14:paraId="0A93540C" w14:textId="29CFBCD5" w:rsidR="002A24FD" w:rsidRPr="002A24FD" w:rsidRDefault="002A24FD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sz w:val="20"/>
                <w:szCs w:val="20"/>
                <w:lang w:val="en-GB"/>
              </w:rPr>
              <w:t>ATTENDANCES AND PARTICIPATIONS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tcMar>
              <w:top w:w="144" w:type="dxa"/>
            </w:tcMar>
          </w:tcPr>
          <w:p w14:paraId="510C1511" w14:textId="0C98BCA7" w:rsidR="002A24FD" w:rsidRPr="002A24FD" w:rsidRDefault="002A24FD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Bachelier Society World Congress, Trinity College, Dublin, Ireland, 07/2018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57911CAB" w14:textId="5A89F788" w:rsidR="002A24FD" w:rsidRPr="0097459B" w:rsidRDefault="002A24FD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Workshop on Stochastic Dynamical Systems, Loughborough University, United Kingdom, 12/2016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7505B0BF" w14:textId="79EA0454" w:rsidR="0097459B" w:rsidRPr="0097459B" w:rsidRDefault="0097459B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97459B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Fund Management Challenge, CFA Society Italy, 01/2014 - 05/2014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2A24FD" w:rsidRPr="008917B1" w14:paraId="25386824" w14:textId="77777777" w:rsidTr="006E7072">
        <w:trPr>
          <w:trHeight w:val="734"/>
        </w:trPr>
        <w:tc>
          <w:tcPr>
            <w:tcW w:w="1843" w:type="dxa"/>
            <w:tcBorders>
              <w:top w:val="single" w:sz="4" w:space="0" w:color="auto"/>
            </w:tcBorders>
          </w:tcPr>
          <w:p w14:paraId="563DA0C5" w14:textId="77777777" w:rsidR="00F97E7E" w:rsidRDefault="00F97E7E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  <w:p w14:paraId="0AF0096E" w14:textId="4EF98A5B" w:rsidR="002A24FD" w:rsidRPr="002A24FD" w:rsidRDefault="0097459B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OTHER MISCELLANEOUS INFORMATION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tcMar>
              <w:top w:w="144" w:type="dxa"/>
            </w:tcMar>
          </w:tcPr>
          <w:p w14:paraId="5DDEFF6B" w14:textId="77777777" w:rsidR="00F97E7E" w:rsidRDefault="00F97E7E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  <w:p w14:paraId="35A6866C" w14:textId="30A6788D" w:rsidR="002A24FD" w:rsidRPr="0097459B" w:rsidRDefault="0097459B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Langua</w:t>
            </w:r>
            <w:r w:rsidR="00606082">
              <w:rPr>
                <w:rFonts w:ascii="Calibri Light" w:hAnsi="Calibri Light" w:cs="Calibri Light"/>
                <w:sz w:val="20"/>
                <w:szCs w:val="20"/>
                <w:lang w:val="en-GB"/>
              </w:rPr>
              <w:t>g</w:t>
            </w:r>
            <w:r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e skills</w:t>
            </w:r>
          </w:p>
          <w:p w14:paraId="507F9F52" w14:textId="21B5083F" w:rsidR="0097459B" w:rsidRDefault="0097459B" w:rsidP="007E28CC">
            <w:pPr>
              <w:pStyle w:val="Heading1"/>
              <w:spacing w:line="276" w:lineRule="auto"/>
              <w:ind w:left="36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Italian (native), English (fluent), French (intermediate)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4B0FEE92" w14:textId="77777777" w:rsidR="0097459B" w:rsidRPr="0097459B" w:rsidRDefault="0097459B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Programming skills</w:t>
            </w:r>
          </w:p>
          <w:p w14:paraId="3D403274" w14:textId="41F69F50" w:rsidR="0097459B" w:rsidRDefault="0097459B" w:rsidP="007E28CC">
            <w:pPr>
              <w:pStyle w:val="Heading1"/>
              <w:spacing w:line="276" w:lineRule="auto"/>
              <w:ind w:left="36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Python, Matlab, </w:t>
            </w:r>
            <w:r w:rsidR="006E707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Julia, 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SPSS, Stata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213B103D" w14:textId="61B5DF37" w:rsidR="00427B24" w:rsidRDefault="006E7072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Non-professional w</w:t>
            </w:r>
            <w:r w:rsidR="00427B24" w:rsidRP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ork experience</w:t>
            </w:r>
          </w:p>
          <w:p w14:paraId="5836F10C" w14:textId="061687FE" w:rsidR="00B219D9" w:rsidRPr="00B219D9" w:rsidRDefault="00B219D9" w:rsidP="007E28CC">
            <w:pPr>
              <w:pStyle w:val="Heading1"/>
              <w:numPr>
                <w:ilvl w:val="0"/>
                <w:numId w:val="25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Catering assistant (potwasher, barman</w:t>
            </w:r>
            <w:r w:rsidR="00274C5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,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waiter), Berry Recruitment, Loghborough, United Kingdom, 01/2017 - 09/2017.</w:t>
            </w:r>
          </w:p>
          <w:p w14:paraId="1724E217" w14:textId="12DEEC1F" w:rsidR="00427B24" w:rsidRDefault="00427B24" w:rsidP="007E28CC">
            <w:pPr>
              <w:pStyle w:val="Heading1"/>
              <w:numPr>
                <w:ilvl w:val="0"/>
                <w:numId w:val="25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Waiter, </w:t>
            </w:r>
            <w:r w:rsidR="003D23D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r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estaurant </w:t>
            </w:r>
            <w:r w:rsidRPr="00427B24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"108 World B</w:t>
            </w:r>
            <w:r w:rsidR="003D23D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uff</w:t>
            </w:r>
            <w:r w:rsidRPr="00427B24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et and Bar", Loughborough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, United Kingdom, 10/2016 - 09/2017.</w:t>
            </w:r>
          </w:p>
          <w:p w14:paraId="26982E87" w14:textId="1FA108E2" w:rsidR="00B219D9" w:rsidRPr="00B219D9" w:rsidRDefault="00B219D9" w:rsidP="007E28CC">
            <w:pPr>
              <w:pStyle w:val="Heading1"/>
              <w:numPr>
                <w:ilvl w:val="0"/>
                <w:numId w:val="25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</w:pPr>
            <w:r w:rsidRPr="00B219D9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 xml:space="preserve">Lifeguard, </w:t>
            </w:r>
            <w:r w:rsidR="003D23D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>s</w:t>
            </w:r>
            <w:r w:rsidRPr="00B219D9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>wimming pool “La Lisca, Piano di S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>orrento, Italy, 06/2007 - 08/2009.</w:t>
            </w:r>
          </w:p>
          <w:p w14:paraId="62DC56B1" w14:textId="77777777" w:rsidR="0097459B" w:rsidRPr="0097459B" w:rsidRDefault="00627133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Passions and h</w:t>
            </w:r>
            <w:r w:rsidR="0097459B"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obbies</w:t>
            </w:r>
          </w:p>
          <w:p w14:paraId="49538C41" w14:textId="2B80E2C7" w:rsidR="00627133" w:rsidRPr="002A24FD" w:rsidRDefault="008917B1" w:rsidP="007E28CC">
            <w:pPr>
              <w:pStyle w:val="Heading1"/>
              <w:spacing w:line="276" w:lineRule="auto"/>
              <w:ind w:left="36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I am a committed fine diner and food traveler. Blues rock and jazz are my sources of inspiration, reading and running / biking my escapisms. My biggest dream is to become a pianist.</w:t>
            </w:r>
          </w:p>
        </w:tc>
      </w:tr>
    </w:tbl>
    <w:p w14:paraId="7FFFEE56" w14:textId="77777777" w:rsidR="003D37C1" w:rsidRPr="006771D4" w:rsidRDefault="003D37C1" w:rsidP="007E28CC">
      <w:pPr>
        <w:spacing w:line="276" w:lineRule="auto"/>
        <w:rPr>
          <w:rFonts w:ascii="Calibri Light" w:hAnsi="Calibri Light" w:cs="Calibri Light"/>
          <w:sz w:val="20"/>
          <w:szCs w:val="20"/>
          <w:lang w:val="en-GB"/>
        </w:rPr>
      </w:pPr>
    </w:p>
    <w:sectPr w:rsidR="003D37C1" w:rsidRPr="006771D4" w:rsidSect="00D62B41">
      <w:pgSz w:w="11907" w:h="16839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D3DA7" w14:textId="77777777" w:rsidR="007C2F50" w:rsidRDefault="007C2F50">
      <w:pPr>
        <w:spacing w:after="0" w:line="240" w:lineRule="auto"/>
      </w:pPr>
      <w:r>
        <w:separator/>
      </w:r>
    </w:p>
  </w:endnote>
  <w:endnote w:type="continuationSeparator" w:id="0">
    <w:p w14:paraId="1A332D35" w14:textId="77777777" w:rsidR="007C2F50" w:rsidRDefault="007C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1831F" w14:textId="77777777" w:rsidR="007C2F50" w:rsidRDefault="007C2F50">
      <w:pPr>
        <w:spacing w:after="0" w:line="240" w:lineRule="auto"/>
      </w:pPr>
      <w:r>
        <w:separator/>
      </w:r>
    </w:p>
  </w:footnote>
  <w:footnote w:type="continuationSeparator" w:id="0">
    <w:p w14:paraId="11438893" w14:textId="77777777" w:rsidR="007C2F50" w:rsidRDefault="007C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208"/>
        </w:tabs>
        <w:ind w:left="208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B1A8B"/>
    <w:multiLevelType w:val="hybridMultilevel"/>
    <w:tmpl w:val="EED0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5446F"/>
    <w:multiLevelType w:val="hybridMultilevel"/>
    <w:tmpl w:val="3376B0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B1469"/>
    <w:multiLevelType w:val="hybridMultilevel"/>
    <w:tmpl w:val="86D2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A2908"/>
    <w:multiLevelType w:val="hybridMultilevel"/>
    <w:tmpl w:val="C0B6A1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078AE"/>
    <w:multiLevelType w:val="hybridMultilevel"/>
    <w:tmpl w:val="A2E228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E1858"/>
    <w:multiLevelType w:val="hybridMultilevel"/>
    <w:tmpl w:val="DABACBA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CEC"/>
    <w:multiLevelType w:val="hybridMultilevel"/>
    <w:tmpl w:val="CCEAD35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132DF8"/>
    <w:multiLevelType w:val="hybridMultilevel"/>
    <w:tmpl w:val="D69EFFDC"/>
    <w:lvl w:ilvl="0" w:tplc="247C0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37D26"/>
    <w:multiLevelType w:val="hybridMultilevel"/>
    <w:tmpl w:val="D638A4E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82BE7"/>
    <w:multiLevelType w:val="hybridMultilevel"/>
    <w:tmpl w:val="F15601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75BD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11126A8"/>
    <w:multiLevelType w:val="hybridMultilevel"/>
    <w:tmpl w:val="5694DC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7016119"/>
    <w:multiLevelType w:val="hybridMultilevel"/>
    <w:tmpl w:val="7AA6D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851C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19367C"/>
    <w:multiLevelType w:val="hybridMultilevel"/>
    <w:tmpl w:val="A9A0114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10D1D"/>
    <w:multiLevelType w:val="hybridMultilevel"/>
    <w:tmpl w:val="1B88809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F13935"/>
    <w:multiLevelType w:val="hybridMultilevel"/>
    <w:tmpl w:val="DB422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9654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28"/>
  </w:num>
  <w:num w:numId="14">
    <w:abstractNumId w:val="20"/>
  </w:num>
  <w:num w:numId="15">
    <w:abstractNumId w:val="18"/>
  </w:num>
  <w:num w:numId="16">
    <w:abstractNumId w:val="17"/>
  </w:num>
  <w:num w:numId="17">
    <w:abstractNumId w:val="25"/>
  </w:num>
  <w:num w:numId="18">
    <w:abstractNumId w:val="13"/>
  </w:num>
  <w:num w:numId="19">
    <w:abstractNumId w:val="11"/>
  </w:num>
  <w:num w:numId="20">
    <w:abstractNumId w:val="19"/>
  </w:num>
  <w:num w:numId="21">
    <w:abstractNumId w:val="14"/>
  </w:num>
  <w:num w:numId="22">
    <w:abstractNumId w:val="15"/>
  </w:num>
  <w:num w:numId="23">
    <w:abstractNumId w:val="21"/>
  </w:num>
  <w:num w:numId="24">
    <w:abstractNumId w:val="16"/>
  </w:num>
  <w:num w:numId="25">
    <w:abstractNumId w:val="26"/>
  </w:num>
  <w:num w:numId="26">
    <w:abstractNumId w:val="23"/>
  </w:num>
  <w:num w:numId="27">
    <w:abstractNumId w:val="10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7"/>
    <w:rsid w:val="00014CE3"/>
    <w:rsid w:val="000B32EC"/>
    <w:rsid w:val="000D699C"/>
    <w:rsid w:val="000E000D"/>
    <w:rsid w:val="00116678"/>
    <w:rsid w:val="00140F49"/>
    <w:rsid w:val="001905AF"/>
    <w:rsid w:val="001A126E"/>
    <w:rsid w:val="001C5D03"/>
    <w:rsid w:val="001E7B08"/>
    <w:rsid w:val="00274C5D"/>
    <w:rsid w:val="002A24FD"/>
    <w:rsid w:val="002D2624"/>
    <w:rsid w:val="002F798F"/>
    <w:rsid w:val="00331C78"/>
    <w:rsid w:val="00387949"/>
    <w:rsid w:val="003D23D2"/>
    <w:rsid w:val="003D37C1"/>
    <w:rsid w:val="003D58A2"/>
    <w:rsid w:val="004220BB"/>
    <w:rsid w:val="00427B24"/>
    <w:rsid w:val="004B37C5"/>
    <w:rsid w:val="004F679C"/>
    <w:rsid w:val="004F7351"/>
    <w:rsid w:val="005203B5"/>
    <w:rsid w:val="005D21FB"/>
    <w:rsid w:val="005F7B40"/>
    <w:rsid w:val="00606082"/>
    <w:rsid w:val="00627133"/>
    <w:rsid w:val="006724A7"/>
    <w:rsid w:val="00675AA5"/>
    <w:rsid w:val="006771D4"/>
    <w:rsid w:val="00687620"/>
    <w:rsid w:val="006B2AB4"/>
    <w:rsid w:val="006E7072"/>
    <w:rsid w:val="007208F7"/>
    <w:rsid w:val="00784B25"/>
    <w:rsid w:val="007C2F50"/>
    <w:rsid w:val="007E28CC"/>
    <w:rsid w:val="007E3893"/>
    <w:rsid w:val="008150DB"/>
    <w:rsid w:val="008333FC"/>
    <w:rsid w:val="00834F53"/>
    <w:rsid w:val="00836B25"/>
    <w:rsid w:val="00840DDD"/>
    <w:rsid w:val="00841341"/>
    <w:rsid w:val="008466F0"/>
    <w:rsid w:val="008569E5"/>
    <w:rsid w:val="008917B1"/>
    <w:rsid w:val="008A54A5"/>
    <w:rsid w:val="00934191"/>
    <w:rsid w:val="00963E0F"/>
    <w:rsid w:val="0096638F"/>
    <w:rsid w:val="0097459B"/>
    <w:rsid w:val="009916BD"/>
    <w:rsid w:val="00996241"/>
    <w:rsid w:val="009B1B1B"/>
    <w:rsid w:val="009B20C1"/>
    <w:rsid w:val="009C5527"/>
    <w:rsid w:val="009F6D0B"/>
    <w:rsid w:val="00A449BF"/>
    <w:rsid w:val="00A7034D"/>
    <w:rsid w:val="00A704CA"/>
    <w:rsid w:val="00A86F61"/>
    <w:rsid w:val="00AD0CCD"/>
    <w:rsid w:val="00B219D9"/>
    <w:rsid w:val="00B67BCB"/>
    <w:rsid w:val="00B93D40"/>
    <w:rsid w:val="00BB1ED9"/>
    <w:rsid w:val="00BB2CEA"/>
    <w:rsid w:val="00BF322E"/>
    <w:rsid w:val="00C176F7"/>
    <w:rsid w:val="00C40802"/>
    <w:rsid w:val="00C92C71"/>
    <w:rsid w:val="00C93EAB"/>
    <w:rsid w:val="00CA44C2"/>
    <w:rsid w:val="00D140F4"/>
    <w:rsid w:val="00D1699E"/>
    <w:rsid w:val="00D25DAE"/>
    <w:rsid w:val="00D62B41"/>
    <w:rsid w:val="00DC00B3"/>
    <w:rsid w:val="00DC3B92"/>
    <w:rsid w:val="00DD4532"/>
    <w:rsid w:val="00E21D64"/>
    <w:rsid w:val="00E2393B"/>
    <w:rsid w:val="00E33851"/>
    <w:rsid w:val="00E753DE"/>
    <w:rsid w:val="00E83E87"/>
    <w:rsid w:val="00EB0A7E"/>
    <w:rsid w:val="00EB61A5"/>
    <w:rsid w:val="00F11FBA"/>
    <w:rsid w:val="00F3010C"/>
    <w:rsid w:val="00F31BF6"/>
    <w:rsid w:val="00F32146"/>
    <w:rsid w:val="00F8731E"/>
    <w:rsid w:val="00F97E7E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BFD34"/>
  <w15:chartTrackingRefBased/>
  <w15:docId w15:val="{B9A0126F-096B-4EF5-AB46-86DF0146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fr-FR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41"/>
    <w:rPr>
      <w:rFonts w:ascii="Century Gothic" w:hAnsi="Century Gothic"/>
    </w:rPr>
  </w:style>
  <w:style w:type="paragraph" w:styleId="Heading1">
    <w:name w:val="heading 1"/>
    <w:basedOn w:val="Normal"/>
    <w:link w:val="Heading1Char"/>
    <w:uiPriority w:val="9"/>
    <w:qFormat/>
    <w:rsid w:val="00D62B41"/>
    <w:pPr>
      <w:contextualSpacing/>
      <w:outlineLvl w:val="0"/>
    </w:pPr>
    <w:rPr>
      <w:rFonts w:eastAsia="Times New Roman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D62B41"/>
    <w:pPr>
      <w:keepNext/>
      <w:keepLines/>
      <w:spacing w:before="20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41"/>
    <w:pPr>
      <w:keepNext/>
      <w:keepLines/>
      <w:spacing w:before="40" w:after="0"/>
      <w:outlineLvl w:val="2"/>
    </w:pPr>
    <w:rPr>
      <w:rFonts w:eastAsiaTheme="majorEastAsia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4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4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4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4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4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4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62B41"/>
    <w:rPr>
      <w:rFonts w:ascii="Century Gothic" w:hAnsi="Century Gothic"/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2B41"/>
    <w:rPr>
      <w:rFonts w:ascii="Century Gothic" w:hAnsi="Century Gothic"/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unhideWhenUsed/>
    <w:rsid w:val="00D62B4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62B41"/>
    <w:rPr>
      <w:rFonts w:ascii="Tahoma" w:hAnsi="Tahoma" w:cs="Tahoma"/>
      <w:szCs w:val="16"/>
    </w:rPr>
  </w:style>
  <w:style w:type="paragraph" w:customStyle="1" w:styleId="Listepuces1">
    <w:name w:val="Liste à puces1"/>
    <w:basedOn w:val="Normal"/>
    <w:semiHidden/>
    <w:unhideWhenUsed/>
    <w:qFormat/>
    <w:rsid w:val="00D62B41"/>
    <w:pPr>
      <w:ind w:left="288" w:hanging="288"/>
    </w:pPr>
  </w:style>
  <w:style w:type="paragraph" w:customStyle="1" w:styleId="Coordonnes">
    <w:name w:val="Coordonnées"/>
    <w:basedOn w:val="Normal"/>
    <w:uiPriority w:val="3"/>
    <w:qFormat/>
    <w:rsid w:val="00D62B41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B41"/>
    <w:rPr>
      <w:rFonts w:ascii="Century Gothic" w:eastAsiaTheme="majorEastAsia" w:hAnsi="Century Gothic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D62B4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41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D62B4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4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D62B41"/>
    <w:rPr>
      <w:rFonts w:ascii="Century Gothic" w:eastAsia="Times New Roman" w:hAnsi="Century Gothic" w:cs="Times New Roman"/>
      <w:b/>
    </w:rPr>
  </w:style>
  <w:style w:type="table" w:styleId="TableGrid">
    <w:name w:val="Table Grid"/>
    <w:basedOn w:val="TableNormal"/>
    <w:uiPriority w:val="39"/>
    <w:rsid w:val="00D62B41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B41"/>
    <w:rPr>
      <w:rFonts w:ascii="Century Gothic" w:hAnsi="Century Gothic"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62B41"/>
    <w:pPr>
      <w:spacing w:after="0"/>
      <w:contextualSpacing/>
    </w:pPr>
    <w:rPr>
      <w:rFonts w:eastAsiaTheme="majorEastAsia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2B41"/>
    <w:rPr>
      <w:rFonts w:ascii="Century Gothic" w:eastAsiaTheme="majorEastAsia" w:hAnsi="Century Gothic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41"/>
    <w:rPr>
      <w:rFonts w:ascii="Century Gothic" w:eastAsiaTheme="majorEastAsia" w:hAnsi="Century Gothic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41"/>
    <w:rPr>
      <w:rFonts w:ascii="Century Gothic" w:eastAsiaTheme="majorEastAsia" w:hAnsi="Century Gothic" w:cstheme="majorBidi"/>
      <w:b/>
      <w:i/>
      <w:iCs/>
      <w:color w:val="365F91" w:themeColor="accent1" w:themeShade="BF"/>
    </w:rPr>
  </w:style>
  <w:style w:type="paragraph" w:styleId="Date">
    <w:name w:val="Date"/>
    <w:basedOn w:val="Normal"/>
    <w:next w:val="Normal"/>
    <w:link w:val="DateChar"/>
    <w:uiPriority w:val="99"/>
    <w:qFormat/>
    <w:rsid w:val="00D62B41"/>
    <w:rPr>
      <w:i/>
    </w:rPr>
  </w:style>
  <w:style w:type="character" w:customStyle="1" w:styleId="DateChar">
    <w:name w:val="Date Char"/>
    <w:basedOn w:val="DefaultParagraphFont"/>
    <w:link w:val="Date"/>
    <w:uiPriority w:val="99"/>
    <w:rsid w:val="00D62B41"/>
    <w:rPr>
      <w:rFonts w:ascii="Century Gothic" w:hAnsi="Century Gothic"/>
      <w:i/>
    </w:rPr>
  </w:style>
  <w:style w:type="table" w:styleId="TableGridLight">
    <w:name w:val="Grid Table Light"/>
    <w:basedOn w:val="TableNormal"/>
    <w:uiPriority w:val="40"/>
    <w:rsid w:val="00D62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D62B41"/>
  </w:style>
  <w:style w:type="paragraph" w:styleId="BlockText">
    <w:name w:val="Block Text"/>
    <w:basedOn w:val="Normal"/>
    <w:uiPriority w:val="99"/>
    <w:semiHidden/>
    <w:unhideWhenUsed/>
    <w:rsid w:val="00D62B4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62B41"/>
  </w:style>
  <w:style w:type="character" w:customStyle="1" w:styleId="BodyTextChar">
    <w:name w:val="Body Text Char"/>
    <w:basedOn w:val="DefaultParagraphFont"/>
    <w:link w:val="BodyText"/>
    <w:uiPriority w:val="99"/>
    <w:semiHidden/>
    <w:rsid w:val="00D62B41"/>
    <w:rPr>
      <w:rFonts w:ascii="Century Gothic" w:hAnsi="Century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2B4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2B41"/>
    <w:rPr>
      <w:rFonts w:ascii="Century Gothic" w:hAnsi="Century Gothic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2B4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2B41"/>
    <w:rPr>
      <w:rFonts w:ascii="Century Gothic" w:hAnsi="Century Gothic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2B4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2B41"/>
    <w:rPr>
      <w:rFonts w:ascii="Century Gothic" w:hAnsi="Century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B4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B41"/>
    <w:rPr>
      <w:rFonts w:ascii="Century Gothic" w:hAnsi="Century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62B4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2B41"/>
    <w:rPr>
      <w:rFonts w:ascii="Century Gothic" w:hAnsi="Century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2B4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2B41"/>
    <w:rPr>
      <w:rFonts w:ascii="Century Gothic" w:hAnsi="Century Gothic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2B4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2B41"/>
    <w:rPr>
      <w:rFonts w:ascii="Century Gothic" w:hAnsi="Century Gothic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B4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62B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62B41"/>
    <w:rPr>
      <w:rFonts w:ascii="Century Gothic" w:hAnsi="Century Gothic"/>
    </w:rPr>
  </w:style>
  <w:style w:type="table" w:styleId="ColorfulGrid">
    <w:name w:val="Colorful Grid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2B41"/>
    <w:rPr>
      <w:rFonts w:ascii="Century Gothic" w:hAnsi="Century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4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41"/>
    <w:rPr>
      <w:rFonts w:ascii="Century Gothic" w:hAnsi="Century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41"/>
    <w:rPr>
      <w:rFonts w:ascii="Century Gothic" w:hAnsi="Century Gothic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2B4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2B4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62B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62B41"/>
    <w:rPr>
      <w:rFonts w:ascii="Century Gothic" w:hAnsi="Century Gothic"/>
    </w:rPr>
  </w:style>
  <w:style w:type="character" w:styleId="Emphasis">
    <w:name w:val="Emphasis"/>
    <w:basedOn w:val="DefaultParagraphFont"/>
    <w:uiPriority w:val="20"/>
    <w:unhideWhenUsed/>
    <w:qFormat/>
    <w:rsid w:val="00D62B41"/>
    <w:rPr>
      <w:rFonts w:ascii="Century Gothic" w:hAnsi="Century Gothic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62B41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2B4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2B41"/>
    <w:rPr>
      <w:rFonts w:ascii="Century Gothic" w:hAnsi="Century Gothic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62B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62B41"/>
    <w:pPr>
      <w:spacing w:after="0" w:line="240" w:lineRule="auto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2B41"/>
    <w:rPr>
      <w:rFonts w:ascii="Century Gothic" w:hAnsi="Century Gothic"/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62B41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B4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B41"/>
    <w:rPr>
      <w:rFonts w:ascii="Century Gothic" w:hAnsi="Century Gothic"/>
      <w:szCs w:val="20"/>
    </w:rPr>
  </w:style>
  <w:style w:type="table" w:styleId="GridTable1Light">
    <w:name w:val="Grid Table 1 Light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62B41"/>
    <w:rPr>
      <w:rFonts w:ascii="Century Gothic" w:hAnsi="Century Gothic"/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41"/>
    <w:rPr>
      <w:rFonts w:ascii="Century Gothic" w:eastAsiaTheme="majorEastAsia" w:hAnsi="Century Gothic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41"/>
    <w:rPr>
      <w:rFonts w:ascii="Century Gothic" w:eastAsiaTheme="majorEastAsia" w:hAnsi="Century Gothic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41"/>
    <w:rPr>
      <w:rFonts w:ascii="Century Gothic" w:eastAsiaTheme="majorEastAsia" w:hAnsi="Century Gothic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41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41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62B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62B41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B4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B4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62B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yperlink">
    <w:name w:val="Hyperlink"/>
    <w:basedOn w:val="DefaultParagraphFont"/>
    <w:uiPriority w:val="99"/>
    <w:unhideWhenUsed/>
    <w:rsid w:val="00D62B41"/>
    <w:rPr>
      <w:rFonts w:ascii="Century Gothic" w:hAnsi="Century Gothic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62B41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2B41"/>
    <w:rPr>
      <w:rFonts w:ascii="Century Gothic" w:hAnsi="Century Gothic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2B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2B41"/>
    <w:rPr>
      <w:rFonts w:ascii="Century Gothic" w:hAnsi="Century Gothic"/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62B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paragraph" w:styleId="List">
    <w:name w:val="List"/>
    <w:basedOn w:val="Normal"/>
    <w:uiPriority w:val="99"/>
    <w:semiHidden/>
    <w:unhideWhenUsed/>
    <w:rsid w:val="00D62B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2B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2B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62B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62B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62B4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62B4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62B4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62B4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62B4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62B4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62B4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62B4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62B4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62B4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62B4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62B4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62B4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62B4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62B4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62B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62B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62B4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62B41"/>
    <w:rPr>
      <w:rFonts w:ascii="Century Gothic" w:hAnsi="Century Gothic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62B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62B41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62B41"/>
    <w:pPr>
      <w:spacing w:after="0" w:line="240" w:lineRule="auto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semiHidden/>
    <w:unhideWhenUsed/>
    <w:rsid w:val="00D62B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62B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62B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62B41"/>
    <w:rPr>
      <w:rFonts w:ascii="Century Gothic" w:hAnsi="Century Gothic"/>
    </w:rPr>
  </w:style>
  <w:style w:type="character" w:styleId="PageNumber">
    <w:name w:val="page number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table" w:styleId="PlainTable1">
    <w:name w:val="Plain Table 1"/>
    <w:basedOn w:val="TableNormal"/>
    <w:uiPriority w:val="4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62B4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2B4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62B4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62B41"/>
    <w:rPr>
      <w:rFonts w:ascii="Century Gothic" w:hAnsi="Century Gothic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62B41"/>
  </w:style>
  <w:style w:type="character" w:customStyle="1" w:styleId="SalutationChar">
    <w:name w:val="Salutation Char"/>
    <w:basedOn w:val="DefaultParagraphFont"/>
    <w:link w:val="Salutation"/>
    <w:uiPriority w:val="99"/>
    <w:rsid w:val="00D62B41"/>
    <w:rPr>
      <w:rFonts w:ascii="Century Gothic" w:hAnsi="Century Gothic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62B4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62B41"/>
    <w:rPr>
      <w:rFonts w:ascii="Century Gothic" w:hAnsi="Century Gothic"/>
    </w:rPr>
  </w:style>
  <w:style w:type="character" w:styleId="SmartHyperlink">
    <w:name w:val="Smart Hyperlink"/>
    <w:basedOn w:val="DefaultParagraphFont"/>
    <w:uiPriority w:val="99"/>
    <w:semiHidden/>
    <w:unhideWhenUsed/>
    <w:rsid w:val="00D62B41"/>
    <w:rPr>
      <w:rFonts w:ascii="Century Gothic" w:hAnsi="Century Gothic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62B41"/>
    <w:rPr>
      <w:rFonts w:ascii="Century Gothic" w:hAnsi="Century Gothic"/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62B41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62B41"/>
    <w:rPr>
      <w:rFonts w:ascii="Century Gothic" w:hAnsi="Century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62B41"/>
    <w:rPr>
      <w:rFonts w:ascii="Century Gothic" w:hAnsi="Century Gothic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62B41"/>
    <w:rPr>
      <w:rFonts w:ascii="Century Gothic" w:hAnsi="Century Gothic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62B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62B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62B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62B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62B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62B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62B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62B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62B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62B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62B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62B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62B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62B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62B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62B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62B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62B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62B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62B4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62B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62B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62B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62B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6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62B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62B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62B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62B4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2B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62B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62B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62B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62B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62B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62B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62B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62B4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B4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2B41"/>
    <w:rPr>
      <w:rFonts w:ascii="Century Gothic" w:hAnsi="Century Gothic"/>
      <w:color w:val="808080"/>
      <w:shd w:val="clear" w:color="auto" w:fill="E6E6E6"/>
    </w:rPr>
  </w:style>
  <w:style w:type="numbering" w:styleId="111111">
    <w:name w:val="Outline List 2"/>
    <w:basedOn w:val="NoList"/>
    <w:uiPriority w:val="99"/>
    <w:semiHidden/>
    <w:unhideWhenUsed/>
    <w:rsid w:val="00D62B41"/>
    <w:pPr>
      <w:numPr>
        <w:numId w:val="12"/>
      </w:numPr>
    </w:pPr>
  </w:style>
  <w:style w:type="numbering" w:styleId="1ai">
    <w:name w:val="Outline List 1"/>
    <w:basedOn w:val="NoList"/>
    <w:uiPriority w:val="99"/>
    <w:semiHidden/>
    <w:unhideWhenUsed/>
    <w:rsid w:val="00D62B41"/>
    <w:pPr>
      <w:numPr>
        <w:numId w:val="13"/>
      </w:numPr>
    </w:pPr>
  </w:style>
  <w:style w:type="numbering" w:styleId="ArticleSection">
    <w:name w:val="Outline List 3"/>
    <w:basedOn w:val="NoList"/>
    <w:uiPriority w:val="99"/>
    <w:semiHidden/>
    <w:unhideWhenUsed/>
    <w:rsid w:val="00D62B4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.degennaroaquino@grenoble-e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gen223642\AppData\Roaming\Microsoft\Templates\CV%20chronologique%20(conception%20Minimalist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chronologique (conception Minimaliste)</Template>
  <TotalTime>592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Gennaro Aquino Luca</dc:creator>
  <cp:keywords/>
  <dc:description/>
  <cp:lastModifiedBy>DEGENNAROAQUINO Luca</cp:lastModifiedBy>
  <cp:revision>14</cp:revision>
  <dcterms:created xsi:type="dcterms:W3CDTF">2019-07-11T15:05:00Z</dcterms:created>
  <dcterms:modified xsi:type="dcterms:W3CDTF">2020-01-16T18:02:00Z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