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B8572E"/>
          <w:sz w:val="92"/>
        </w:rPr>
        <w:t>ResQKit</w:t>
      </w:r>
    </w:p>
    <w:p>
      <w:pPr>
        <w:jc w:val="center"/>
      </w:pPr>
      <w:r>
        <w:rPr>
          <w:rFonts w:ascii="Georgia" w:hAnsi="Georgia"/>
          <w:color w:val="3A2415"/>
          <w:sz w:val="40"/>
        </w:rPr>
        <w:t>Comprehensive Functional User Manual</w:t>
      </w:r>
    </w:p>
    <w:p>
      <w:pPr>
        <w:jc w:val="center"/>
      </w:pPr>
      <w:r>
        <w:rPr>
          <w:i/>
          <w:color w:val="6B5B4D"/>
          <w:sz w:val="25"/>
        </w:rPr>
        <w:t>Processes, on-screen actions, and the legal and procedural basis behind each one</w:t>
      </w:r>
    </w:p>
    <w:p/>
    <w:p/>
    <w:p/>
    <w:p/>
    <w:p/>
    <w:p/>
    <w:p>
      <w:pPr>
        <w:jc w:val="center"/>
      </w:pPr>
      <w:r>
        <w:rPr>
          <w:color w:val="6B5B4D"/>
          <w:sz w:val="21"/>
        </w:rPr>
        <w:t>Content pack 1.0.0-mvp — Document date 14 August 2026</w:t>
      </w:r>
    </w:p>
    <w:p>
      <w:pPr>
        <w:jc w:val="center"/>
      </w:pPr>
      <w:r>
        <w:rPr>
          <w:color w:val="6B5B4D"/>
          <w:sz w:val="21"/>
        </w:rPr>
        <w:t>Self-hosted deployment — FastAPI + PostgreSQL backend, React/Vite frontend</w:t>
      </w:r>
    </w:p>
    <w:p/>
    <w:p/>
    <w:p/>
    <w:p/>
    <w:p/>
    <w:p/>
    <w:p/>
    <w:p/>
    <w:p>
      <w:pPr>
        <w:jc w:val="center"/>
        <w:pBdr>
          <w:top w:val="single" w:sz="6" w:space="6" w:color="B83014"/>
          <w:left w:val="single" w:sz="6" w:space="6" w:color="B83014"/>
          <w:bottom w:val="single" w:sz="6" w:space="6" w:color="B83014"/>
          <w:right w:val="single" w:sz="6" w:space="6" w:color="B83014"/>
        </w:pBdr>
        <w:shd w:val="clear" w:color="auto" w:fill="F3D9D2"/>
      </w:pPr>
      <w:r>
        <w:rPr>
          <w:b/>
          <w:color w:val="B83014"/>
          <w:sz w:val="21"/>
        </w:rPr>
        <w:t>ResQKit assists bystanders. It does not call or dispatch emergency services, is not a medical device, and never replaces the official emergency number 112. Always follow the instructions of the 112 operator over anything shown in this manual or the application.</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 and How to Use This Manual</w:t>
      </w:r>
    </w:p>
    <w:p>
      <w:r>
        <w:rPr>
          <w:b w:val="0"/>
          <w:i w:val="0"/>
        </w:rPr>
        <w:t>ResQKit is a self-hosted, local-first web application that helps an untrained bystander act usefully in the first minutes after an accident, while making sure the official emergency number 112 always comes first. It structures what a bystander sees and does into a short sequence: confirm the situation, call 112, describe the scene, check for danger, find out what first-aid equipment is actually at hand, follow a step-by-step procedure, and hand a complete, accurate summary to the crew when they arrive. Everything the app tells the user to do, and every fact it asks for, exists because a specific class of emergency responder, of first-aid instructor, or of data-protection rule requires or justifies it — this manual documents both halves: the click-by-click process, and the reason behind it.</w:t>
      </w:r>
    </w:p>
    <w:p>
      <w:r>
        <w:rPr>
          <w:b w:val="0"/>
          <w:i w:val="0"/>
        </w:rPr>
        <w:t>ResQKit is complementary to 112. It never contacts emergency services, never transmits a user's location to a dispatch centre, and never claims to replace professional judgement. Its own interface repeats this at every stage — in the header, in the persistent banner, and in the footer of every screen — and this manual repeats it here for the same reason: so that no reader mistakes preparation for dispatch.</w:t>
      </w:r>
    </w:p>
    <w:p>
      <w:pPr>
        <w:pStyle w:val="Heading2"/>
      </w:pPr>
      <w:r>
        <w:t>1.1 Who this manual is for</w:t>
      </w:r>
    </w:p>
    <w:p>
      <w:pPr>
        <w:pStyle w:val="ListBullet"/>
      </w:pPr>
      <w:r>
        <w:rPr>
          <w:b/>
        </w:rPr>
        <w:t xml:space="preserve">End users / bystanders — </w:t>
      </w:r>
      <w:r>
        <w:t>Sections 5–9 describe every screen a person uses during and after an incident, and the preparedness features available beforehand.</w:t>
      </w:r>
    </w:p>
    <w:p>
      <w:pPr>
        <w:pStyle w:val="ListBullet"/>
      </w:pPr>
      <w:r>
        <w:rPr>
          <w:b/>
        </w:rPr>
        <w:t xml:space="preserve">Account holders — </w:t>
      </w:r>
      <w:r>
        <w:t>Sections 5, 7 and 8 cover registering an account, saving kits, archiving incidents, and exercising data-protection rights.</w:t>
      </w:r>
    </w:p>
    <w:p>
      <w:pPr>
        <w:pStyle w:val="ListBullet"/>
      </w:pPr>
      <w:r>
        <w:rPr>
          <w:b/>
        </w:rPr>
        <w:t xml:space="preserve">Server operators / administrators — </w:t>
      </w:r>
      <w:r>
        <w:t>Section 10 covers deployment configuration, the admin role, and the security posture of a self-hosted instance.</w:t>
      </w:r>
    </w:p>
    <w:p>
      <w:pPr>
        <w:pStyle w:val="ListBullet"/>
      </w:pPr>
      <w:r>
        <w:rPr>
          <w:b/>
        </w:rPr>
        <w:t xml:space="preserve">Compliance reviewers — </w:t>
      </w:r>
      <w:r>
        <w:t>Section 2 and the appendices map every data field the application collects to a specific GDPR article and, where relevant, to eCall, EECC, RED or EHDS provisions.</w:t>
      </w:r>
    </w:p>
    <w:p>
      <w:pPr>
        <w:pStyle w:val="Heading2"/>
      </w:pPr>
      <w:r>
        <w:t>1.2 How this document is organised</w:t>
      </w:r>
    </w:p>
    <w:p>
      <w:r>
        <w:rPr>
          <w:b w:val="0"/>
          <w:i w:val="0"/>
        </w:rPr>
        <w:t>Each functional section follows the same pattern: a short statement of purpose, a numbered step-by-step walkthrough of the on-screen process with an accompanying screenshot from the running application, a shaded “Legal and procedural basis” note explaining why the step exists and under what authority any personal data involved is processed, and — where relevant — a data table listing exactly which fields are captured, their category under GDPR, their lawful basis, and how long they are kept. Diagrams appear at the start of each major process to show the whole flow before the manual walks through it step by step.</w:t>
      </w:r>
    </w:p>
    <w:p>
      <w:pPr>
        <w:pStyle w:val="Callout"/>
        <w:pBdr>
          <w:top w:val="single" w:sz="8" w:space="6" w:color="B8572E"/>
          <w:left w:val="single" w:sz="8" w:space="6" w:color="B8572E"/>
          <w:bottom w:val="single" w:sz="8" w:space="6" w:color="B8572E"/>
          <w:right w:val="single" w:sz="8" w:space="6" w:color="B8572E"/>
        </w:pBdr>
        <w:shd w:val="clear" w:color="auto" w:fill="F0E4D8"/>
      </w:pPr>
      <w:r>
        <w:rPr>
          <w:b/>
          <w:color w:val="B8572E"/>
        </w:rPr>
        <w:t xml:space="preserve">Document conventions.  </w:t>
      </w:r>
      <w:r>
        <w:t>Screenshots are taken from a running local instance of ResQKit using placeholder demonstration data; no real incident, patient or account data appears in this manual. Field names shown exactly as they appear on screen are set in quotation marks. GDPR article references follow Regulation (EU) 2016/679 unless another instrument is named.</w:t>
      </w:r>
    </w:p>
    <w:p>
      <w:r>
        <w:br w:type="page"/>
      </w:r>
    </w:p>
    <w:p>
      <w:pPr>
        <w:pStyle w:val="Heading1"/>
      </w:pPr>
      <w:r>
        <w:t>2. Legal and Regulatory Framework</w:t>
      </w:r>
    </w:p>
    <w:p>
      <w:r>
        <w:rPr>
          <w:b w:val="0"/>
          <w:i w:val="0"/>
        </w:rPr>
        <w:t>This section summarises the EU legal instruments that shape ResQKit's design. It is reference material, condensed from the project's own compliance research, and is repeated here so that every process description later in the manual can point back to a specific article rather than assert a justification in the abstract. It is not legal advice for any specific incident, jurisdiction, or organisation deploying ResQKit.</w:t>
      </w:r>
    </w:p>
    <w:p>
      <w:pPr>
        <w:pStyle w:val="Heading2"/>
      </w:pPr>
      <w:r>
        <w:t>2.1 GDPR — Regulation (EU) 2016/679</w:t>
      </w:r>
    </w:p>
    <w:p>
      <w:r>
        <w:rPr>
          <w:b w:val="0"/>
          <w:i w:val="0"/>
        </w:rPr>
        <w:t>The General Data Protection Regulation is the foundational instrument for every piece of personal data ResQKit touches. Four provisions recur throughout this manual:</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26"/>
            <w:shd w:val="clear" w:color="auto" w:fill="B8572E"/>
          </w:tcPr>
          <w:p>
            <w:r/>
            <w:r>
              <w:rPr>
                <w:b/>
                <w:color w:val="FFFFFF"/>
                <w:sz w:val="18"/>
              </w:rPr>
              <w:t>Provision</w:t>
            </w:r>
          </w:p>
        </w:tc>
        <w:tc>
          <w:tcPr>
            <w:tcW w:type="dxa" w:w="3827"/>
            <w:shd w:val="clear" w:color="auto" w:fill="B8572E"/>
          </w:tcPr>
          <w:p>
            <w:r/>
            <w:r>
              <w:rPr>
                <w:b/>
                <w:color w:val="FFFFFF"/>
                <w:sz w:val="18"/>
              </w:rPr>
              <w:t>What it requires</w:t>
            </w:r>
          </w:p>
        </w:tc>
        <w:tc>
          <w:tcPr>
            <w:tcW w:type="dxa" w:w="3118"/>
            <w:shd w:val="clear" w:color="auto" w:fill="B8572E"/>
          </w:tcPr>
          <w:p>
            <w:r/>
            <w:r>
              <w:rPr>
                <w:b/>
                <w:color w:val="FFFFFF"/>
                <w:sz w:val="18"/>
              </w:rPr>
              <w:t>Where ResQKit applies it</w:t>
            </w:r>
          </w:p>
        </w:tc>
      </w:tr>
      <w:tr>
        <w:tc>
          <w:tcPr>
            <w:tcW w:type="dxa" w:w="2126"/>
          </w:tcPr>
          <w:p>
            <w:r/>
            <w:r>
              <w:rPr>
                <w:sz w:val="18"/>
              </w:rPr>
              <w:t>Art. 6(1)(a) / 9(2)(a) — consent</w:t>
            </w:r>
          </w:p>
        </w:tc>
        <w:tc>
          <w:tcPr>
            <w:tcW w:type="dxa" w:w="3827"/>
          </w:tcPr>
          <w:p>
            <w:r/>
            <w:r>
              <w:rPr>
                <w:sz w:val="18"/>
              </w:rPr>
              <w:t>Processing needs a freely given, specific, informed indication of the data subject's wishes; for special-category data, consent must be explicit.</w:t>
            </w:r>
          </w:p>
        </w:tc>
        <w:tc>
          <w:tcPr>
            <w:tcW w:type="dxa" w:w="3118"/>
          </w:tcPr>
          <w:p>
            <w:r/>
            <w:r>
              <w:rPr>
                <w:sz w:val="18"/>
              </w:rPr>
              <w:t>The optional health-data toggle on the Consent screen; the optional Safety Profile.</w:t>
            </w:r>
          </w:p>
        </w:tc>
      </w:tr>
      <w:tr>
        <w:tc>
          <w:tcPr>
            <w:tcW w:type="dxa" w:w="2126"/>
            <w:shd w:val="clear" w:color="auto" w:fill="F7F3EE"/>
          </w:tcPr>
          <w:p>
            <w:r/>
            <w:r>
              <w:rPr>
                <w:sz w:val="18"/>
              </w:rPr>
              <w:t>Art. 6(1)(d) / 9(2)(c) — vital interests</w:t>
            </w:r>
          </w:p>
        </w:tc>
        <w:tc>
          <w:tcPr>
            <w:tcW w:type="dxa" w:w="3827"/>
            <w:shd w:val="clear" w:color="auto" w:fill="F7F3EE"/>
          </w:tcPr>
          <w:p>
            <w:r/>
            <w:r>
              <w:rPr>
                <w:sz w:val="18"/>
              </w:rPr>
              <w:t>Processing is lawful where necessary to protect the vital interests of the data subject or another natural person who is physically or legally incapable of giving consent.</w:t>
            </w:r>
          </w:p>
        </w:tc>
        <w:tc>
          <w:tcPr>
            <w:tcW w:type="dxa" w:w="3118"/>
            <w:shd w:val="clear" w:color="auto" w:fill="F7F3EE"/>
          </w:tcPr>
          <w:p>
            <w:r/>
            <w:r>
              <w:rPr>
                <w:sz w:val="18"/>
              </w:rPr>
              <w:t>Scene triage, hazard, kit and handoff data captured about a victim during an active incident.</w:t>
            </w:r>
          </w:p>
        </w:tc>
      </w:tr>
      <w:tr>
        <w:tc>
          <w:tcPr>
            <w:tcW w:type="dxa" w:w="2126"/>
          </w:tcPr>
          <w:p>
            <w:r/>
            <w:r>
              <w:rPr>
                <w:sz w:val="18"/>
              </w:rPr>
              <w:t>Art. 5(1)(c) — data minimisation</w:t>
            </w:r>
          </w:p>
        </w:tc>
        <w:tc>
          <w:tcPr>
            <w:tcW w:type="dxa" w:w="3827"/>
          </w:tcPr>
          <w:p>
            <w:r/>
            <w:r>
              <w:rPr>
                <w:sz w:val="18"/>
              </w:rPr>
              <w:t>Personal data must be adequate, relevant and limited to what is necessary for the purpose.</w:t>
            </w:r>
          </w:p>
        </w:tc>
        <w:tc>
          <w:tcPr>
            <w:tcW w:type="dxa" w:w="3118"/>
          </w:tcPr>
          <w:p>
            <w:r/>
            <w:r>
              <w:rPr>
                <w:sz w:val="18"/>
              </w:rPr>
              <w:t>The field set on every screen is drawn from a documented responder-priority list, not a generic form; nothing is collected “in case it's useful later”.</w:t>
            </w:r>
          </w:p>
        </w:tc>
      </w:tr>
      <w:tr>
        <w:tc>
          <w:tcPr>
            <w:tcW w:type="dxa" w:w="2126"/>
            <w:shd w:val="clear" w:color="auto" w:fill="F7F3EE"/>
          </w:tcPr>
          <w:p>
            <w:r/>
            <w:r>
              <w:rPr>
                <w:sz w:val="18"/>
              </w:rPr>
              <w:t>Art. 5(1)(e) — storage limitation</w:t>
            </w:r>
          </w:p>
        </w:tc>
        <w:tc>
          <w:tcPr>
            <w:tcW w:type="dxa" w:w="3827"/>
            <w:shd w:val="clear" w:color="auto" w:fill="F7F3EE"/>
          </w:tcPr>
          <w:p>
            <w:r/>
            <w:r>
              <w:rPr>
                <w:sz w:val="18"/>
              </w:rPr>
              <w:t>Personal data must be kept in identifiable form no longer than necessary.</w:t>
            </w:r>
          </w:p>
        </w:tc>
        <w:tc>
          <w:tcPr>
            <w:tcW w:type="dxa" w:w="3118"/>
            <w:shd w:val="clear" w:color="auto" w:fill="F7F3EE"/>
          </w:tcPr>
          <w:p>
            <w:r/>
            <w:r>
              <w:rPr>
                <w:sz w:val="18"/>
              </w:rPr>
              <w:t>The incident record's default lifetime is the incident itself; longer retention (24 hours, 7 days, or an archived account copy) is always an explicit opt-in.</w:t>
            </w:r>
          </w:p>
        </w:tc>
      </w:tr>
      <w:tr>
        <w:tc>
          <w:tcPr>
            <w:tcW w:type="dxa" w:w="2126"/>
          </w:tcPr>
          <w:p>
            <w:r/>
            <w:r>
              <w:rPr>
                <w:sz w:val="18"/>
              </w:rPr>
              <w:t>Art. 25 — data protection by design and by default</w:t>
            </w:r>
          </w:p>
        </w:tc>
        <w:tc>
          <w:tcPr>
            <w:tcW w:type="dxa" w:w="3827"/>
          </w:tcPr>
          <w:p>
            <w:r/>
            <w:r>
              <w:rPr>
                <w:sz w:val="18"/>
              </w:rPr>
              <w:t>Technical and organisational measures must implement data-protection principles from the outset, with the strictest privacy settings applied automatically.</w:t>
            </w:r>
          </w:p>
        </w:tc>
        <w:tc>
          <w:tcPr>
            <w:tcW w:type="dxa" w:w="3118"/>
          </w:tcPr>
          <w:p>
            <w:r/>
            <w:r>
              <w:rPr>
                <w:sz w:val="18"/>
              </w:rPr>
              <w:t>Local-first storage, health fields locked until explicit consent, and a default retention of “delete on close” are all defaults, not options a user must find and enable.</w:t>
            </w:r>
          </w:p>
        </w:tc>
      </w:tr>
      <w:tr>
        <w:tc>
          <w:tcPr>
            <w:tcW w:type="dxa" w:w="2126"/>
            <w:shd w:val="clear" w:color="auto" w:fill="F7F3EE"/>
          </w:tcPr>
          <w:p>
            <w:r/>
            <w:r>
              <w:rPr>
                <w:sz w:val="18"/>
              </w:rPr>
              <w:t>Art. 15–18 — data subject rights</w:t>
            </w:r>
          </w:p>
        </w:tc>
        <w:tc>
          <w:tcPr>
            <w:tcW w:type="dxa" w:w="3827"/>
            <w:shd w:val="clear" w:color="auto" w:fill="F7F3EE"/>
          </w:tcPr>
          <w:p>
            <w:r/>
            <w:r>
              <w:rPr>
                <w:sz w:val="18"/>
              </w:rPr>
              <w:t>Right of access, rectification, erasure and restriction of processing.</w:t>
            </w:r>
          </w:p>
        </w:tc>
        <w:tc>
          <w:tcPr>
            <w:tcW w:type="dxa" w:w="3118"/>
            <w:shd w:val="clear" w:color="auto" w:fill="F7F3EE"/>
          </w:tcPr>
          <w:p>
            <w:r/>
            <w:r>
              <w:rPr>
                <w:sz w:val="18"/>
              </w:rPr>
              <w:t>The Review screen (Section 8) operationalises all four rights without a request form or a wait.</w:t>
            </w:r>
          </w:p>
        </w:tc>
      </w:tr>
      <w:tr>
        <w:tc>
          <w:tcPr>
            <w:tcW w:type="dxa" w:w="2126"/>
          </w:tcPr>
          <w:p>
            <w:r/>
            <w:r>
              <w:rPr>
                <w:sz w:val="18"/>
              </w:rPr>
              <w:t>Art. 32 — security of processing</w:t>
            </w:r>
          </w:p>
        </w:tc>
        <w:tc>
          <w:tcPr>
            <w:tcW w:type="dxa" w:w="3827"/>
          </w:tcPr>
          <w:p>
            <w:r/>
            <w:r>
              <w:rPr>
                <w:sz w:val="18"/>
              </w:rPr>
              <w:t>Appropriate technical measures, including encryption and access control, proportionate to risk.</w:t>
            </w:r>
          </w:p>
        </w:tc>
        <w:tc>
          <w:tcPr>
            <w:tcW w:type="dxa" w:w="3118"/>
          </w:tcPr>
          <w:p>
            <w:r/>
            <w:r>
              <w:rPr>
                <w:sz w:val="18"/>
              </w:rPr>
              <w:t>Passwords are hashed (bcrypt) and never stored in plain text; sessions use signed, time-limited JSON Web Tokens sent only in an Authorization header (never a cookie).</w:t>
            </w:r>
          </w:p>
        </w:tc>
      </w:tr>
    </w:tbl>
    <w:p>
      <w:pPr>
        <w:spacing w:after="80"/>
      </w:pPr>
    </w:p>
    <w:p>
      <w:pPr>
        <w:pStyle w:val="Heading2"/>
      </w:pPr>
      <w:r>
        <w:t>2.2 112, eCall and caller-location instruments</w:t>
      </w:r>
    </w:p>
    <w:p>
      <w:r>
        <w:rPr>
          <w:b w:val="0"/>
          <w:i w:val="0"/>
        </w:rPr>
        <w:t>ResQKit is positioned deliberately against a family of instruments that govern how the official emergency chain works, precisely so the application does not duplicate or interfere with it:</w:t>
      </w:r>
    </w:p>
    <w:p>
      <w:pPr>
        <w:pStyle w:val="ListBullet"/>
      </w:pPr>
      <w:r>
        <w:rPr>
          <w:b/>
        </w:rPr>
        <w:t xml:space="preserve">eCall — Regulation (EU) 2015/758 and Delegated Regulation (EU) No 305/2013. </w:t>
      </w:r>
      <w:r>
        <w:t>The in-vehicle eCall system automatically or manually places a 112 call and transmits a Minimum Set of Data to the Public Safety Answering Point. ResQKit is not an eCall system and does not transmit any Minimum Set of Data; it only helps the human caller describe the same facts out loud.</w:t>
      </w:r>
    </w:p>
    <w:p>
      <w:pPr>
        <w:pStyle w:val="ListBullet"/>
      </w:pPr>
      <w:r>
        <w:rPr>
          <w:b/>
        </w:rPr>
        <w:t xml:space="preserve">European Electronic Communications Code — Directive (EU) 2018/1972, Art. 109, and Delegated Regulation (EU) 2023/444. </w:t>
      </w:r>
      <w:r>
        <w:t>Caller location for 112 is delivered by the handset and the mobile network to the Public Safety Answering Point automatically, outside any app. ResQKit reads GNSS coordinates only to help the user read their own position aloud to the operator — it never transmits that location anywhere.</w:t>
      </w:r>
    </w:p>
    <w:p>
      <w:pPr>
        <w:pStyle w:val="ListBullet"/>
      </w:pPr>
      <w:r>
        <w:rPr>
          <w:b/>
        </w:rPr>
        <w:t xml:space="preserve">Radio Equipment Directive — Directive 2014/53/EU and Delegated Regulation (EU) 2019/320. </w:t>
      </w:r>
      <w:r>
        <w:t>Requires handsets to expose Wi-Fi and GNSS location for emergency communications, which is what makes the “Get fix” control on the 112 Gate screen (Section 6.4) meaningful in the first place.</w:t>
      </w:r>
    </w:p>
    <w:p>
      <w:pPr>
        <w:pStyle w:val="Heading2"/>
      </w:pPr>
      <w:r>
        <w:t>2.3 European Health Data Space — Regulation (EU) 2025/327</w:t>
      </w:r>
    </w:p>
    <w:p>
      <w:r>
        <w:rPr>
          <w:b w:val="0"/>
          <w:i w:val="0"/>
        </w:rPr>
        <w:t>The EHDS establishes EU-wide rules for electronic health data, including patient-controlled access and cross-border exchange through MyHealth@EU. ResQKit's Safety Profile and incident health fields are the kind of data the EHDS is designed to eventually interoperate with, but release 1 of ResQKit does not participate in MyHealth@EU, does not use the HL7 FHIR interoperability format, and performs no cross-border health-data exchange of any kind — every health field stays on the user's own device unless they explicitly archive it to their own self-hosted account (Section 8.3).</w:t>
      </w:r>
    </w:p>
    <w:p>
      <w:pPr>
        <w:pStyle w:val="Heading2"/>
      </w:pPr>
      <w:r>
        <w:t>2.4 NIS2, Critical Entities Resilience, and the EU Civil Protection Mechanism</w:t>
      </w:r>
    </w:p>
    <w:p>
      <w:r>
        <w:rPr>
          <w:b w:val="0"/>
          <w:i w:val="0"/>
        </w:rPr>
        <w:t>The NIS2 Directive and the Critical Entities Resilience Directive treat emergency-communication infrastructure (Public Safety Answering Points, carrier networks) as critical infrastructure requiring cybersecurity and resilience obligations. ResQKit is not itself part of that infrastructure — it is a bystander-facing assistance tool that sits entirely outside the 112 chain — but a server operator self-hosting ResQKit for an organisation (a workplace, a fleet, a venue) should apply the same proportionate security posture described in Section 10 for the same underlying reason NIS2 gives: an emergency-adjacent system that fails at the wrong moment has consequences beyond the data it holds.</w:t>
      </w:r>
    </w:p>
    <w:p>
      <w:pPr>
        <w:pStyle w:val="Heading2"/>
      </w:pPr>
      <w:r>
        <w:t>2.5 Cross-border data transfer</w:t>
      </w:r>
    </w:p>
    <w:p>
      <w:r>
        <w:rPr>
          <w:b w:val="0"/>
          <w:i w:val="0"/>
        </w:rPr>
        <w:t>Because ResQKit's default posture keeps data on the user's device and, when archived, on a server the operator chooses to run, no international transfer machinery (adequacy decisions, Standard Contractual Clauses, the post-Schrems II Transfer Impact Assessment) is engaged in a default deployment. This becomes a live analysis the moment an operator points the self-hosted backend at a database or AI provider located outside the EU/EEA, or in a jurisdiction without an adequacy decision — a choice covered explicitly in Sections 9 and 10, because it is an operator decision, not an application default.</w:t>
      </w:r>
    </w:p>
    <w:p>
      <w:pPr>
        <w:pStyle w:val="Heading2"/>
      </w:pPr>
      <w:r>
        <w:t>2.6 A note on medical and legal content</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Anti-hallucination guarantee.  </w:t>
      </w:r>
      <w:r>
        <w:t>Every first-aid step and every regulation card shown inside ResQKit is served from a curated, versioned content pack with a named source document (see Section 12). No AI model is permitted to author or extend medical or legal content; where the content pack has no verified source for a topic, the application shows an explicit gap rather than a generated answer. This manual follows the same rule: procedural descriptions below quote the content pack rather than paraphrasing from general knowledge.</w:t>
      </w:r>
    </w:p>
    <w:p>
      <w:r>
        <w:br w:type="page"/>
      </w:r>
    </w:p>
    <w:p>
      <w:pPr>
        <w:pStyle w:val="Heading1"/>
      </w:pPr>
      <w:r>
        <w:t>3. System Overview and Data Architecture</w:t>
      </w:r>
    </w:p>
    <w:p>
      <w:r>
        <w:rPr>
          <w:b w:val="0"/>
          <w:i w:val="0"/>
        </w:rPr>
        <w:t>ResQKit is built as two cooperating parts that a server operator runs together: a React/TypeScript single-page application in the browser, and a Python FastAPI backend with its own PostgreSQL database. There is no third-party cloud platform in between — the backend is the only server the frontend ever talks to, and every account, kit, and archived incident lives in that one PostgreSQL database, under the operator's own control.</w:t>
      </w:r>
    </w:p>
    <w:p>
      <w:pPr>
        <w:pStyle w:val="Heading2"/>
      </w:pPr>
      <w:r>
        <w:t>3.1 Local-first by default</w:t>
      </w:r>
    </w:p>
    <w:p>
      <w:r>
        <w:rPr>
          <w:b w:val="0"/>
          <w:i w:val="0"/>
        </w:rPr>
        <w:t>The emergency flow itself — everything from the Home screen through Handoff — reads and writes exclusively to the browser's own local storage. Nothing about running an emergency is sent to the backend unless the user takes one of two explicit actions after the fact: archiving a finished incident to their account, or saving a kit under My Kits. Figure 3.1 shows exactly which pieces of data live where, and precisely which button press moves data from the device to the server.</w:t>
      </w:r>
    </w:p>
    <w:p>
      <w:pPr>
        <w:jc w:val="center"/>
      </w:pPr>
      <w:r>
        <w:drawing>
          <wp:inline xmlns:a="http://schemas.openxmlformats.org/drawingml/2006/main" xmlns:pic="http://schemas.openxmlformats.org/drawingml/2006/picture">
            <wp:extent cx="5760720" cy="4399095"/>
            <wp:docPr id="1" name="Picture 1"/>
            <wp:cNvGraphicFramePr>
              <a:graphicFrameLocks noChangeAspect="1"/>
            </wp:cNvGraphicFramePr>
            <a:graphic>
              <a:graphicData uri="http://schemas.openxmlformats.org/drawingml/2006/picture">
                <pic:pic>
                  <pic:nvPicPr>
                    <pic:cNvPr id="0" name="flow_data_lifecycle.png"/>
                    <pic:cNvPicPr/>
                  </pic:nvPicPr>
                  <pic:blipFill>
                    <a:blip r:embed="rId9"/>
                    <a:stretch>
                      <a:fillRect/>
                    </a:stretch>
                  </pic:blipFill>
                  <pic:spPr>
                    <a:xfrm>
                      <a:off x="0" y="0"/>
                      <a:ext cx="5760720" cy="4399095"/>
                    </a:xfrm>
                    <a:prstGeom prst="rect"/>
                  </pic:spPr>
                </pic:pic>
              </a:graphicData>
            </a:graphic>
          </wp:inline>
        </w:drawing>
      </w:r>
    </w:p>
    <w:p>
      <w:pPr>
        <w:pStyle w:val="PhotoCaption"/>
      </w:pPr>
      <w:r>
        <w:t>Figure 3.1 — Where ResQKit data lives, and the explicit actions that move it off-device.</w:t>
      </w:r>
    </w:p>
    <w:p>
      <w:pPr>
        <w:pStyle w:val="Heading2"/>
      </w:pPr>
      <w:r>
        <w:t>3.2 What the backend stores</w:t>
      </w:r>
    </w:p>
    <w:p>
      <w:r>
        <w:rPr>
          <w:b w:val="0"/>
          <w:i w:val="0"/>
        </w:rPr>
        <w:t>The PostgreSQL database holds exactly three tables of application data, each scoped per user: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72"/>
            <w:shd w:val="clear" w:color="auto" w:fill="B8572E"/>
          </w:tcPr>
          <w:p>
            <w:r/>
            <w:r>
              <w:rPr>
                <w:b/>
                <w:color w:val="FFFFFF"/>
                <w:sz w:val="18"/>
              </w:rPr>
              <w:t>Table</w:t>
            </w:r>
          </w:p>
        </w:tc>
        <w:tc>
          <w:tcPr>
            <w:tcW w:type="dxa" w:w="4217"/>
            <w:shd w:val="clear" w:color="auto" w:fill="B8572E"/>
          </w:tcPr>
          <w:p>
            <w:r/>
            <w:r>
              <w:rPr>
                <w:b/>
                <w:color w:val="FFFFFF"/>
                <w:sz w:val="18"/>
              </w:rPr>
              <w:t>Contents</w:t>
            </w:r>
          </w:p>
        </w:tc>
        <w:tc>
          <w:tcPr>
            <w:tcW w:type="dxa" w:w="2683"/>
            <w:shd w:val="clear" w:color="auto" w:fill="B8572E"/>
          </w:tcPr>
          <w:p>
            <w:r/>
            <w:r>
              <w:rPr>
                <w:b/>
                <w:color w:val="FFFFFF"/>
                <w:sz w:val="18"/>
              </w:rPr>
              <w:t>Who can read/write it</w:t>
            </w:r>
          </w:p>
        </w:tc>
      </w:tr>
      <w:tr>
        <w:tc>
          <w:tcPr>
            <w:tcW w:type="dxa" w:w="2172"/>
          </w:tcPr>
          <w:p>
            <w:r/>
            <w:r>
              <w:rPr>
                <w:sz w:val="18"/>
              </w:rPr>
              <w:t>users</w:t>
            </w:r>
          </w:p>
        </w:tc>
        <w:tc>
          <w:tcPr>
            <w:tcW w:type="dxa" w:w="4217"/>
          </w:tcPr>
          <w:p>
            <w:r/>
            <w:r>
              <w:rPr>
                <w:sz w:val="18"/>
              </w:rPr>
              <w:t>Account email, a bcrypt password hash, display name, role (user/admin), timestamps.</w:t>
            </w:r>
          </w:p>
        </w:tc>
        <w:tc>
          <w:tcPr>
            <w:tcW w:type="dxa" w:w="2683"/>
          </w:tcPr>
          <w:p>
            <w:r/>
            <w:r>
              <w:rPr>
                <w:sz w:val="18"/>
              </w:rPr>
              <w:t>Each user reads/updates only their own row via /api/v1/auth/me; only an admin account can list others.</w:t>
            </w:r>
          </w:p>
        </w:tc>
      </w:tr>
      <w:tr>
        <w:tc>
          <w:tcPr>
            <w:tcW w:type="dxa" w:w="2172"/>
            <w:shd w:val="clear" w:color="auto" w:fill="F7F3EE"/>
          </w:tcPr>
          <w:p>
            <w:r/>
            <w:r>
              <w:rPr>
                <w:sz w:val="18"/>
              </w:rPr>
              <w:t>incident_records</w:t>
            </w:r>
          </w:p>
        </w:tc>
        <w:tc>
          <w:tcPr>
            <w:tcW w:type="dxa" w:w="4217"/>
            <w:shd w:val="clear" w:color="auto" w:fill="F7F3EE"/>
          </w:tcPr>
          <w:p>
            <w:r/>
            <w:r>
              <w:rPr>
                <w:sz w:val="18"/>
              </w:rPr>
              <w:t>Only incidents a signed-in user explicitly archived via the Review screen's “Archive to my account” action — never captured automatically.</w:t>
            </w:r>
          </w:p>
        </w:tc>
        <w:tc>
          <w:tcPr>
            <w:tcW w:type="dxa" w:w="2683"/>
            <w:shd w:val="clear" w:color="auto" w:fill="F7F3EE"/>
          </w:tcPr>
          <w:p>
            <w:r/>
            <w:r>
              <w:rPr>
                <w:sz w:val="18"/>
              </w:rPr>
              <w:t>Each authenticated user sees only the incidents they archived; an admin-only endpoint exists for full oversight (Section 10.3).</w:t>
            </w:r>
          </w:p>
        </w:tc>
      </w:tr>
      <w:tr>
        <w:tc>
          <w:tcPr>
            <w:tcW w:type="dxa" w:w="2172"/>
          </w:tcPr>
          <w:p>
            <w:r/>
            <w:r>
              <w:rPr>
                <w:sz w:val="18"/>
              </w:rPr>
              <w:t>registered_kits</w:t>
            </w:r>
          </w:p>
        </w:tc>
        <w:tc>
          <w:tcPr>
            <w:tcW w:type="dxa" w:w="4217"/>
          </w:tcPr>
          <w:p>
            <w:r/>
            <w:r>
              <w:rPr>
                <w:sz w:val="18"/>
              </w:rPr>
              <w:t>Kit entries created under My Kits: type, label, location note, contents, and computed missing items.</w:t>
            </w:r>
          </w:p>
        </w:tc>
        <w:tc>
          <w:tcPr>
            <w:tcW w:type="dxa" w:w="2683"/>
          </w:tcPr>
          <w:p>
            <w:r/>
            <w:r>
              <w:rPr>
                <w:sz w:val="18"/>
              </w:rPr>
              <w:t>Same per-user scoping as incident_records.</w:t>
            </w:r>
          </w:p>
        </w:tc>
      </w:tr>
    </w:tbl>
    <w:p>
      <w:pPr>
        <w:spacing w:after="80"/>
      </w:pP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No unauthenticated access.  </w:t>
      </w:r>
      <w:r>
        <w:t>Every entity endpoint behind incident_records and registered_kits requires a valid session token; there is no way to read, create, modify or delete another user's archived incidents or kits through the API.</w:t>
      </w:r>
    </w:p>
    <w:p>
      <w:pPr>
        <w:pStyle w:val="Heading2"/>
      </w:pPr>
      <w:r>
        <w:t>3.3 Optional AI features</w:t>
      </w:r>
    </w:p>
    <w:p>
      <w:r>
        <w:rPr>
          <w:b w:val="0"/>
          <w:i w:val="0"/>
        </w:rPr>
        <w:t>Two features call out to an AI model: recognising first-aid kit contents from a camera photo, and rewriting the deterministic rescuer brief into a short spoken paragraph. Both are described in full in Section 9. In a default deployment, that model is a self-hosted, open-source model running on the operator's own server (via an OpenAI-compatible local endpoint) — the photo and the brief text never leave the machine ResQKit runs on. If an operator instead configures the backend to call an external AI provider, that is a deliberate configuration change made by whoever runs the server, surfaced to the end user in-app (the “Open-source AI” badges shown throughout this manual describe the default; an operator who repoints them should update that label to match).</w:t>
      </w:r>
    </w:p>
    <w:p>
      <w:pPr>
        <w:pStyle w:val="Heading2"/>
      </w:pPr>
      <w:r>
        <w:t>3.4 Network boundary summary</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0"/>
            <w:shd w:val="clear" w:color="auto" w:fill="B8572E"/>
          </w:tcPr>
          <w:p>
            <w:r/>
            <w:r>
              <w:rPr>
                <w:b/>
                <w:color w:val="FFFFFF"/>
                <w:sz w:val="18"/>
              </w:rPr>
              <w:t>Component</w:t>
            </w:r>
          </w:p>
        </w:tc>
        <w:tc>
          <w:tcPr>
            <w:tcW w:type="dxa" w:w="3705"/>
            <w:shd w:val="clear" w:color="auto" w:fill="B8572E"/>
          </w:tcPr>
          <w:p>
            <w:r/>
            <w:r>
              <w:rPr>
                <w:b/>
                <w:color w:val="FFFFFF"/>
                <w:sz w:val="18"/>
              </w:rPr>
              <w:t>Talks to</w:t>
            </w:r>
          </w:p>
        </w:tc>
        <w:tc>
          <w:tcPr>
            <w:tcW w:type="dxa" w:w="3067"/>
            <w:shd w:val="clear" w:color="auto" w:fill="B8572E"/>
          </w:tcPr>
          <w:p>
            <w:r/>
            <w:r>
              <w:rPr>
                <w:b/>
                <w:color w:val="FFFFFF"/>
                <w:sz w:val="18"/>
              </w:rPr>
              <w:t>Never talks to</w:t>
            </w:r>
          </w:p>
        </w:tc>
      </w:tr>
      <w:tr>
        <w:tc>
          <w:tcPr>
            <w:tcW w:type="dxa" w:w="2300"/>
          </w:tcPr>
          <w:p>
            <w:r/>
            <w:r>
              <w:rPr>
                <w:sz w:val="18"/>
              </w:rPr>
              <w:t>Browser (frontend)</w:t>
            </w:r>
          </w:p>
        </w:tc>
        <w:tc>
          <w:tcPr>
            <w:tcW w:type="dxa" w:w="3705"/>
          </w:tcPr>
          <w:p>
            <w:r/>
            <w:r>
              <w:rPr>
                <w:sz w:val="18"/>
              </w:rPr>
              <w:t>Only this deployment's own FastAPI backend, over HTTPS/HTTP as configured.</w:t>
            </w:r>
          </w:p>
        </w:tc>
        <w:tc>
          <w:tcPr>
            <w:tcW w:type="dxa" w:w="3067"/>
          </w:tcPr>
          <w:p>
            <w:r/>
            <w:r>
              <w:rPr>
                <w:sz w:val="18"/>
              </w:rPr>
              <w:t>No third-party analytics, no cloud SDK, no external identity provider.</w:t>
            </w:r>
          </w:p>
        </w:tc>
      </w:tr>
      <w:tr>
        <w:tc>
          <w:tcPr>
            <w:tcW w:type="dxa" w:w="2300"/>
            <w:shd w:val="clear" w:color="auto" w:fill="F7F3EE"/>
          </w:tcPr>
          <w:p>
            <w:r/>
            <w:r>
              <w:rPr>
                <w:sz w:val="18"/>
              </w:rPr>
              <w:t>Backend (FastAPI)</w:t>
            </w:r>
          </w:p>
        </w:tc>
        <w:tc>
          <w:tcPr>
            <w:tcW w:type="dxa" w:w="3705"/>
            <w:shd w:val="clear" w:color="auto" w:fill="F7F3EE"/>
          </w:tcPr>
          <w:p>
            <w:r/>
            <w:r>
              <w:rPr>
                <w:sz w:val="18"/>
              </w:rPr>
              <w:t>Its own PostgreSQL database; the configured AI endpoint only when a user triggers kit recognition or spoken-brief generation.</w:t>
            </w:r>
          </w:p>
        </w:tc>
        <w:tc>
          <w:tcPr>
            <w:tcW w:type="dxa" w:w="3067"/>
            <w:shd w:val="clear" w:color="auto" w:fill="F7F3EE"/>
          </w:tcPr>
          <w:p>
            <w:r/>
            <w:r>
              <w:rPr>
                <w:sz w:val="18"/>
              </w:rPr>
              <w:t>No object-storage provider, no payment processor, no external auth platform — none are wired into this deployment.</w:t>
            </w:r>
          </w:p>
        </w:tc>
      </w:tr>
      <w:tr>
        <w:tc>
          <w:tcPr>
            <w:tcW w:type="dxa" w:w="2300"/>
          </w:tcPr>
          <w:p>
            <w:r/>
            <w:r>
              <w:rPr>
                <w:sz w:val="18"/>
              </w:rPr>
              <w:t>112 emergency call</w:t>
            </w:r>
          </w:p>
        </w:tc>
        <w:tc>
          <w:tcPr>
            <w:tcW w:type="dxa" w:w="3705"/>
          </w:tcPr>
          <w:p>
            <w:r/>
            <w:r>
              <w:rPr>
                <w:sz w:val="18"/>
              </w:rPr>
              <w:t>The device's own cellular voice network, directly, via the phone's dialler.</w:t>
            </w:r>
          </w:p>
        </w:tc>
        <w:tc>
          <w:tcPr>
            <w:tcW w:type="dxa" w:w="3067"/>
          </w:tcPr>
          <w:p>
            <w:r/>
            <w:r>
              <w:rPr>
                <w:sz w:val="18"/>
              </w:rPr>
              <w:t>ResQKit at no point intermediates, logs, or transmits anything about this call.</w:t>
            </w:r>
          </w:p>
        </w:tc>
      </w:tr>
    </w:tbl>
    <w:p>
      <w:pPr>
        <w:spacing w:after="80"/>
      </w:pPr>
    </w:p>
    <w:p>
      <w:r>
        <w:br w:type="page"/>
      </w:r>
    </w:p>
    <w:p>
      <w:pPr>
        <w:pStyle w:val="Heading1"/>
      </w:pPr>
      <w:r>
        <w:t>4. Getting Started</w:t>
      </w:r>
    </w:p>
    <w:p>
      <w:pPr>
        <w:pStyle w:val="Heading2"/>
      </w:pPr>
      <w:r>
        <w:t>4.1 For end users</w:t>
      </w:r>
    </w:p>
    <w:p>
      <w:pPr>
        <w:pStyle w:val="ListNumber"/>
      </w:pPr>
      <w:r>
        <w:t>Open the web address your organisation or you, as operator, have given you for this ResQKit instance. No installation is required — it runs in the browser.</w:t>
      </w:r>
    </w:p>
    <w:p>
      <w:pPr>
        <w:pStyle w:val="ListNumber"/>
      </w:pPr>
      <w:r>
        <w:t>You can start the emergency flow immediately from the Home screen without creating an account. An account is only needed later if you want to save kit lists or keep a copy of an incident after you close it.</w:t>
      </w:r>
    </w:p>
    <w:p>
      <w:pPr>
        <w:pStyle w:val="ListNumber"/>
      </w:pPr>
      <w:r>
        <w:t>If you want to prepare in advance, fill in your Safety Profile (Section 7.1) and register the kits you actually own (Section 7.2) before anything happens — both are optional but make the emergency flow faster and more specific to your situation.</w:t>
      </w:r>
    </w:p>
    <w:p>
      <w:pPr>
        <w:pStyle w:val="Heading2"/>
      </w:pPr>
      <w:r>
        <w:t>4.2 For administrators — running your own instance</w:t>
      </w:r>
    </w:p>
    <w:p>
      <w:r>
        <w:rPr>
          <w:b w:val="0"/>
          <w:i w:val="0"/>
        </w:rPr>
        <w:t>ResQKit is designed to be self-hosted. A minimal deployment needs three things under your control: a PostgreSQL database, the FastAPI backend, and the built frontend. There is no external account, API key, or cloud subscription required to run the core application.</w:t>
      </w:r>
    </w:p>
    <w:p>
      <w:pPr>
        <w:pStyle w:val="ListNumber"/>
      </w:pPr>
      <w:r>
        <w:t>Provision a PostgreSQL database and set DATABASE_URL in the backend's environment (postgresql+asyncpg://user:password@host:5432/dbname).</w:t>
      </w:r>
    </w:p>
    <w:p>
      <w:pPr>
        <w:pStyle w:val="ListNumber"/>
      </w:pPr>
      <w:r>
        <w:t>Set JWT_SECRET_KEY to a strong, random value — this signs every session token issued by the server; treat it like a password.</w:t>
      </w:r>
    </w:p>
    <w:p>
      <w:pPr>
        <w:pStyle w:val="ListNumber"/>
      </w:pPr>
      <w:r>
        <w:t>Optionally set ADMIN_EMAIL and ADMIN_PASSWORD. On first startup the backend creates or promotes that account to the admin role automatically (Section 10.1).</w:t>
      </w:r>
    </w:p>
    <w:p>
      <w:pPr>
        <w:pStyle w:val="ListNumber"/>
      </w:pPr>
      <w:r>
        <w:t>Optionally set APP_AI_BASE_URL / APP_AI_KEY to point at an OpenAI-compatible AI endpoint (a local self-hosted model by default) if you want kit recognition and spoken-brief features enabled. Leaving these unset simply disables those two optional features — the rest of the application is unaffected.</w:t>
      </w:r>
    </w:p>
    <w:p>
      <w:pPr>
        <w:pStyle w:val="ListNumber"/>
      </w:pPr>
      <w:r>
        <w:t>Start the backend (uvicorn) and the frontend (its own build/serve step). The provided app/start.ps1 script starts both together for local development on Windows.</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Data residency is an operator decision.  </w:t>
      </w:r>
      <w:r>
        <w:t>Because every field in Section 4.2 is something the operator sets, the jurisdiction of your database, and of any AI endpoint you configure, is entirely under your control. Section 2.5 explains when that choice re-engages the cross-border transfer rules.</w:t>
      </w:r>
    </w:p>
    <w:p>
      <w:r>
        <w:br w:type="page"/>
      </w:r>
    </w:p>
    <w:p>
      <w:pPr>
        <w:pStyle w:val="Heading1"/>
      </w:pPr>
      <w:r>
        <w:t>5. Accounts, Sign-In and Roles</w:t>
      </w:r>
    </w:p>
    <w:p>
      <w:r>
        <w:rPr>
          <w:b w:val="0"/>
          <w:i w:val="0"/>
        </w:rPr>
        <w:t>ResQKit's central design commitment is that the emergency flow never requires an account. Every screen from Home to Handoff to Review works for a signed-out visitor. An account exists purely to let two specific, optional features survive clearing the browser: archiving a finished incident, and saving kits under My Kits. This section documents how accounts, sign-in and roles work end to end.</w:t>
      </w:r>
    </w:p>
    <w:p>
      <w:pPr>
        <w:jc w:val="center"/>
      </w:pPr>
      <w:r>
        <w:drawing>
          <wp:inline xmlns:a="http://schemas.openxmlformats.org/drawingml/2006/main" xmlns:pic="http://schemas.openxmlformats.org/drawingml/2006/picture">
            <wp:extent cx="5760720" cy="4503836"/>
            <wp:docPr id="2" name="Picture 2"/>
            <wp:cNvGraphicFramePr>
              <a:graphicFrameLocks noChangeAspect="1"/>
            </wp:cNvGraphicFramePr>
            <a:graphic>
              <a:graphicData uri="http://schemas.openxmlformats.org/drawingml/2006/picture">
                <pic:pic>
                  <pic:nvPicPr>
                    <pic:cNvPr id="0" name="flow_accounts_roles.png"/>
                    <pic:cNvPicPr/>
                  </pic:nvPicPr>
                  <pic:blipFill>
                    <a:blip r:embed="rId10"/>
                    <a:stretch>
                      <a:fillRect/>
                    </a:stretch>
                  </pic:blipFill>
                  <pic:spPr>
                    <a:xfrm>
                      <a:off x="0" y="0"/>
                      <a:ext cx="5760720" cy="4503836"/>
                    </a:xfrm>
                    <a:prstGeom prst="rect"/>
                  </pic:spPr>
                </pic:pic>
              </a:graphicData>
            </a:graphic>
          </wp:inline>
        </w:drawing>
      </w:r>
    </w:p>
    <w:p>
      <w:pPr>
        <w:pStyle w:val="PhotoCaption"/>
      </w:pPr>
      <w:r>
        <w:t>Figure 5.1 — Registration, authentication and what each role can access.</w:t>
      </w:r>
    </w:p>
    <w:p>
      <w:pPr>
        <w:pStyle w:val="Heading2"/>
      </w:pPr>
      <w:r>
        <w:t>5.1 Creating an account</w:t>
      </w:r>
    </w:p>
    <w:p>
      <w:r>
        <w:rPr>
          <w:b w:val="0"/>
          <w:i w:val="0"/>
        </w:rPr>
        <w:t>Go to Register (linked from Login, or reached automatically when an anonymous user tries to save a kit or archive an incident). The form asks for: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6"/>
            <w:shd w:val="clear" w:color="auto" w:fill="B8572E"/>
          </w:tcPr>
          <w:p>
            <w:r/>
            <w:r>
              <w:rPr>
                <w:b/>
                <w:color w:val="FFFFFF"/>
                <w:sz w:val="18"/>
              </w:rPr>
              <w:t>Field</w:t>
            </w:r>
          </w:p>
        </w:tc>
        <w:tc>
          <w:tcPr>
            <w:tcW w:type="dxa" w:w="1896"/>
            <w:shd w:val="clear" w:color="auto" w:fill="B8572E"/>
          </w:tcPr>
          <w:p>
            <w:r/>
            <w:r>
              <w:rPr>
                <w:b/>
                <w:color w:val="FFFFFF"/>
                <w:sz w:val="18"/>
              </w:rPr>
              <w:t>Required</w:t>
            </w:r>
          </w:p>
        </w:tc>
        <w:tc>
          <w:tcPr>
            <w:tcW w:type="dxa" w:w="5010"/>
            <w:shd w:val="clear" w:color="auto" w:fill="B8572E"/>
          </w:tcPr>
          <w:p>
            <w:r/>
            <w:r>
              <w:rPr>
                <w:b/>
                <w:color w:val="FFFFFF"/>
                <w:sz w:val="18"/>
              </w:rPr>
              <w:t>Notes</w:t>
            </w:r>
          </w:p>
        </w:tc>
      </w:tr>
      <w:tr>
        <w:tc>
          <w:tcPr>
            <w:tcW w:type="dxa" w:w="2166"/>
          </w:tcPr>
          <w:p>
            <w:r/>
            <w:r>
              <w:rPr>
                <w:sz w:val="18"/>
              </w:rPr>
              <w:t>Name</w:t>
            </w:r>
          </w:p>
        </w:tc>
        <w:tc>
          <w:tcPr>
            <w:tcW w:type="dxa" w:w="1896"/>
          </w:tcPr>
          <w:p>
            <w:r/>
            <w:r>
              <w:rPr>
                <w:sz w:val="18"/>
              </w:rPr>
              <w:t>Optional</w:t>
            </w:r>
          </w:p>
        </w:tc>
        <w:tc>
          <w:tcPr>
            <w:tcW w:type="dxa" w:w="5010"/>
          </w:tcPr>
          <w:p>
            <w:r/>
            <w:r>
              <w:rPr>
                <w:sz w:val="18"/>
              </w:rPr>
              <w:t>Used only to address the user; not validated against any external identity source.</w:t>
            </w:r>
          </w:p>
        </w:tc>
      </w:tr>
      <w:tr>
        <w:tc>
          <w:tcPr>
            <w:tcW w:type="dxa" w:w="2166"/>
            <w:shd w:val="clear" w:color="auto" w:fill="F7F3EE"/>
          </w:tcPr>
          <w:p>
            <w:r/>
            <w:r>
              <w:rPr>
                <w:sz w:val="18"/>
              </w:rPr>
              <w:t>Email</w:t>
            </w:r>
          </w:p>
        </w:tc>
        <w:tc>
          <w:tcPr>
            <w:tcW w:type="dxa" w:w="1896"/>
            <w:shd w:val="clear" w:color="auto" w:fill="F7F3EE"/>
          </w:tcPr>
          <w:p>
            <w:r/>
            <w:r>
              <w:rPr>
                <w:sz w:val="18"/>
              </w:rPr>
              <w:t>Required</w:t>
            </w:r>
          </w:p>
        </w:tc>
        <w:tc>
          <w:tcPr>
            <w:tcW w:type="dxa" w:w="5010"/>
            <w:shd w:val="clear" w:color="auto" w:fill="F7F3EE"/>
          </w:tcPr>
          <w:p>
            <w:r/>
            <w:r>
              <w:rPr>
                <w:sz w:val="18"/>
              </w:rPr>
              <w:t>Must be syntactically valid; used as the unique account identifier and for sign-in.</w:t>
            </w:r>
          </w:p>
        </w:tc>
      </w:tr>
      <w:tr>
        <w:tc>
          <w:tcPr>
            <w:tcW w:type="dxa" w:w="2166"/>
          </w:tcPr>
          <w:p>
            <w:r/>
            <w:r>
              <w:rPr>
                <w:sz w:val="18"/>
              </w:rPr>
              <w:t>Password</w:t>
            </w:r>
          </w:p>
        </w:tc>
        <w:tc>
          <w:tcPr>
            <w:tcW w:type="dxa" w:w="1896"/>
          </w:tcPr>
          <w:p>
            <w:r/>
            <w:r>
              <w:rPr>
                <w:sz w:val="18"/>
              </w:rPr>
              <w:t>Required</w:t>
            </w:r>
          </w:p>
        </w:tc>
        <w:tc>
          <w:tcPr>
            <w:tcW w:type="dxa" w:w="5010"/>
          </w:tcPr>
          <w:p>
            <w:r/>
            <w:r>
              <w:rPr>
                <w:sz w:val="18"/>
              </w:rPr>
              <w:t>Minimum 8 characters, maximum 128. Hashed with bcrypt before storage — the plain-text password is never written to the database or to any log.</w:t>
            </w:r>
          </w:p>
        </w:tc>
      </w:tr>
    </w:tbl>
    <w:p>
      <w:pPr>
        <w:spacing w:after="80"/>
      </w:pP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2-register-form-filled.png"/>
                    <pic:cNvPicPr/>
                  </pic:nvPicPr>
                  <pic:blipFill>
                    <a:blip r:embed="rId11"/>
                    <a:stretch>
                      <a:fillRect/>
                    </a:stretch>
                  </pic:blipFill>
                  <pic:spPr>
                    <a:xfrm>
                      <a:off x="0" y="0"/>
                      <a:ext cx="5760720" cy="3600450"/>
                    </a:xfrm>
                    <a:prstGeom prst="rect"/>
                  </pic:spPr>
                </pic:pic>
              </a:graphicData>
            </a:graphic>
          </wp:inline>
        </w:drawing>
      </w:r>
    </w:p>
    <w:p>
      <w:pPr>
        <w:pStyle w:val="PhotoCaption"/>
      </w:pPr>
      <w:r>
        <w:t>Figure 5.2 — The Create an account screen with sample data.</w:t>
      </w:r>
    </w:p>
    <w:p>
      <w:r>
        <w:rPr>
          <w:b w:val="0"/>
          <w:i w:val="0"/>
        </w:rPr>
        <w:t>Submitting the form calls the backend's registration endpoint, which checks the email is not already registered, hashes the password, creates the account with the default role of “user”, and immediately issues a signed session token — so a successful registration also signs the user in and takes them straight to My Kits.</w:t>
      </w:r>
    </w:p>
    <w:p>
      <w:pPr>
        <w:pStyle w:val="Heading2"/>
      </w:pPr>
      <w:r>
        <w:t>5.2 Signing in</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6-login-form.png"/>
                    <pic:cNvPicPr/>
                  </pic:nvPicPr>
                  <pic:blipFill>
                    <a:blip r:embed="rId12"/>
                    <a:stretch>
                      <a:fillRect/>
                    </a:stretch>
                  </pic:blipFill>
                  <pic:spPr>
                    <a:xfrm>
                      <a:off x="0" y="0"/>
                      <a:ext cx="5760720" cy="3600450"/>
                    </a:xfrm>
                    <a:prstGeom prst="rect"/>
                  </pic:spPr>
                </pic:pic>
              </a:graphicData>
            </a:graphic>
          </wp:inline>
        </w:drawing>
      </w:r>
    </w:p>
    <w:p>
      <w:pPr>
        <w:pStyle w:val="PhotoCaption"/>
      </w:pPr>
      <w:r>
        <w:t>Figure 5.3 — The Sign in screen.</w:t>
      </w:r>
    </w:p>
    <w:p>
      <w:r>
        <w:rPr>
          <w:b w:val="0"/>
          <w:i w:val="0"/>
        </w:rPr>
        <w:t>Login takes the same email and password, verifies the password against the stored bcrypt hash, and issues a new session token on success. The token is a signed JSON Web Token containing the user's id, email and role, with an expiry (JWT_EXPIRE_MINUTES, 60 minutes by default). The frontend stores it in the browser's local storage and attaches it as a Bearer token on the Authorization header of every subsequent request — it is never sent as a cookie, which is a deliberate choice: a bearer token in a header is not automatically replayed cross-site the way a cookie can be, closing off a class of cross-site request forgery risk.</w:t>
      </w:r>
    </w:p>
    <w:p>
      <w:pPr>
        <w:pStyle w:val="Callout"/>
        <w:pBdr>
          <w:top w:val="single" w:sz="8" w:space="6" w:color="B8572E"/>
          <w:left w:val="single" w:sz="8" w:space="6" w:color="B8572E"/>
          <w:bottom w:val="single" w:sz="8" w:space="6" w:color="B8572E"/>
          <w:right w:val="single" w:sz="8" w:space="6" w:color="B8572E"/>
        </w:pBdr>
        <w:shd w:val="clear" w:color="auto" w:fill="F0E4D8"/>
      </w:pPr>
      <w:r>
        <w:rPr>
          <w:b/>
          <w:color w:val="B8572E"/>
        </w:rPr>
        <w:t xml:space="preserve">What “sign in to archive” actually gates.  </w:t>
      </w:r>
      <w:r>
        <w:t>The application does not force a login redirect anywhere. Every feature that needs an account (My Kits, archiving) instead shows an inline “sign in to do this” prompt in place of the feature, on the same page, and lets the rest of the app keep working. This matches the design principle in Section 1: a bystander must never be blocked by an authentication screen.</w:t>
      </w:r>
    </w:p>
    <w:p>
      <w:pPr>
        <w:pStyle w:val="Heading2"/>
      </w:pPr>
      <w:r>
        <w:t>5.3 Roles: user and admin</w:t>
      </w:r>
    </w:p>
    <w:p>
      <w:r>
        <w:rPr>
          <w:b w:val="0"/>
          <w:i w:val="0"/>
        </w:rPr>
        <w:t>Every new account is created with the role “user”. A single, separate mechanism promotes an account to “admin”: the server operator sets the ADMIN_EMAIL (and ADMIN_PASSWORD, for first creation) environment variable described in Section 4.2. On every backend startup, the application checks whether an account with that email exists — creating it if not, or promoting it to admin if it already exists as an ordinary user — and demotes no one automatically. There is no in-app control that lets one user grant another user the admin role; it is exclusively a server-configuration decision.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284"/>
            <w:shd w:val="clear" w:color="auto" w:fill="B8572E"/>
          </w:tcPr>
          <w:p>
            <w:r/>
            <w:r>
              <w:rPr>
                <w:b/>
                <w:color w:val="FFFFFF"/>
                <w:sz w:val="18"/>
              </w:rPr>
              <w:t>Capability</w:t>
            </w:r>
          </w:p>
        </w:tc>
        <w:tc>
          <w:tcPr>
            <w:tcW w:type="dxa" w:w="1764"/>
            <w:shd w:val="clear" w:color="auto" w:fill="B8572E"/>
          </w:tcPr>
          <w:p>
            <w:r/>
            <w:r>
              <w:rPr>
                <w:b/>
                <w:color w:val="FFFFFF"/>
                <w:sz w:val="18"/>
              </w:rPr>
              <w:t>user</w:t>
            </w:r>
          </w:p>
        </w:tc>
        <w:tc>
          <w:tcPr>
            <w:tcW w:type="dxa" w:w="3024"/>
            <w:shd w:val="clear" w:color="auto" w:fill="B8572E"/>
          </w:tcPr>
          <w:p>
            <w:r/>
            <w:r>
              <w:rPr>
                <w:b/>
                <w:color w:val="FFFFFF"/>
                <w:sz w:val="18"/>
              </w:rPr>
              <w:t>admin</w:t>
            </w:r>
          </w:p>
        </w:tc>
      </w:tr>
      <w:tr>
        <w:tc>
          <w:tcPr>
            <w:tcW w:type="dxa" w:w="4284"/>
          </w:tcPr>
          <w:p>
            <w:r/>
            <w:r>
              <w:rPr>
                <w:sz w:val="18"/>
              </w:rPr>
              <w:t>Use the emergency flow (no account needed)</w:t>
            </w:r>
          </w:p>
        </w:tc>
        <w:tc>
          <w:tcPr>
            <w:tcW w:type="dxa" w:w="1764"/>
          </w:tcPr>
          <w:p>
            <w:r/>
            <w:r>
              <w:rPr>
                <w:sz w:val="18"/>
              </w:rPr>
              <w:t>Yes</w:t>
            </w:r>
          </w:p>
        </w:tc>
        <w:tc>
          <w:tcPr>
            <w:tcW w:type="dxa" w:w="3024"/>
          </w:tcPr>
          <w:p>
            <w:r/>
            <w:r>
              <w:rPr>
                <w:sz w:val="18"/>
              </w:rPr>
              <w:t>Yes</w:t>
            </w:r>
          </w:p>
        </w:tc>
      </w:tr>
      <w:tr>
        <w:tc>
          <w:tcPr>
            <w:tcW w:type="dxa" w:w="4284"/>
            <w:shd w:val="clear" w:color="auto" w:fill="F7F3EE"/>
          </w:tcPr>
          <w:p>
            <w:r/>
            <w:r>
              <w:rPr>
                <w:sz w:val="18"/>
              </w:rPr>
              <w:t>Save/edit/delete their own kits</w:t>
            </w:r>
          </w:p>
        </w:tc>
        <w:tc>
          <w:tcPr>
            <w:tcW w:type="dxa" w:w="1764"/>
            <w:shd w:val="clear" w:color="auto" w:fill="F7F3EE"/>
          </w:tcPr>
          <w:p>
            <w:r/>
            <w:r>
              <w:rPr>
                <w:sz w:val="18"/>
              </w:rPr>
              <w:t>Yes</w:t>
            </w:r>
          </w:p>
        </w:tc>
        <w:tc>
          <w:tcPr>
            <w:tcW w:type="dxa" w:w="3024"/>
            <w:shd w:val="clear" w:color="auto" w:fill="F7F3EE"/>
          </w:tcPr>
          <w:p>
            <w:r/>
            <w:r>
              <w:rPr>
                <w:sz w:val="18"/>
              </w:rPr>
              <w:t>Yes</w:t>
            </w:r>
          </w:p>
        </w:tc>
      </w:tr>
      <w:tr>
        <w:tc>
          <w:tcPr>
            <w:tcW w:type="dxa" w:w="4284"/>
          </w:tcPr>
          <w:p>
            <w:r/>
            <w:r>
              <w:rPr>
                <w:sz w:val="18"/>
              </w:rPr>
              <w:t>Archive/view/delete their own incidents</w:t>
            </w:r>
          </w:p>
        </w:tc>
        <w:tc>
          <w:tcPr>
            <w:tcW w:type="dxa" w:w="1764"/>
          </w:tcPr>
          <w:p>
            <w:r/>
            <w:r>
              <w:rPr>
                <w:sz w:val="18"/>
              </w:rPr>
              <w:t>Yes</w:t>
            </w:r>
          </w:p>
        </w:tc>
        <w:tc>
          <w:tcPr>
            <w:tcW w:type="dxa" w:w="3024"/>
          </w:tcPr>
          <w:p>
            <w:r/>
            <w:r>
              <w:rPr>
                <w:sz w:val="18"/>
              </w:rPr>
              <w:t>Yes</w:t>
            </w:r>
          </w:p>
        </w:tc>
      </w:tr>
      <w:tr>
        <w:tc>
          <w:tcPr>
            <w:tcW w:type="dxa" w:w="4284"/>
            <w:shd w:val="clear" w:color="auto" w:fill="F7F3EE"/>
          </w:tcPr>
          <w:p>
            <w:r/>
            <w:r>
              <w:rPr>
                <w:sz w:val="18"/>
              </w:rPr>
              <w:t>View or edit another user's kits or incidents</w:t>
            </w:r>
          </w:p>
        </w:tc>
        <w:tc>
          <w:tcPr>
            <w:tcW w:type="dxa" w:w="1764"/>
            <w:shd w:val="clear" w:color="auto" w:fill="F7F3EE"/>
          </w:tcPr>
          <w:p>
            <w:r/>
            <w:r>
              <w:rPr>
                <w:sz w:val="18"/>
              </w:rPr>
              <w:t>No</w:t>
            </w:r>
          </w:p>
        </w:tc>
        <w:tc>
          <w:tcPr>
            <w:tcW w:type="dxa" w:w="3024"/>
            <w:shd w:val="clear" w:color="auto" w:fill="F7F3EE"/>
          </w:tcPr>
          <w:p>
            <w:r/>
            <w:r>
              <w:rPr>
                <w:sz w:val="18"/>
              </w:rPr>
              <w:t>Yes, via the /all administrative listing endpoints</w:t>
            </w:r>
          </w:p>
        </w:tc>
      </w:tr>
      <w:tr>
        <w:tc>
          <w:tcPr>
            <w:tcW w:type="dxa" w:w="4284"/>
          </w:tcPr>
          <w:p>
            <w:r/>
            <w:r>
              <w:rPr>
                <w:sz w:val="18"/>
              </w:rPr>
              <w:t>View/edit the backend environment configuration panel (database URL, JWT secret, AI endpoint, etc.)</w:t>
            </w:r>
          </w:p>
        </w:tc>
        <w:tc>
          <w:tcPr>
            <w:tcW w:type="dxa" w:w="1764"/>
          </w:tcPr>
          <w:p>
            <w:r/>
            <w:r>
              <w:rPr>
                <w:sz w:val="18"/>
              </w:rPr>
              <w:t>No</w:t>
            </w:r>
          </w:p>
        </w:tc>
        <w:tc>
          <w:tcPr>
            <w:tcW w:type="dxa" w:w="3024"/>
          </w:tcPr>
          <w:p>
            <w:r/>
            <w:r>
              <w:rPr>
                <w:sz w:val="18"/>
              </w:rPr>
              <w:t>Yes</w:t>
            </w:r>
          </w:p>
        </w:tc>
      </w:tr>
    </w:tbl>
    <w:p>
      <w:pPr>
        <w:spacing w:after="80"/>
      </w:pP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Principle of least privilege.  </w:t>
      </w:r>
      <w:r>
        <w:t>The admin role exists for operational oversight and support, not for day-to-day use. Reserve it for the small number of people who genuinely need cross-account visibility or server configuration access, consistent with GDPR Art. 25's data-protection-by-design expectation that access should default to the minimum necessary.</w:t>
      </w:r>
    </w:p>
    <w:p>
      <w:pPr>
        <w:pStyle w:val="Heading2"/>
      </w:pPr>
      <w:r>
        <w:t>5.4 Signing out and session expiry</w:t>
      </w:r>
    </w:p>
    <w:p>
      <w:r>
        <w:rPr>
          <w:b w:val="0"/>
          <w:i w:val="0"/>
        </w:rPr>
        <w:t>Sessions are stateless: signing out simply discards the locally stored token, and an expired token is rejected by the backend on its next use regardless of whether the user explicitly signed out. There is no server-side session list to revoke, which keeps the backend simple, at the cost of not being able to force-expire a single stolen token before its natural expiry — operators who need that guarantee should set a short JWT_EXPIRE_MINUTES value.</w:t>
      </w:r>
    </w:p>
    <w:p>
      <w:r>
        <w:br w:type="page"/>
      </w:r>
    </w:p>
    <w:p>
      <w:pPr>
        <w:pStyle w:val="Heading1"/>
      </w:pPr>
      <w:r>
        <w:t>6. The Emergency Assistance Process</w:t>
      </w:r>
    </w:p>
    <w:p>
      <w:r>
        <w:rPr>
          <w:b w:val="0"/>
          <w:i w:val="0"/>
        </w:rPr>
        <w:t>This is the core of ResQKit: a single guided sequence from “something has happened” to “the crew has everything they need.” Figure 6.1 shows the whole sequence, including its two branches — the shortcut straight to CPR guidance when the victim is not breathing, and the ability to cancel at any point. The rest of this section walks through every stage in the order a user experiences it.</w:t>
      </w:r>
    </w:p>
    <w:p>
      <w:pPr>
        <w:jc w:val="center"/>
      </w:pPr>
      <w:r>
        <w:drawing>
          <wp:inline xmlns:a="http://schemas.openxmlformats.org/drawingml/2006/main" xmlns:pic="http://schemas.openxmlformats.org/drawingml/2006/picture">
            <wp:extent cx="5760720" cy="7086600"/>
            <wp:docPr id="5" name="Picture 5"/>
            <wp:cNvGraphicFramePr>
              <a:graphicFrameLocks noChangeAspect="1"/>
            </wp:cNvGraphicFramePr>
            <a:graphic>
              <a:graphicData uri="http://schemas.openxmlformats.org/drawingml/2006/picture">
                <pic:pic>
                  <pic:nvPicPr>
                    <pic:cNvPr id="0" name="flow_emergency.png"/>
                    <pic:cNvPicPr/>
                  </pic:nvPicPr>
                  <pic:blipFill>
                    <a:blip r:embed="rId13"/>
                    <a:stretch>
                      <a:fillRect/>
                    </a:stretch>
                  </pic:blipFill>
                  <pic:spPr>
                    <a:xfrm>
                      <a:off x="0" y="0"/>
                      <a:ext cx="5760720" cy="7086600"/>
                    </a:xfrm>
                    <a:prstGeom prst="rect"/>
                  </pic:spPr>
                </pic:pic>
              </a:graphicData>
            </a:graphic>
          </wp:inline>
        </w:drawing>
      </w:r>
    </w:p>
    <w:p>
      <w:pPr>
        <w:pStyle w:val="PhotoCaption"/>
      </w:pPr>
      <w:r>
        <w:t>Figure 6.1 — The end-to-end emergency assistance flow, Home through Review.</w:t>
      </w:r>
    </w:p>
    <w:p>
      <w:pPr>
        <w:pStyle w:val="Heading2"/>
      </w:pPr>
      <w:r>
        <w:t>6.1 Home / Standby</w:t>
      </w:r>
    </w:p>
    <w:p>
      <w:r>
        <w:rPr>
          <w:b w:val="0"/>
          <w:i w:val="0"/>
        </w:rPr>
        <w:t>The resting screen of the app, reachable without any login. It exists to make exactly one thing instantly obvious: call 112 first.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1-home-standby.png"/>
                    <pic:cNvPicPr/>
                  </pic:nvPicPr>
                  <pic:blipFill>
                    <a:blip r:embed="rId14"/>
                    <a:stretch>
                      <a:fillRect/>
                    </a:stretch>
                  </pic:blipFill>
                  <pic:spPr>
                    <a:xfrm>
                      <a:off x="0" y="0"/>
                      <a:ext cx="5760720" cy="3600450"/>
                    </a:xfrm>
                    <a:prstGeom prst="rect"/>
                  </pic:spPr>
                </pic:pic>
              </a:graphicData>
            </a:graphic>
          </wp:inline>
        </w:drawing>
      </w:r>
    </w:p>
    <w:p>
      <w:pPr>
        <w:pStyle w:val="PhotoCaption"/>
      </w:pPr>
      <w:r>
        <w:t>Figure 6.2 — The Home / Standby screen.</w:t>
      </w:r>
    </w:p>
    <w:p>
      <w:pPr>
        <w:pStyle w:val="ListNumber"/>
      </w:pPr>
      <w:r>
        <w:t>The red banner and “Call 112” button are reachable in one tap from anywhere in the app — this is not specific to this screen, it is a persistent header element (Section 6.4 explains the banner logic in detail).</w:t>
      </w:r>
    </w:p>
    <w:p>
      <w:pPr>
        <w:pStyle w:val="ListNumber"/>
      </w:pPr>
      <w:r>
        <w:t>Tap “Start guided help” (or “Resume incident” if one is already open) to begin. If the disclaimer has not yet been acknowledged, the app takes the user to Consent first and returns them here afterwards — the emergency flow can never start before that acknowledgement exists.</w:t>
      </w:r>
    </w:p>
    <w:p>
      <w:pPr>
        <w:pStyle w:val="ListNumber"/>
      </w:pPr>
      <w:r>
        <w:t>The four shortcut cards — Safety Profile, My Kits, Risks &amp; regulations, Learn &amp; practise — are preparation features covered in Section 7. None of them are required to start an emergency.</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Why this screen has no login gate.  </w:t>
      </w:r>
      <w:r>
        <w:t>GDPR Art. 6(1)(d) (vital interests) is the lawful basis for the emergency flow, not consent or a contractual relationship — so there is no data-protection reason to require an account before using it, and every extra screen between a bystander and first-aid guidance is a real-world cost. The four preparation shortcuts are the only account-gated paths from this screen, and only two of them (My Kits, and the Safety Profile's health section) actually require anything before they can be used.</w:t>
      </w:r>
    </w:p>
    <w:p>
      <w:pPr>
        <w:pStyle w:val="Heading2"/>
      </w:pPr>
      <w:r>
        <w:t>6.2 Consent: the two decisions</w:t>
      </w:r>
    </w:p>
    <w:p>
      <w:r>
        <w:rPr>
          <w:b w:val="0"/>
          <w:i w:val="0"/>
        </w:rPr>
        <w:t>Reached automatically the first time a user starts an incident, or directly from “Sign in to archive” and similar prompts. It asks for two independent decisions, never bundled into one checkbox, consistent with GDPR Art. 7(2)'s requirement that consent be distinguishable and separately revocable from other terms.</w:t>
      </w:r>
    </w:p>
    <w:p>
      <w:pPr>
        <w:jc w:val="center"/>
      </w:pPr>
      <w:r>
        <w:drawing>
          <wp:inline xmlns:a="http://schemas.openxmlformats.org/drawingml/2006/main" xmlns:pic="http://schemas.openxmlformats.org/drawingml/2006/picture">
            <wp:extent cx="5760720" cy="3632454"/>
            <wp:docPr id="7" name="Picture 7"/>
            <wp:cNvGraphicFramePr>
              <a:graphicFrameLocks noChangeAspect="1"/>
            </wp:cNvGraphicFramePr>
            <a:graphic>
              <a:graphicData uri="http://schemas.openxmlformats.org/drawingml/2006/picture">
                <pic:pic>
                  <pic:nvPicPr>
                    <pic:cNvPr id="0" name="07-consent-disclaimer.png"/>
                    <pic:cNvPicPr/>
                  </pic:nvPicPr>
                  <pic:blipFill>
                    <a:blip r:embed="rId15"/>
                    <a:stretch>
                      <a:fillRect/>
                    </a:stretch>
                  </pic:blipFill>
                  <pic:spPr>
                    <a:xfrm>
                      <a:off x="0" y="0"/>
                      <a:ext cx="5760720" cy="3632454"/>
                    </a:xfrm>
                    <a:prstGeom prst="rect"/>
                  </pic:spPr>
                </pic:pic>
              </a:graphicData>
            </a:graphic>
          </wp:inline>
        </w:drawing>
      </w:r>
    </w:p>
    <w:p>
      <w:pPr>
        <w:pStyle w:val="PhotoCaption"/>
      </w:pPr>
      <w:r>
        <w:t>Figure 6.3 — The Consent screen before any box is checked.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555"/>
            <w:shd w:val="clear" w:color="auto" w:fill="B8572E"/>
          </w:tcPr>
          <w:p>
            <w:r/>
            <w:r>
              <w:rPr>
                <w:b/>
                <w:color w:val="FFFFFF"/>
                <w:sz w:val="18"/>
              </w:rPr>
              <w:t>Decision</w:t>
            </w:r>
          </w:p>
        </w:tc>
        <w:tc>
          <w:tcPr>
            <w:tcW w:type="dxa" w:w="1839"/>
            <w:shd w:val="clear" w:color="auto" w:fill="B8572E"/>
          </w:tcPr>
          <w:p>
            <w:r/>
            <w:r>
              <w:rPr>
                <w:b/>
                <w:color w:val="FFFFFF"/>
                <w:sz w:val="18"/>
              </w:rPr>
              <w:t>Required?</w:t>
            </w:r>
          </w:p>
        </w:tc>
        <w:tc>
          <w:tcPr>
            <w:tcW w:type="dxa" w:w="2084"/>
            <w:shd w:val="clear" w:color="auto" w:fill="B8572E"/>
          </w:tcPr>
          <w:p>
            <w:r/>
            <w:r>
              <w:rPr>
                <w:b/>
                <w:color w:val="FFFFFF"/>
                <w:sz w:val="18"/>
              </w:rPr>
              <w:t>What it unlocks</w:t>
            </w:r>
          </w:p>
        </w:tc>
        <w:tc>
          <w:tcPr>
            <w:tcW w:type="dxa" w:w="1594"/>
            <w:shd w:val="clear" w:color="auto" w:fill="B8572E"/>
          </w:tcPr>
          <w:p>
            <w:r/>
            <w:r>
              <w:rPr>
                <w:b/>
                <w:color w:val="FFFFFF"/>
                <w:sz w:val="18"/>
              </w:rPr>
              <w:t>Legal basis</w:t>
            </w:r>
          </w:p>
        </w:tc>
      </w:tr>
      <w:tr>
        <w:tc>
          <w:tcPr>
            <w:tcW w:type="dxa" w:w="3555"/>
          </w:tcPr>
          <w:p>
            <w:r/>
            <w:r>
              <w:rPr>
                <w:sz w:val="18"/>
              </w:rPr>
              <w:t>“I understand ResQKit assists me and never replaces calling 112.”</w:t>
            </w:r>
          </w:p>
        </w:tc>
        <w:tc>
          <w:tcPr>
            <w:tcW w:type="dxa" w:w="1839"/>
          </w:tcPr>
          <w:p>
            <w:r/>
            <w:r>
              <w:rPr>
                <w:sz w:val="18"/>
              </w:rPr>
              <w:t>Required to proceed</w:t>
            </w:r>
          </w:p>
        </w:tc>
        <w:tc>
          <w:tcPr>
            <w:tcW w:type="dxa" w:w="2084"/>
          </w:tcPr>
          <w:p>
            <w:r/>
            <w:r>
              <w:rPr>
                <w:sz w:val="18"/>
              </w:rPr>
              <w:t>The entire emergency flow</w:t>
            </w:r>
          </w:p>
        </w:tc>
        <w:tc>
          <w:tcPr>
            <w:tcW w:type="dxa" w:w="1594"/>
          </w:tcPr>
          <w:p>
            <w:r/>
            <w:r>
              <w:rPr>
                <w:sz w:val="18"/>
              </w:rPr>
              <w:t>Art. 6(1)(f) — demonstrating the notice was shown (accountability)</w:t>
            </w:r>
          </w:p>
        </w:tc>
      </w:tr>
      <w:tr>
        <w:tc>
          <w:tcPr>
            <w:tcW w:type="dxa" w:w="3555"/>
            <w:shd w:val="clear" w:color="auto" w:fill="F7F3EE"/>
          </w:tcPr>
          <w:p>
            <w:r/>
            <w:r>
              <w:rPr>
                <w:sz w:val="18"/>
              </w:rPr>
              <w:t>“I consent to storing my health data on this device.”</w:t>
            </w:r>
          </w:p>
        </w:tc>
        <w:tc>
          <w:tcPr>
            <w:tcW w:type="dxa" w:w="1839"/>
            <w:shd w:val="clear" w:color="auto" w:fill="F7F3EE"/>
          </w:tcPr>
          <w:p>
            <w:r/>
            <w:r>
              <w:rPr>
                <w:sz w:val="18"/>
              </w:rPr>
              <w:t>Optional, withdrawable any time</w:t>
            </w:r>
          </w:p>
        </w:tc>
        <w:tc>
          <w:tcPr>
            <w:tcW w:type="dxa" w:w="2084"/>
            <w:shd w:val="clear" w:color="auto" w:fill="F7F3EE"/>
          </w:tcPr>
          <w:p>
            <w:r/>
            <w:r>
              <w:rPr>
                <w:sz w:val="18"/>
              </w:rPr>
              <w:t>The medical fields in the Safety Profile and the health section of the handoff brief</w:t>
            </w:r>
          </w:p>
        </w:tc>
        <w:tc>
          <w:tcPr>
            <w:tcW w:type="dxa" w:w="1594"/>
            <w:shd w:val="clear" w:color="auto" w:fill="F7F3EE"/>
          </w:tcPr>
          <w:p>
            <w:r/>
            <w:r>
              <w:rPr>
                <w:sz w:val="18"/>
              </w:rPr>
              <w:t>Art. 6(1)(a) / 9(2)(a) — explicit consent for special-category data</w:t>
            </w:r>
          </w:p>
        </w:tc>
      </w:tr>
    </w:tbl>
    <w:p>
      <w:pPr>
        <w:spacing w:after="80"/>
      </w:pPr>
    </w:p>
    <w:p>
      <w:pPr>
        <w:jc w:val="center"/>
      </w:pPr>
      <w:r>
        <w:drawing>
          <wp:inline xmlns:a="http://schemas.openxmlformats.org/drawingml/2006/main" xmlns:pic="http://schemas.openxmlformats.org/drawingml/2006/picture">
            <wp:extent cx="5760720" cy="3632454"/>
            <wp:docPr id="8" name="Picture 8"/>
            <wp:cNvGraphicFramePr>
              <a:graphicFrameLocks noChangeAspect="1"/>
            </wp:cNvGraphicFramePr>
            <a:graphic>
              <a:graphicData uri="http://schemas.openxmlformats.org/drawingml/2006/picture">
                <pic:pic>
                  <pic:nvPicPr>
                    <pic:cNvPr id="0" name="08-consent-both-checked.png"/>
                    <pic:cNvPicPr/>
                  </pic:nvPicPr>
                  <pic:blipFill>
                    <a:blip r:embed="rId16"/>
                    <a:stretch>
                      <a:fillRect/>
                    </a:stretch>
                  </pic:blipFill>
                  <pic:spPr>
                    <a:xfrm>
                      <a:off x="0" y="0"/>
                      <a:ext cx="5760720" cy="3632454"/>
                    </a:xfrm>
                    <a:prstGeom prst="rect"/>
                  </pic:spPr>
                </pic:pic>
              </a:graphicData>
            </a:graphic>
          </wp:inline>
        </w:drawing>
      </w:r>
    </w:p>
    <w:p>
      <w:pPr>
        <w:pStyle w:val="PhotoCaption"/>
      </w:pPr>
      <w:r>
        <w:t>Figure 6.4 — Both boxes checked; “Continue” becomes active.</w:t>
      </w:r>
    </w:p>
    <w:p>
      <w:pPr>
        <w:pStyle w:val="ListNumber"/>
      </w:pPr>
      <w:r>
        <w:t>Read the mandatory notice and check the first box once you understand it. The Continue button stays disabled until this box is checked — there is no way to bypass it.</w:t>
      </w:r>
    </w:p>
    <w:p>
      <w:pPr>
        <w:pStyle w:val="ListNumber"/>
      </w:pPr>
      <w:r>
        <w:t>Optionally check the second box if you want to be able to store blood type, allergies, conditions, medications and implants in a Safety Profile on this device.</w:t>
      </w:r>
    </w:p>
    <w:p>
      <w:pPr>
        <w:pStyle w:val="ListNumber"/>
      </w:pPr>
      <w:r>
        <w:t>Tap Continue. The app timestamps both decisions (and, for the health toggle, the content-pack version the notice belongs to) and returns to wherever the flow started — usually straight into the emergency wizard.</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Declining health-data consent changes nothing else.  </w:t>
      </w:r>
      <w:r>
        <w:t>This is tested and documented behaviour, not an incidental side effect: refusing the health-data toggle leaves the rest of the emergency flow fully functional, because that flow's lawful basis is vital interests, not consent. Only the Safety Profile's medical fields and the handoff brief's health section are affected.</w:t>
      </w:r>
    </w:p>
    <w:p>
      <w:pPr>
        <w:pStyle w:val="Heading2"/>
      </w:pPr>
      <w:r>
        <w:t>6.3 Environment and Context</w:t>
      </w:r>
    </w:p>
    <w:p>
      <w:r>
        <w:rPr>
          <w:b w:val="0"/>
          <w:i w:val="0"/>
        </w:rPr>
        <w:t>The first question inside the wizard itself: “Where are you?” The answer scopes every hazard, kit item and legal-obligation card shown for the rest of the incident.</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1-emergency-01-context.png"/>
                    <pic:cNvPicPr/>
                  </pic:nvPicPr>
                  <pic:blipFill>
                    <a:blip r:embed="rId17"/>
                    <a:stretch>
                      <a:fillRect/>
                    </a:stretch>
                  </pic:blipFill>
                  <pic:spPr>
                    <a:xfrm>
                      <a:off x="0" y="0"/>
                      <a:ext cx="5760720" cy="3600450"/>
                    </a:xfrm>
                    <a:prstGeom prst="rect"/>
                  </pic:spPr>
                </pic:pic>
              </a:graphicData>
            </a:graphic>
          </wp:inline>
        </w:drawing>
      </w:r>
    </w:p>
    <w:p>
      <w:pPr>
        <w:pStyle w:val="PhotoCaption"/>
      </w:pPr>
      <w:r>
        <w:t>Figure 6.5 — Choosing the incident environment.</w:t>
      </w:r>
    </w:p>
    <w:p>
      <w:pPr>
        <w:pStyle w:val="ListNumber"/>
      </w:pPr>
      <w:r>
        <w:t>Tap the card that best matches the scene: Road / Vehicle, Workplace / Office, Maritime / Water, Mountain / Outdoor, or Other / Unknown if nothing fits.</w:t>
      </w:r>
    </w:p>
    <w:p>
      <w:pPr>
        <w:pStyle w:val="ListNumber"/>
      </w:pPr>
      <w:r>
        <w:t>The choice is remembered as “last used environment” purely to pre-suggest it faster next time — it is never used to silently decide anything on your behalf.</w:t>
      </w:r>
    </w:p>
    <w:p>
      <w:pPr>
        <w:pStyle w:val="ListNumber"/>
      </w:pPr>
      <w:r>
        <w:t>Selecting a card advances immediately to the 112 Gate; there is no separate confirmation step.</w:t>
      </w:r>
    </w:p>
    <w:p>
      <w:pPr>
        <w:pStyle w:val="Heading2"/>
      </w:pPr>
      <w:r>
        <w:t>6.4 The 112 Gate</w:t>
      </w:r>
    </w:p>
    <w:p>
      <w:r>
        <w:rPr>
          <w:b w:val="0"/>
          <w:i w:val="0"/>
        </w:rPr>
        <w:t>The single most important screen in the application, and the one Section 1's “complementary to 112” commitment is built structurally around. It cannot be permanently dismissed.</w:t>
      </w:r>
    </w:p>
    <w:p>
      <w:pPr>
        <w:jc w:val="center"/>
      </w:pPr>
      <w:r>
        <w:drawing>
          <wp:inline xmlns:a="http://schemas.openxmlformats.org/drawingml/2006/main" xmlns:pic="http://schemas.openxmlformats.org/drawingml/2006/picture">
            <wp:extent cx="5760720" cy="4108514"/>
            <wp:docPr id="10" name="Picture 10"/>
            <wp:cNvGraphicFramePr>
              <a:graphicFrameLocks noChangeAspect="1"/>
            </wp:cNvGraphicFramePr>
            <a:graphic>
              <a:graphicData uri="http://schemas.openxmlformats.org/drawingml/2006/picture">
                <pic:pic>
                  <pic:nvPicPr>
                    <pic:cNvPr id="0" name="12-emergency-02-call-112-gate.png"/>
                    <pic:cNvPicPr/>
                  </pic:nvPicPr>
                  <pic:blipFill>
                    <a:blip r:embed="rId18"/>
                    <a:stretch>
                      <a:fillRect/>
                    </a:stretch>
                  </pic:blipFill>
                  <pic:spPr>
                    <a:xfrm>
                      <a:off x="0" y="0"/>
                      <a:ext cx="5760720" cy="4108514"/>
                    </a:xfrm>
                    <a:prstGeom prst="rect"/>
                  </pic:spPr>
                </pic:pic>
              </a:graphicData>
            </a:graphic>
          </wp:inline>
        </w:drawing>
      </w:r>
    </w:p>
    <w:p>
      <w:pPr>
        <w:pStyle w:val="PhotoCaption"/>
      </w:pPr>
      <w:r>
        <w:t>Figure 6.6 — The 112 Gate, before a position fix is taken.</w:t>
      </w:r>
    </w:p>
    <w:p>
      <w:pPr>
        <w:jc w:val="center"/>
      </w:pPr>
      <w:r>
        <w:drawing>
          <wp:inline xmlns:a="http://schemas.openxmlformats.org/drawingml/2006/main" xmlns:pic="http://schemas.openxmlformats.org/drawingml/2006/picture">
            <wp:extent cx="5760720" cy="4108514"/>
            <wp:docPr id="11" name="Picture 11"/>
            <wp:cNvGraphicFramePr>
              <a:graphicFrameLocks noChangeAspect="1"/>
            </wp:cNvGraphicFramePr>
            <a:graphic>
              <a:graphicData uri="http://schemas.openxmlformats.org/drawingml/2006/picture">
                <pic:pic>
                  <pic:nvPicPr>
                    <pic:cNvPr id="0" name="13-emergency-03-location-captured.png"/>
                    <pic:cNvPicPr/>
                  </pic:nvPicPr>
                  <pic:blipFill>
                    <a:blip r:embed="rId19"/>
                    <a:stretch>
                      <a:fillRect/>
                    </a:stretch>
                  </pic:blipFill>
                  <pic:spPr>
                    <a:xfrm>
                      <a:off x="0" y="0"/>
                      <a:ext cx="5760720" cy="4108514"/>
                    </a:xfrm>
                    <a:prstGeom prst="rect"/>
                  </pic:spPr>
                </pic:pic>
              </a:graphicData>
            </a:graphic>
          </wp:inline>
        </w:drawing>
      </w:r>
    </w:p>
    <w:p>
      <w:pPr>
        <w:pStyle w:val="PhotoCaption"/>
      </w:pPr>
      <w:r>
        <w:t>Figure 6.7 — After tapping “Get fix”: coordinates captured for the user to read aloud, confirmed as never transmitted by the app.</w:t>
      </w:r>
    </w:p>
    <w:p>
      <w:pPr>
        <w:pStyle w:val="ListNumber"/>
      </w:pPr>
      <w:r>
        <w:t>Optionally tap “Get fix” to capture a GNSS position from the device. This uses the browser's geolocation API with a 12-second high-accuracy timeout; on success a toast explicitly states “Position captured for you to read out. Not sent anywhere.” On failure or if the device does not expose location, the app tells the user to describe a landmark instead — it never blocks on this.</w:t>
      </w:r>
    </w:p>
    <w:p>
      <w:pPr>
        <w:pStyle w:val="ListNumber"/>
      </w:pPr>
      <w:r>
        <w:t>Optionally fill in “Landmark or address” — a plain-text description to say out loud (for example, an motorway marker or a floor number).</w:t>
      </w:r>
    </w:p>
    <w:p>
      <w:pPr>
        <w:pStyle w:val="ListNumber"/>
      </w:pPr>
      <w:r>
        <w:t>Read the auto-generated dispatcher script if useful — it is built deterministically from what is already known (context, position, victim count once triage is done) and can be copied to clipboard.</w:t>
      </w:r>
    </w:p>
    <w:p>
      <w:pPr>
        <w:pStyle w:val="ListNumber"/>
      </w:pPr>
      <w:r>
        <w:t>Choose one of three actions: “Call 112 now” (opens the phone dialler and marks the call as confirmed), “Someone already called 112” (marks it confirmed without dialling), or “Continue to first aid” (proceeds without confirming a call).</w:t>
      </w:r>
    </w:p>
    <w:p>
      <w:pPr>
        <w:pStyle w:val="Callout"/>
        <w:pBdr>
          <w:top w:val="single" w:sz="8" w:space="6" w:color="B83014"/>
          <w:left w:val="single" w:sz="8" w:space="6" w:color="B83014"/>
          <w:bottom w:val="single" w:sz="8" w:space="6" w:color="B83014"/>
          <w:right w:val="single" w:sz="8" w:space="6" w:color="B83014"/>
        </w:pBdr>
        <w:shd w:val="clear" w:color="auto" w:fill="F3D9D2"/>
      </w:pPr>
      <w:r>
        <w:rPr>
          <w:b/>
          <w:color w:val="B83014"/>
        </w:rPr>
        <w:t xml:space="preserve">The persistent banner.  </w:t>
      </w:r>
      <w:r>
        <w:t>If a user proceeds without confirming a 112 call, a non-dismissible red banner — “112 not confirmed. ResQKit does not contact emergency services for you.” — stays visible in the header of every screen for the rest of the session, with its own one-tap call button, until the call is confirmed. The generated rescuer brief also states plainly whether 112 was confirmed by the user, so the crew is never given a false impression.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986"/>
            <w:shd w:val="clear" w:color="auto" w:fill="B8572E"/>
          </w:tcPr>
          <w:p>
            <w:r/>
            <w:r>
              <w:rPr>
                <w:b/>
                <w:color w:val="FFFFFF"/>
                <w:sz w:val="18"/>
              </w:rPr>
              <w:t>Field</w:t>
            </w:r>
          </w:p>
        </w:tc>
        <w:tc>
          <w:tcPr>
            <w:tcW w:type="dxa" w:w="1952"/>
            <w:shd w:val="clear" w:color="auto" w:fill="B8572E"/>
          </w:tcPr>
          <w:p>
            <w:r/>
            <w:r>
              <w:rPr>
                <w:b/>
                <w:color w:val="FFFFFF"/>
                <w:sz w:val="18"/>
              </w:rPr>
              <w:t>Category (GDPR)</w:t>
            </w:r>
          </w:p>
        </w:tc>
        <w:tc>
          <w:tcPr>
            <w:tcW w:type="dxa" w:w="2182"/>
            <w:shd w:val="clear" w:color="auto" w:fill="B8572E"/>
          </w:tcPr>
          <w:p>
            <w:r/>
            <w:r>
              <w:rPr>
                <w:b/>
                <w:color w:val="FFFFFF"/>
                <w:sz w:val="18"/>
              </w:rPr>
              <w:t>Legal basis</w:t>
            </w:r>
          </w:p>
        </w:tc>
        <w:tc>
          <w:tcPr>
            <w:tcW w:type="dxa" w:w="1952"/>
            <w:shd w:val="clear" w:color="auto" w:fill="B8572E"/>
          </w:tcPr>
          <w:p>
            <w:r/>
            <w:r>
              <w:rPr>
                <w:b/>
                <w:color w:val="FFFFFF"/>
                <w:sz w:val="18"/>
              </w:rPr>
              <w:t>On-device only?</w:t>
            </w:r>
          </w:p>
        </w:tc>
      </w:tr>
      <w:tr>
        <w:tc>
          <w:tcPr>
            <w:tcW w:type="dxa" w:w="2986"/>
          </w:tcPr>
          <w:p>
            <w:r/>
            <w:r>
              <w:rPr>
                <w:sz w:val="18"/>
              </w:rPr>
              <w:t>GNSS coordinates, accuracy, fix age</w:t>
            </w:r>
          </w:p>
        </w:tc>
        <w:tc>
          <w:tcPr>
            <w:tcW w:type="dxa" w:w="1952"/>
          </w:tcPr>
          <w:p>
            <w:r/>
            <w:r>
              <w:rPr>
                <w:sz w:val="18"/>
              </w:rPr>
              <w:t>Ordinary (location)</w:t>
            </w:r>
          </w:p>
        </w:tc>
        <w:tc>
          <w:tcPr>
            <w:tcW w:type="dxa" w:w="2182"/>
          </w:tcPr>
          <w:p>
            <w:r/>
            <w:r>
              <w:rPr>
                <w:sz w:val="18"/>
              </w:rPr>
              <w:t>Art. 6(1)(d) vital interests</w:t>
            </w:r>
          </w:p>
        </w:tc>
        <w:tc>
          <w:tcPr>
            <w:tcW w:type="dxa" w:w="1952"/>
          </w:tcPr>
          <w:p>
            <w:r/>
            <w:r>
              <w:rPr>
                <w:sz w:val="18"/>
              </w:rPr>
              <w:t>Yes, until the user shares the handoff card</w:t>
            </w:r>
          </w:p>
        </w:tc>
      </w:tr>
      <w:tr>
        <w:tc>
          <w:tcPr>
            <w:tcW w:type="dxa" w:w="2986"/>
            <w:shd w:val="clear" w:color="auto" w:fill="F7F3EE"/>
          </w:tcPr>
          <w:p>
            <w:r/>
            <w:r>
              <w:rPr>
                <w:sz w:val="18"/>
              </w:rPr>
              <w:t>Landmark / address text</w:t>
            </w:r>
          </w:p>
        </w:tc>
        <w:tc>
          <w:tcPr>
            <w:tcW w:type="dxa" w:w="1952"/>
            <w:shd w:val="clear" w:color="auto" w:fill="F7F3EE"/>
          </w:tcPr>
          <w:p>
            <w:r/>
            <w:r>
              <w:rPr>
                <w:sz w:val="18"/>
              </w:rPr>
              <w:t>Ordinary</w:t>
            </w:r>
          </w:p>
        </w:tc>
        <w:tc>
          <w:tcPr>
            <w:tcW w:type="dxa" w:w="2182"/>
            <w:shd w:val="clear" w:color="auto" w:fill="F7F3EE"/>
          </w:tcPr>
          <w:p>
            <w:r/>
            <w:r>
              <w:rPr>
                <w:sz w:val="18"/>
              </w:rPr>
              <w:t>Art. 6(1)(d)</w:t>
            </w:r>
          </w:p>
        </w:tc>
        <w:tc>
          <w:tcPr>
            <w:tcW w:type="dxa" w:w="1952"/>
            <w:shd w:val="clear" w:color="auto" w:fill="F7F3EE"/>
          </w:tcPr>
          <w:p>
            <w:r/>
            <w:r>
              <w:rPr>
                <w:sz w:val="18"/>
              </w:rPr>
              <w:t>Yes, until shared</w:t>
            </w:r>
          </w:p>
        </w:tc>
      </w:tr>
      <w:tr>
        <w:tc>
          <w:tcPr>
            <w:tcW w:type="dxa" w:w="2986"/>
          </w:tcPr>
          <w:p>
            <w:r/>
            <w:r>
              <w:rPr>
                <w:sz w:val="18"/>
              </w:rPr>
              <w:t>112-called state (called / already called / not confirmed)</w:t>
            </w:r>
          </w:p>
        </w:tc>
        <w:tc>
          <w:tcPr>
            <w:tcW w:type="dxa" w:w="1952"/>
          </w:tcPr>
          <w:p>
            <w:r/>
            <w:r>
              <w:rPr>
                <w:sz w:val="18"/>
              </w:rPr>
              <w:t>Non-personal</w:t>
            </w:r>
          </w:p>
        </w:tc>
        <w:tc>
          <w:tcPr>
            <w:tcW w:type="dxa" w:w="2182"/>
          </w:tcPr>
          <w:p>
            <w:r/>
            <w:r>
              <w:rPr>
                <w:sz w:val="18"/>
              </w:rPr>
              <w:t>Art. 6(1)(f)</w:t>
            </w:r>
          </w:p>
        </w:tc>
        <w:tc>
          <w:tcPr>
            <w:tcW w:type="dxa" w:w="1952"/>
          </w:tcPr>
          <w:p>
            <w:r/>
            <w:r>
              <w:rPr>
                <w:sz w:val="18"/>
              </w:rPr>
              <w:t>Yes</w:t>
            </w:r>
          </w:p>
        </w:tc>
      </w:tr>
    </w:tbl>
    <w:p>
      <w:pPr>
        <w:spacing w:after="80"/>
      </w:pPr>
    </w:p>
    <w:p>
      <w:pPr>
        <w:pStyle w:val="Heading2"/>
      </w:pPr>
      <w:r>
        <w:t>6.5 Scene Triage</w:t>
      </w:r>
    </w:p>
    <w:p>
      <w:r>
        <w:rPr>
          <w:b w:val="0"/>
          <w:i w:val="0"/>
        </w:rPr>
        <w:t>Two questions decide the entire rest of the flow, followed by a small set of details that shape which procedure is chosen and what the handoff card says.</w:t>
      </w:r>
    </w:p>
    <w:p>
      <w:pPr>
        <w:jc w:val="center"/>
      </w:pPr>
      <w:r>
        <w:drawing>
          <wp:inline xmlns:a="http://schemas.openxmlformats.org/drawingml/2006/main" xmlns:pic="http://schemas.openxmlformats.org/drawingml/2006/picture">
            <wp:extent cx="5760720" cy="4072509"/>
            <wp:docPr id="12" name="Picture 12"/>
            <wp:cNvGraphicFramePr>
              <a:graphicFrameLocks noChangeAspect="1"/>
            </wp:cNvGraphicFramePr>
            <a:graphic>
              <a:graphicData uri="http://schemas.openxmlformats.org/drawingml/2006/picture">
                <pic:pic>
                  <pic:nvPicPr>
                    <pic:cNvPr id="0" name="15-emergency-05-triage-filled.png"/>
                    <pic:cNvPicPr/>
                  </pic:nvPicPr>
                  <pic:blipFill>
                    <a:blip r:embed="rId20"/>
                    <a:stretch>
                      <a:fillRect/>
                    </a:stretch>
                  </pic:blipFill>
                  <pic:spPr>
                    <a:xfrm>
                      <a:off x="0" y="0"/>
                      <a:ext cx="5760720" cy="4072509"/>
                    </a:xfrm>
                    <a:prstGeom prst="rect"/>
                  </pic:spPr>
                </pic:pic>
              </a:graphicData>
            </a:graphic>
          </wp:inline>
        </w:drawing>
      </w:r>
    </w:p>
    <w:p>
      <w:pPr>
        <w:pStyle w:val="PhotoCaption"/>
      </w:pPr>
      <w:r>
        <w:t>Figure 6.8 — Scene Triage with sample answers.</w:t>
      </w:r>
    </w:p>
    <w:p>
      <w:pPr>
        <w:pStyle w:val="ListNumber"/>
      </w:pPr>
      <w:r>
        <w:t>Answer “Do they respond when you shout and tap them?” — Yes, No, or Unsure.</w:t>
      </w:r>
    </w:p>
    <w:p>
      <w:pPr>
        <w:pStyle w:val="ListNumber"/>
      </w:pPr>
      <w:r>
        <w:t>Answer “Are they breathing normally?” — Yes, No, or Unsure. If the answer is No, a destructive card appears immediately offering “Start CPR guidance”, which jumps straight to the Guided First Aid stage on the CPR/AED procedure and skips the Hazard Check questionnaire entirely (Figure 6.1's dashed branch) — because in that specific case, time to compressions outranks completeness of data capture.</w:t>
      </w:r>
    </w:p>
    <w:p>
      <w:pPr>
        <w:pStyle w:val="ListNumber"/>
      </w:pPr>
      <w:r>
        <w:t>If not taking the CPR shortcut, select the “Main visible problem” that best matches what is seen: heavy bleeding, choking, burn/scald, fracture, head/spine injury, chest pain, cold exposure, or not sure.</w:t>
      </w:r>
    </w:p>
    <w:p>
      <w:pPr>
        <w:pStyle w:val="ListNumber"/>
      </w:pPr>
      <w:r>
        <w:t>Record how many people are injured, an approximate age band, and whether the victim can be reached safely (accessible, trapped in a vehicle, trapped under load, in the water, or unreachable).</w:t>
      </w:r>
    </w:p>
    <w:p>
      <w:pPr>
        <w:pStyle w:val="ListNumber"/>
      </w:pPr>
      <w:r>
        <w:t>Tap “Continue to hazards” — disabled until both the responsiveness and breathing questions are answered.</w:t>
      </w:r>
    </w:p>
    <w:p>
      <w:pPr>
        <w:pStyle w:val="Callout"/>
        <w:pBdr>
          <w:top w:val="single" w:sz="8" w:space="6" w:color="B8572E"/>
          <w:left w:val="single" w:sz="8" w:space="6" w:color="B8572E"/>
          <w:bottom w:val="single" w:sz="8" w:space="6" w:color="B8572E"/>
          <w:right w:val="single" w:sz="8" w:space="6" w:color="B8572E"/>
        </w:pBdr>
        <w:shd w:val="clear" w:color="auto" w:fill="F0E4D8"/>
      </w:pPr>
      <w:r>
        <w:rPr>
          <w:b/>
          <w:color w:val="B8572E"/>
        </w:rPr>
        <w:t xml:space="preserve">How the answer decides the procedure.  </w:t>
      </w:r>
      <w:r>
        <w:t>Routing is entirely deterministic, computed on-device, with no AI involved: not breathing, or unresponsive with breathing not confirmed “yes”, routes to CPR/AED. Otherwise the selected injury routes to a matching procedure — bleeding, choking, burns, fracture and cold exposure each have a dedicated procedure. Head/spine injury, chest pain, and “not sure” currently all fall through to the severe-bleeding procedure by default, because the content pack does not yet have a dedicated sourced procedure for those categories (Section 11 records this as a known limitation, not a silent gap).</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445"/>
            <w:shd w:val="clear" w:color="auto" w:fill="B8572E"/>
          </w:tcPr>
          <w:p>
            <w:r/>
            <w:r>
              <w:rPr>
                <w:b/>
                <w:color w:val="FFFFFF"/>
                <w:sz w:val="18"/>
              </w:rPr>
              <w:t>Field</w:t>
            </w:r>
          </w:p>
        </w:tc>
        <w:tc>
          <w:tcPr>
            <w:tcW w:type="dxa" w:w="2756"/>
            <w:shd w:val="clear" w:color="auto" w:fill="B8572E"/>
          </w:tcPr>
          <w:p>
            <w:r/>
            <w:r>
              <w:rPr>
                <w:b/>
                <w:color w:val="FFFFFF"/>
                <w:sz w:val="18"/>
              </w:rPr>
              <w:t>Category (GDPR)</w:t>
            </w:r>
          </w:p>
        </w:tc>
        <w:tc>
          <w:tcPr>
            <w:tcW w:type="dxa" w:w="2871"/>
            <w:shd w:val="clear" w:color="auto" w:fill="B8572E"/>
          </w:tcPr>
          <w:p>
            <w:r/>
            <w:r>
              <w:rPr>
                <w:b/>
                <w:color w:val="FFFFFF"/>
                <w:sz w:val="18"/>
              </w:rPr>
              <w:t>Legal basis</w:t>
            </w:r>
          </w:p>
        </w:tc>
      </w:tr>
      <w:tr>
        <w:tc>
          <w:tcPr>
            <w:tcW w:type="dxa" w:w="3445"/>
          </w:tcPr>
          <w:p>
            <w:r/>
            <w:r>
              <w:rPr>
                <w:sz w:val="18"/>
              </w:rPr>
              <w:t>Responsiveness, breathing, injury type, age band</w:t>
            </w:r>
          </w:p>
        </w:tc>
        <w:tc>
          <w:tcPr>
            <w:tcW w:type="dxa" w:w="2756"/>
          </w:tcPr>
          <w:p>
            <w:r/>
            <w:r>
              <w:rPr>
                <w:sz w:val="18"/>
              </w:rPr>
              <w:t>Special-category (Art. 9) health data</w:t>
            </w:r>
          </w:p>
        </w:tc>
        <w:tc>
          <w:tcPr>
            <w:tcW w:type="dxa" w:w="2871"/>
          </w:tcPr>
          <w:p>
            <w:r/>
            <w:r>
              <w:rPr>
                <w:sz w:val="18"/>
              </w:rPr>
              <w:t>Art. 9(2)(c) vital interests, consent not obtainable from the victim</w:t>
            </w:r>
          </w:p>
        </w:tc>
      </w:tr>
      <w:tr>
        <w:tc>
          <w:tcPr>
            <w:tcW w:type="dxa" w:w="3445"/>
            <w:shd w:val="clear" w:color="auto" w:fill="F7F3EE"/>
          </w:tcPr>
          <w:p>
            <w:r/>
            <w:r>
              <w:rPr>
                <w:sz w:val="18"/>
              </w:rPr>
              <w:t>Reported victim count</w:t>
            </w:r>
          </w:p>
        </w:tc>
        <w:tc>
          <w:tcPr>
            <w:tcW w:type="dxa" w:w="2756"/>
            <w:shd w:val="clear" w:color="auto" w:fill="F7F3EE"/>
          </w:tcPr>
          <w:p>
            <w:r/>
            <w:r>
              <w:rPr>
                <w:sz w:val="18"/>
              </w:rPr>
              <w:t>Ordinary (third-party) data</w:t>
            </w:r>
          </w:p>
        </w:tc>
        <w:tc>
          <w:tcPr>
            <w:tcW w:type="dxa" w:w="2871"/>
            <w:shd w:val="clear" w:color="auto" w:fill="F7F3EE"/>
          </w:tcPr>
          <w:p>
            <w:r/>
            <w:r>
              <w:rPr>
                <w:sz w:val="18"/>
              </w:rPr>
              <w:t>Art. 6(1)(d)</w:t>
            </w:r>
          </w:p>
        </w:tc>
      </w:tr>
      <w:tr>
        <w:tc>
          <w:tcPr>
            <w:tcW w:type="dxa" w:w="3445"/>
          </w:tcPr>
          <w:p>
            <w:r/>
            <w:r>
              <w:rPr>
                <w:sz w:val="18"/>
              </w:rPr>
              <w:t>Trapped / accessible status</w:t>
            </w:r>
          </w:p>
        </w:tc>
        <w:tc>
          <w:tcPr>
            <w:tcW w:type="dxa" w:w="2756"/>
          </w:tcPr>
          <w:p>
            <w:r/>
            <w:r>
              <w:rPr>
                <w:sz w:val="18"/>
              </w:rPr>
              <w:t>Ordinary</w:t>
            </w:r>
          </w:p>
        </w:tc>
        <w:tc>
          <w:tcPr>
            <w:tcW w:type="dxa" w:w="2871"/>
          </w:tcPr>
          <w:p>
            <w:r/>
            <w:r>
              <w:rPr>
                <w:sz w:val="18"/>
              </w:rPr>
              <w:t>Art. 6(1)(d)</w:t>
            </w:r>
          </w:p>
        </w:tc>
      </w:tr>
    </w:tbl>
    <w:p>
      <w:pPr>
        <w:spacing w:after="80"/>
      </w:pPr>
    </w:p>
    <w:p>
      <w:r>
        <w:rPr>
          <w:b w:val="0"/>
          <w:i w:val="0"/>
        </w:rPr>
        <w:t>Victim count is recorded and later presented in the handoff brief explicitly “as reported by bystander, not verified” — first counts at accident scenes are well documented as unreliable, and the application never launders that uncertainty into false precision.</w:t>
      </w:r>
    </w:p>
    <w:p>
      <w:pPr>
        <w:pStyle w:val="Heading2"/>
      </w:pPr>
      <w:r>
        <w:t>6.6 Hazard Check</w:t>
      </w:r>
    </w:p>
    <w:p>
      <w:r>
        <w:rPr>
          <w:b w:val="0"/>
          <w:i w:val="0"/>
        </w:rPr>
        <w:t>A safety gate for the helper, and an early-warning list for arriving crews, shown before any hands-on first aid — unless the CPR shortcut in Section 6.5 has already bypassed it.</w:t>
      </w:r>
    </w:p>
    <w:p>
      <w:pPr>
        <w:jc w:val="center"/>
      </w:pPr>
      <w:r>
        <w:drawing>
          <wp:inline xmlns:a="http://schemas.openxmlformats.org/drawingml/2006/main" xmlns:pic="http://schemas.openxmlformats.org/drawingml/2006/picture">
            <wp:extent cx="5760720" cy="3776472"/>
            <wp:docPr id="13" name="Picture 13"/>
            <wp:cNvGraphicFramePr>
              <a:graphicFrameLocks noChangeAspect="1"/>
            </wp:cNvGraphicFramePr>
            <a:graphic>
              <a:graphicData uri="http://schemas.openxmlformats.org/drawingml/2006/picture">
                <pic:pic>
                  <pic:nvPicPr>
                    <pic:cNvPr id="0" name="17-emergency-07-hazards-selected.png"/>
                    <pic:cNvPicPr/>
                  </pic:nvPicPr>
                  <pic:blipFill>
                    <a:blip r:embed="rId21"/>
                    <a:stretch>
                      <a:fillRect/>
                    </a:stretch>
                  </pic:blipFill>
                  <pic:spPr>
                    <a:xfrm>
                      <a:off x="0" y="0"/>
                      <a:ext cx="5760720" cy="3776472"/>
                    </a:xfrm>
                    <a:prstGeom prst="rect"/>
                  </pic:spPr>
                </pic:pic>
              </a:graphicData>
            </a:graphic>
          </wp:inline>
        </w:drawing>
      </w:r>
    </w:p>
    <w:p>
      <w:pPr>
        <w:pStyle w:val="PhotoCaption"/>
      </w:pPr>
      <w:r>
        <w:t>Figure 6.9 — Hazard Check with items selected.</w:t>
      </w:r>
    </w:p>
    <w:p>
      <w:pPr>
        <w:pStyle w:val="ListNumber"/>
      </w:pPr>
      <w:r>
        <w:t>Tick every hazard actually visible from the hazard checklist, which is filtered to the chosen context (for example, “EV traction battery” only appears for a Road/Vehicle incident).</w:t>
      </w:r>
    </w:p>
    <w:p>
      <w:pPr>
        <w:pStyle w:val="ListNumber"/>
      </w:pPr>
      <w:r>
        <w:t>For a Road/Vehicle incident, also record the vehicle's powertrain if known — petrol/diesel, electric, hybrid, LPG/CNG, or heavy goods vehicle — because it changes how rescuers safely cut the vehicle open.</w:t>
      </w:r>
    </w:p>
    <w:p>
      <w:pPr>
        <w:pStyle w:val="ListNumber"/>
      </w:pPr>
      <w:r>
        <w:t>If any selected hazard is flagged as blocking (fire/smoke, fuel or chemical spill, electrical/high voltage, EV traction battery, water/drowning risk, unstable structure, gas/confined space, or rockfall), a destructive warning card appears: do not approach, stay back, keep others back, and report the hazard to 112.</w:t>
      </w:r>
    </w:p>
    <w:p>
      <w:pPr>
        <w:pStyle w:val="ListNumber"/>
      </w:pPr>
      <w:r>
        <w:t>Tap “Continue to your kit” — always enabled; hazard selection never blocks progress, because “I don't know” or “none” are both legitimate, safe answers.</w:t>
      </w:r>
    </w:p>
    <w:p>
      <w:pPr>
        <w:pStyle w:val="Heading2"/>
      </w:pPr>
      <w:r>
        <w:t>6.7 Kit Recognition</w:t>
      </w:r>
    </w:p>
    <w:p>
      <w:r>
        <w:rPr>
          <w:b w:val="0"/>
          <w:i w:val="0"/>
        </w:rPr>
        <w:t>Grounds the guidance that follows in equipment the user actually has, rather than a generic checklist, using either the camera or manual selection as two co-equal paths.</w:t>
      </w:r>
    </w:p>
    <w:p>
      <w:pPr>
        <w:jc w:val="center"/>
      </w:pPr>
      <w:r>
        <w:drawing>
          <wp:inline xmlns:a="http://schemas.openxmlformats.org/drawingml/2006/main" xmlns:pic="http://schemas.openxmlformats.org/drawingml/2006/picture">
            <wp:extent cx="5760720" cy="4760595"/>
            <wp:docPr id="14" name="Picture 14"/>
            <wp:cNvGraphicFramePr>
              <a:graphicFrameLocks noChangeAspect="1"/>
            </wp:cNvGraphicFramePr>
            <a:graphic>
              <a:graphicData uri="http://schemas.openxmlformats.org/drawingml/2006/picture">
                <pic:pic>
                  <pic:nvPicPr>
                    <pic:cNvPr id="0" name="18-emergency-08-kit-scanner.png"/>
                    <pic:cNvPicPr/>
                  </pic:nvPicPr>
                  <pic:blipFill>
                    <a:blip r:embed="rId22"/>
                    <a:stretch>
                      <a:fillRect/>
                    </a:stretch>
                  </pic:blipFill>
                  <pic:spPr>
                    <a:xfrm>
                      <a:off x="0" y="0"/>
                      <a:ext cx="5760720" cy="4760595"/>
                    </a:xfrm>
                    <a:prstGeom prst="rect"/>
                  </pic:spPr>
                </pic:pic>
              </a:graphicData>
            </a:graphic>
          </wp:inline>
        </w:drawing>
      </w:r>
    </w:p>
    <w:p>
      <w:pPr>
        <w:pStyle w:val="PhotoCaption"/>
      </w:pPr>
      <w:r>
        <w:t>Figure 6.10 — Kit Recognition: the manual selection grid, camera not yet opened.</w:t>
      </w:r>
    </w:p>
    <w:p>
      <w:pPr>
        <w:jc w:val="center"/>
      </w:pPr>
      <w:r>
        <w:drawing>
          <wp:inline xmlns:a="http://schemas.openxmlformats.org/drawingml/2006/main" xmlns:pic="http://schemas.openxmlformats.org/drawingml/2006/picture">
            <wp:extent cx="5760720" cy="5624703"/>
            <wp:docPr id="15" name="Picture 15"/>
            <wp:cNvGraphicFramePr>
              <a:graphicFrameLocks noChangeAspect="1"/>
            </wp:cNvGraphicFramePr>
            <a:graphic>
              <a:graphicData uri="http://schemas.openxmlformats.org/drawingml/2006/picture">
                <pic:pic>
                  <pic:nvPicPr>
                    <pic:cNvPr id="0" name="19-emergency-09-kit-camera-live.png"/>
                    <pic:cNvPicPr/>
                  </pic:nvPicPr>
                  <pic:blipFill>
                    <a:blip r:embed="rId23"/>
                    <a:stretch>
                      <a:fillRect/>
                    </a:stretch>
                  </pic:blipFill>
                  <pic:spPr>
                    <a:xfrm>
                      <a:off x="0" y="0"/>
                      <a:ext cx="5760720" cy="5624703"/>
                    </a:xfrm>
                    <a:prstGeom prst="rect"/>
                  </pic:spPr>
                </pic:pic>
              </a:graphicData>
            </a:graphic>
          </wp:inline>
        </w:drawing>
      </w:r>
    </w:p>
    <w:p>
      <w:pPr>
        <w:pStyle w:val="PhotoCaption"/>
      </w:pPr>
      <w:r>
        <w:t>Figure 6.11 — The camera view, active and ready to identify items.</w:t>
      </w:r>
    </w:p>
    <w:p>
      <w:pPr>
        <w:pStyle w:val="ListNumber"/>
      </w:pPr>
      <w:r>
        <w:t>Optionally tap “Open camera” and point it at the open kit, then tap “Identify kit contents.” A single frame is captured to an in-memory canvas, downscaled, and sent once to the configured AI model for recognition; items returned with at least 50% confidence are added to the selection automatically.</w:t>
      </w:r>
    </w:p>
    <w:p>
      <w:pPr>
        <w:pStyle w:val="ListNumber"/>
      </w:pPr>
      <w:r>
        <w:t>Review the recognised items and their confidence scores. The app is explicit that recognition can be wrong and that the user's own eyes are the final authority.</w:t>
      </w:r>
    </w:p>
    <w:p>
      <w:pPr>
        <w:pStyle w:val="ListNumber"/>
      </w:pPr>
      <w:r>
        <w:t>Whether or not the camera was used, tick or untick any item directly in “What you actually have” — manual selection is not a fallback mode, it is a first-class, equally supported path, because lighting, occlusion and reflections are documented accuracy limits of any camera-based recognition.</w:t>
      </w:r>
    </w:p>
    <w:p>
      <w:pPr>
        <w:pStyle w:val="ListNumber"/>
      </w:pPr>
      <w:r>
        <w:t>If there is no kit at all, tap “I have no kit at all” — the guided procedure that follows will use improvised, item-free alternatives wherever the content pack has a sourced one.</w:t>
      </w:r>
    </w:p>
    <w:p>
      <w:pPr>
        <w:pStyle w:val="ListNumber"/>
      </w:pPr>
      <w:r>
        <w:t>Tap “Start step-by-step guidance” to move on.</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No image is ever stored.  </w:t>
      </w:r>
      <w:r>
        <w:t>The captured frame exists only in browser memory for the duration of one recognition request and is discarded immediately after. It is never written to local storage, never saved as a file, and never persisted anywhere on the backend — this is a hard rule the code enforces, not a configurable setting, and it directly addresses the documented cybersecurity exposure of camera-based AR systems that retain sensitive scene imagery.</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986"/>
            <w:shd w:val="clear" w:color="auto" w:fill="B8572E"/>
          </w:tcPr>
          <w:p>
            <w:r/>
            <w:r>
              <w:rPr>
                <w:b/>
                <w:color w:val="FFFFFF"/>
                <w:sz w:val="18"/>
              </w:rPr>
              <w:t>Field</w:t>
            </w:r>
          </w:p>
        </w:tc>
        <w:tc>
          <w:tcPr>
            <w:tcW w:type="dxa" w:w="2182"/>
            <w:shd w:val="clear" w:color="auto" w:fill="B8572E"/>
          </w:tcPr>
          <w:p>
            <w:r/>
            <w:r>
              <w:rPr>
                <w:b/>
                <w:color w:val="FFFFFF"/>
                <w:sz w:val="18"/>
              </w:rPr>
              <w:t>Source</w:t>
            </w:r>
          </w:p>
        </w:tc>
        <w:tc>
          <w:tcPr>
            <w:tcW w:type="dxa" w:w="3904"/>
            <w:shd w:val="clear" w:color="auto" w:fill="B8572E"/>
          </w:tcPr>
          <w:p>
            <w:r/>
            <w:r>
              <w:rPr>
                <w:b/>
                <w:color w:val="FFFFFF"/>
                <w:sz w:val="18"/>
              </w:rPr>
              <w:t>Retention</w:t>
            </w:r>
          </w:p>
        </w:tc>
      </w:tr>
      <w:tr>
        <w:tc>
          <w:tcPr>
            <w:tcW w:type="dxa" w:w="2986"/>
          </w:tcPr>
          <w:p>
            <w:r/>
            <w:r>
              <w:rPr>
                <w:sz w:val="18"/>
              </w:rPr>
              <w:t>Camera frame</w:t>
            </w:r>
          </w:p>
        </w:tc>
        <w:tc>
          <w:tcPr>
            <w:tcW w:type="dxa" w:w="2182"/>
          </w:tcPr>
          <w:p>
            <w:r/>
            <w:r>
              <w:rPr>
                <w:sz w:val="18"/>
              </w:rPr>
              <w:t>Device camera</w:t>
            </w:r>
          </w:p>
        </w:tc>
        <w:tc>
          <w:tcPr>
            <w:tcW w:type="dxa" w:w="3904"/>
          </w:tcPr>
          <w:p>
            <w:r/>
            <w:r>
              <w:rPr>
                <w:sz w:val="18"/>
              </w:rPr>
              <w:t>Not persisted — processed in memory, discarded immediately</w:t>
            </w:r>
          </w:p>
        </w:tc>
      </w:tr>
      <w:tr>
        <w:tc>
          <w:tcPr>
            <w:tcW w:type="dxa" w:w="2986"/>
            <w:shd w:val="clear" w:color="auto" w:fill="F7F3EE"/>
          </w:tcPr>
          <w:p>
            <w:r/>
            <w:r>
              <w:rPr>
                <w:sz w:val="18"/>
              </w:rPr>
              <w:t>Recognised item labels + confidence</w:t>
            </w:r>
          </w:p>
        </w:tc>
        <w:tc>
          <w:tcPr>
            <w:tcW w:type="dxa" w:w="2182"/>
            <w:shd w:val="clear" w:color="auto" w:fill="F7F3EE"/>
          </w:tcPr>
          <w:p>
            <w:r/>
            <w:r>
              <w:rPr>
                <w:sz w:val="18"/>
              </w:rPr>
              <w:t>AI recognition</w:t>
            </w:r>
          </w:p>
        </w:tc>
        <w:tc>
          <w:tcPr>
            <w:tcW w:type="dxa" w:w="3904"/>
            <w:shd w:val="clear" w:color="auto" w:fill="F7F3EE"/>
          </w:tcPr>
          <w:p>
            <w:r/>
            <w:r>
              <w:rPr>
                <w:sz w:val="18"/>
              </w:rPr>
              <w:t>Incident lifetime, on-device</w:t>
            </w:r>
          </w:p>
        </w:tc>
      </w:tr>
      <w:tr>
        <w:tc>
          <w:tcPr>
            <w:tcW w:type="dxa" w:w="2986"/>
          </w:tcPr>
          <w:p>
            <w:r/>
            <w:r>
              <w:rPr>
                <w:sz w:val="18"/>
              </w:rPr>
              <w:t>Manually selected items</w:t>
            </w:r>
          </w:p>
        </w:tc>
        <w:tc>
          <w:tcPr>
            <w:tcW w:type="dxa" w:w="2182"/>
          </w:tcPr>
          <w:p>
            <w:r/>
            <w:r>
              <w:rPr>
                <w:sz w:val="18"/>
              </w:rPr>
              <w:t>User input</w:t>
            </w:r>
          </w:p>
        </w:tc>
        <w:tc>
          <w:tcPr>
            <w:tcW w:type="dxa" w:w="3904"/>
          </w:tcPr>
          <w:p>
            <w:r/>
            <w:r>
              <w:rPr>
                <w:sz w:val="18"/>
              </w:rPr>
              <w:t>Incident lifetime, on-device</w:t>
            </w:r>
          </w:p>
        </w:tc>
      </w:tr>
    </w:tbl>
    <w:p>
      <w:pPr>
        <w:spacing w:after="80"/>
      </w:pPr>
    </w:p>
    <w:p>
      <w:pPr>
        <w:pStyle w:val="Heading2"/>
      </w:pPr>
      <w:r>
        <w:t>6.8 Guided First Aid</w:t>
      </w:r>
    </w:p>
    <w:p>
      <w:r>
        <w:rPr>
          <w:b w:val="0"/>
          <w:i w:val="0"/>
        </w:rPr>
        <w:t>Walks the user through the chosen procedure one step at a time, filtered to the equipment they actually confirmed having.</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21-emergency-11-guided-procedure-step1.png"/>
                    <pic:cNvPicPr/>
                  </pic:nvPicPr>
                  <pic:blipFill>
                    <a:blip r:embed="rId24"/>
                    <a:stretch>
                      <a:fillRect/>
                    </a:stretch>
                  </pic:blipFill>
                  <pic:spPr>
                    <a:xfrm>
                      <a:off x="0" y="0"/>
                      <a:ext cx="5760720" cy="3600450"/>
                    </a:xfrm>
                    <a:prstGeom prst="rect"/>
                  </pic:spPr>
                </pic:pic>
              </a:graphicData>
            </a:graphic>
          </wp:inline>
        </w:drawing>
      </w:r>
    </w:p>
    <w:p>
      <w:pPr>
        <w:pStyle w:val="PhotoCaption"/>
      </w:pPr>
      <w:r>
        <w:t>Figure 6.12 — Step 1 of the Severe bleeding procedure, adapted because gloves are not in the kit.</w:t>
      </w:r>
    </w:p>
    <w:p>
      <w:pPr>
        <w:pStyle w:val="ListNumber"/>
      </w:pPr>
      <w:r>
        <w:t>Read the current step. If it needs kit items the user has, those are highlighted with their how-to text; if it needs items the user does not have, the step shows its documented improvised alternative instead of asking for equipment that is not there.</w:t>
      </w:r>
    </w:p>
    <w:p>
      <w:pPr>
        <w:pStyle w:val="ListNumber"/>
      </w:pPr>
      <w:r>
        <w:t>For the CPR compression step specifically, an audible metronome (110 beats per minute) can be started to pace compressions.</w:t>
      </w:r>
    </w:p>
    <w:p>
      <w:pPr>
        <w:pStyle w:val="ListNumber"/>
      </w:pPr>
      <w:r>
        <w:t>Tap “Done, next step” to mark the step complete — this timestamps it for the eventual handoff — or step back with the previous-step control if needed.</w:t>
      </w:r>
    </w:p>
    <w:p>
      <w:pPr>
        <w:pStyle w:val="ListNumber"/>
      </w:pPr>
      <w:r>
        <w:t>On the final step, the button reads “Done — prepare handoff” and takes the user straight to the Rescuer Handoff screen.</w:t>
      </w:r>
    </w:p>
    <w:p>
      <w:pPr>
        <w:pStyle w:val="Callout"/>
        <w:pBdr>
          <w:top w:val="single" w:sz="8" w:space="6" w:color="B83014"/>
          <w:left w:val="single" w:sz="8" w:space="6" w:color="B83014"/>
          <w:bottom w:val="single" w:sz="8" w:space="6" w:color="B83014"/>
          <w:right w:val="single" w:sz="8" w:space="6" w:color="B83014"/>
        </w:pBdr>
        <w:shd w:val="clear" w:color="auto" w:fill="F3D9D2"/>
      </w:pPr>
      <w:r>
        <w:rPr>
          <w:b/>
          <w:color w:val="B83014"/>
        </w:rPr>
        <w:t xml:space="preserve">Clinical-review status is never hidden.  </w:t>
      </w:r>
      <w:r>
        <w:t>Every procedure in the current content pack carries the status “pending independent clinical sign-off — bystander orientation only,” shown at the bottom of every step alongside its source citation. If a 112 operator gives different instructions, the app tells the user explicitly to follow the operator.</w:t>
      </w:r>
    </w:p>
    <w:p>
      <w:pPr>
        <w:pStyle w:val="Heading2"/>
      </w:pPr>
      <w:r>
        <w:t>6.9 Rescuer Handoff</w:t>
      </w:r>
    </w:p>
    <w:p>
      <w:r>
        <w:rPr>
          <w:b w:val="0"/>
          <w:i w:val="0"/>
        </w:rPr>
        <w:t>The deliverable the whole flow has been building toward: a single, complete, structured summary the user shows or reads to the arriving crew.</w:t>
      </w:r>
    </w:p>
    <w:p>
      <w:pPr>
        <w:jc w:val="center"/>
      </w:pPr>
      <w:r>
        <w:drawing>
          <wp:inline xmlns:a="http://schemas.openxmlformats.org/drawingml/2006/main" xmlns:pic="http://schemas.openxmlformats.org/drawingml/2006/picture">
            <wp:extent cx="5760720" cy="4672584"/>
            <wp:docPr id="17" name="Picture 17"/>
            <wp:cNvGraphicFramePr>
              <a:graphicFrameLocks noChangeAspect="1"/>
            </wp:cNvGraphicFramePr>
            <a:graphic>
              <a:graphicData uri="http://schemas.openxmlformats.org/drawingml/2006/picture">
                <pic:pic>
                  <pic:nvPicPr>
                    <pic:cNvPr id="0" name="23-handoff-brief.png"/>
                    <pic:cNvPicPr/>
                  </pic:nvPicPr>
                  <pic:blipFill>
                    <a:blip r:embed="rId25"/>
                    <a:stretch>
                      <a:fillRect/>
                    </a:stretch>
                  </pic:blipFill>
                  <pic:spPr>
                    <a:xfrm>
                      <a:off x="0" y="0"/>
                      <a:ext cx="5760720" cy="4672584"/>
                    </a:xfrm>
                    <a:prstGeom prst="rect"/>
                  </pic:spPr>
                </pic:pic>
              </a:graphicData>
            </a:graphic>
          </wp:inline>
        </w:drawing>
      </w:r>
    </w:p>
    <w:p>
      <w:pPr>
        <w:pStyle w:val="PhotoCaption"/>
      </w:pPr>
      <w:r>
        <w:t>Figure 6.13 — The generated Scene Brief, ready to share.</w:t>
      </w:r>
    </w:p>
    <w:p>
      <w:pPr>
        <w:pStyle w:val="ListNumber"/>
      </w:pPr>
      <w:r>
        <w:t>Choose what to include: the medical-information checkbox (disabled unless health consent exists and the Safety Profile actually has data) and the reporter name/phone checkbox — both are per-share choices, off by default, never assumed.</w:t>
      </w:r>
    </w:p>
    <w:p>
      <w:pPr>
        <w:pStyle w:val="ListNumber"/>
      </w:pPr>
      <w:r>
        <w:t>Review the Scene Brief itself, composed deterministically on-device in the order rescuers prioritise: location, victims, primary-victim status, hazards, medical information, actions already taken, equipment available, and reporter contact.</w:t>
      </w:r>
    </w:p>
    <w:p>
      <w:pPr>
        <w:pStyle w:val="ListNumber"/>
      </w:pPr>
      <w:r>
        <w:t>Tap “Share with the crew” (uses the device's native share sheet where available, or copies to clipboard) or “Copy text.”</w:t>
      </w:r>
    </w:p>
    <w:p>
      <w:pPr>
        <w:pStyle w:val="ListNumber"/>
      </w:pPr>
      <w:r>
        <w:t>Optionally tap “Generate” under Spoken handover for a short, AI-rewritten paragraph version to read aloud — covered in full in Section 9.2.</w:t>
      </w:r>
    </w:p>
    <w:p>
      <w:pPr>
        <w:pStyle w:val="ListNumber"/>
      </w:pPr>
      <w:r>
        <w:t>Tap “Incident over — review and delete data” to move to Review.</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268"/>
            <w:shd w:val="clear" w:color="auto" w:fill="B8572E"/>
          </w:tcPr>
          <w:p>
            <w:r/>
            <w:r>
              <w:rPr>
                <w:b/>
                <w:color w:val="FFFFFF"/>
                <w:sz w:val="18"/>
              </w:rPr>
              <w:t>Brief section</w:t>
            </w:r>
          </w:p>
        </w:tc>
        <w:tc>
          <w:tcPr>
            <w:tcW w:type="dxa" w:w="2984"/>
            <w:shd w:val="clear" w:color="auto" w:fill="B8572E"/>
          </w:tcPr>
          <w:p>
            <w:r/>
            <w:r>
              <w:rPr>
                <w:b/>
                <w:color w:val="FFFFFF"/>
                <w:sz w:val="18"/>
              </w:rPr>
              <w:t>Populated from</w:t>
            </w:r>
          </w:p>
        </w:tc>
        <w:tc>
          <w:tcPr>
            <w:tcW w:type="dxa" w:w="3820"/>
            <w:shd w:val="clear" w:color="auto" w:fill="B8572E"/>
          </w:tcPr>
          <w:p>
            <w:r/>
            <w:r>
              <w:rPr>
                <w:b/>
                <w:color w:val="FFFFFF"/>
                <w:sz w:val="18"/>
              </w:rPr>
              <w:t>Omitted when</w:t>
            </w:r>
          </w:p>
        </w:tc>
      </w:tr>
      <w:tr>
        <w:tc>
          <w:tcPr>
            <w:tcW w:type="dxa" w:w="2268"/>
          </w:tcPr>
          <w:p>
            <w:r/>
            <w:r>
              <w:rPr>
                <w:sz w:val="18"/>
              </w:rPr>
              <w:t>Location</w:t>
            </w:r>
          </w:p>
        </w:tc>
        <w:tc>
          <w:tcPr>
            <w:tcW w:type="dxa" w:w="2984"/>
          </w:tcPr>
          <w:p>
            <w:r/>
            <w:r>
              <w:rPr>
                <w:sz w:val="18"/>
              </w:rPr>
              <w:t>112 Gate stage</w:t>
            </w:r>
          </w:p>
        </w:tc>
        <w:tc>
          <w:tcPr>
            <w:tcW w:type="dxa" w:w="3820"/>
          </w:tcPr>
          <w:p>
            <w:r/>
            <w:r>
              <w:rPr>
                <w:sz w:val="18"/>
              </w:rPr>
              <w:t>Never omitted; shows “No satellite fix captured” if none was taken</w:t>
            </w:r>
          </w:p>
        </w:tc>
      </w:tr>
      <w:tr>
        <w:tc>
          <w:tcPr>
            <w:tcW w:type="dxa" w:w="2268"/>
            <w:shd w:val="clear" w:color="auto" w:fill="F7F3EE"/>
          </w:tcPr>
          <w:p>
            <w:r/>
            <w:r>
              <w:rPr>
                <w:sz w:val="18"/>
              </w:rPr>
              <w:t>Victims</w:t>
            </w:r>
          </w:p>
        </w:tc>
        <w:tc>
          <w:tcPr>
            <w:tcW w:type="dxa" w:w="2984"/>
            <w:shd w:val="clear" w:color="auto" w:fill="F7F3EE"/>
          </w:tcPr>
          <w:p>
            <w:r/>
            <w:r>
              <w:rPr>
                <w:sz w:val="18"/>
              </w:rPr>
              <w:t>Triage stage</w:t>
            </w:r>
          </w:p>
        </w:tc>
        <w:tc>
          <w:tcPr>
            <w:tcW w:type="dxa" w:w="3820"/>
            <w:shd w:val="clear" w:color="auto" w:fill="F7F3EE"/>
          </w:tcPr>
          <w:p>
            <w:r/>
            <w:r>
              <w:rPr>
                <w:sz w:val="18"/>
              </w:rPr>
              <w:t>Never omitted; always marked “reported, not verified”</w:t>
            </w:r>
          </w:p>
        </w:tc>
      </w:tr>
      <w:tr>
        <w:tc>
          <w:tcPr>
            <w:tcW w:type="dxa" w:w="2268"/>
          </w:tcPr>
          <w:p>
            <w:r/>
            <w:r>
              <w:rPr>
                <w:sz w:val="18"/>
              </w:rPr>
              <w:t>Primary victim status</w:t>
            </w:r>
          </w:p>
        </w:tc>
        <w:tc>
          <w:tcPr>
            <w:tcW w:type="dxa" w:w="2984"/>
          </w:tcPr>
          <w:p>
            <w:r/>
            <w:r>
              <w:rPr>
                <w:sz w:val="18"/>
              </w:rPr>
              <w:t>Triage stage</w:t>
            </w:r>
          </w:p>
        </w:tc>
        <w:tc>
          <w:tcPr>
            <w:tcW w:type="dxa" w:w="3820"/>
          </w:tcPr>
          <w:p>
            <w:r/>
            <w:r>
              <w:rPr>
                <w:sz w:val="18"/>
              </w:rPr>
              <w:t>Never omitted</w:t>
            </w:r>
          </w:p>
        </w:tc>
      </w:tr>
      <w:tr>
        <w:tc>
          <w:tcPr>
            <w:tcW w:type="dxa" w:w="2268"/>
            <w:shd w:val="clear" w:color="auto" w:fill="F7F3EE"/>
          </w:tcPr>
          <w:p>
            <w:r/>
            <w:r>
              <w:rPr>
                <w:sz w:val="18"/>
              </w:rPr>
              <w:t>Hazards on scene</w:t>
            </w:r>
          </w:p>
        </w:tc>
        <w:tc>
          <w:tcPr>
            <w:tcW w:type="dxa" w:w="2984"/>
            <w:shd w:val="clear" w:color="auto" w:fill="F7F3EE"/>
          </w:tcPr>
          <w:p>
            <w:r/>
            <w:r>
              <w:rPr>
                <w:sz w:val="18"/>
              </w:rPr>
              <w:t>Hazard Check stage</w:t>
            </w:r>
          </w:p>
        </w:tc>
        <w:tc>
          <w:tcPr>
            <w:tcW w:type="dxa" w:w="3820"/>
            <w:shd w:val="clear" w:color="auto" w:fill="F7F3EE"/>
          </w:tcPr>
          <w:p>
            <w:r/>
            <w:r>
              <w:rPr>
                <w:sz w:val="18"/>
              </w:rPr>
              <w:t>Omitted if none were selected</w:t>
            </w:r>
          </w:p>
        </w:tc>
      </w:tr>
      <w:tr>
        <w:tc>
          <w:tcPr>
            <w:tcW w:type="dxa" w:w="2268"/>
          </w:tcPr>
          <w:p>
            <w:r/>
            <w:r>
              <w:rPr>
                <w:sz w:val="18"/>
              </w:rPr>
              <w:t>Medical information</w:t>
            </w:r>
          </w:p>
        </w:tc>
        <w:tc>
          <w:tcPr>
            <w:tcW w:type="dxa" w:w="2984"/>
          </w:tcPr>
          <w:p>
            <w:r/>
            <w:r>
              <w:rPr>
                <w:sz w:val="18"/>
              </w:rPr>
              <w:t>Safety Profile (Section 7.1)</w:t>
            </w:r>
          </w:p>
        </w:tc>
        <w:tc>
          <w:tcPr>
            <w:tcW w:type="dxa" w:w="3820"/>
          </w:tcPr>
          <w:p>
            <w:r/>
            <w:r>
              <w:rPr>
                <w:sz w:val="18"/>
              </w:rPr>
              <w:t>Shows “Withheld by the user” unless the medical-information checkbox above is ticked</w:t>
            </w:r>
          </w:p>
        </w:tc>
      </w:tr>
      <w:tr>
        <w:tc>
          <w:tcPr>
            <w:tcW w:type="dxa" w:w="2268"/>
            <w:shd w:val="clear" w:color="auto" w:fill="F7F3EE"/>
          </w:tcPr>
          <w:p>
            <w:r/>
            <w:r>
              <w:rPr>
                <w:sz w:val="18"/>
              </w:rPr>
              <w:t>Actions already taken</w:t>
            </w:r>
          </w:p>
        </w:tc>
        <w:tc>
          <w:tcPr>
            <w:tcW w:type="dxa" w:w="2984"/>
            <w:shd w:val="clear" w:color="auto" w:fill="F7F3EE"/>
          </w:tcPr>
          <w:p>
            <w:r/>
            <w:r>
              <w:rPr>
                <w:sz w:val="18"/>
              </w:rPr>
              <w:t>Guided First Aid stage</w:t>
            </w:r>
          </w:p>
        </w:tc>
        <w:tc>
          <w:tcPr>
            <w:tcW w:type="dxa" w:w="3820"/>
            <w:shd w:val="clear" w:color="auto" w:fill="F7F3EE"/>
          </w:tcPr>
          <w:p>
            <w:r/>
            <w:r>
              <w:rPr>
                <w:sz w:val="18"/>
              </w:rPr>
              <w:t>Shows “No steps recorded” if none were marked complete</w:t>
            </w:r>
          </w:p>
        </w:tc>
      </w:tr>
      <w:tr>
        <w:tc>
          <w:tcPr>
            <w:tcW w:type="dxa" w:w="2268"/>
          </w:tcPr>
          <w:p>
            <w:r/>
            <w:r>
              <w:rPr>
                <w:sz w:val="18"/>
              </w:rPr>
              <w:t>Equipment used/available</w:t>
            </w:r>
          </w:p>
        </w:tc>
        <w:tc>
          <w:tcPr>
            <w:tcW w:type="dxa" w:w="2984"/>
          </w:tcPr>
          <w:p>
            <w:r/>
            <w:r>
              <w:rPr>
                <w:sz w:val="18"/>
              </w:rPr>
              <w:t>Kit Recognition stage</w:t>
            </w:r>
          </w:p>
        </w:tc>
        <w:tc>
          <w:tcPr>
            <w:tcW w:type="dxa" w:w="3820"/>
          </w:tcPr>
          <w:p>
            <w:r/>
            <w:r>
              <w:rPr>
                <w:sz w:val="18"/>
              </w:rPr>
              <w:t>Section omitted entirely if no items were selected</w:t>
            </w:r>
          </w:p>
        </w:tc>
      </w:tr>
      <w:tr>
        <w:tc>
          <w:tcPr>
            <w:tcW w:type="dxa" w:w="2268"/>
            <w:shd w:val="clear" w:color="auto" w:fill="F7F3EE"/>
          </w:tcPr>
          <w:p>
            <w:r/>
            <w:r>
              <w:rPr>
                <w:sz w:val="18"/>
              </w:rPr>
              <w:t>Reporter</w:t>
            </w:r>
          </w:p>
        </w:tc>
        <w:tc>
          <w:tcPr>
            <w:tcW w:type="dxa" w:w="2984"/>
            <w:shd w:val="clear" w:color="auto" w:fill="F7F3EE"/>
          </w:tcPr>
          <w:p>
            <w:r/>
            <w:r>
              <w:rPr>
                <w:sz w:val="18"/>
              </w:rPr>
              <w:t>User input on this screen</w:t>
            </w:r>
          </w:p>
        </w:tc>
        <w:tc>
          <w:tcPr>
            <w:tcW w:type="dxa" w:w="3820"/>
            <w:shd w:val="clear" w:color="auto" w:fill="F7F3EE"/>
          </w:tcPr>
          <w:p>
            <w:r/>
            <w:r>
              <w:rPr>
                <w:sz w:val="18"/>
              </w:rPr>
              <w:t>Omitted unless the reporter checkbox is ticked and at least one field is filled</w:t>
            </w:r>
          </w:p>
        </w:tc>
      </w:tr>
    </w:tbl>
    <w:p>
      <w:pPr>
        <w:spacing w:after="80"/>
      </w:pPr>
    </w:p>
    <w:p>
      <w:pPr>
        <w:pStyle w:val="Heading2"/>
      </w:pPr>
      <w:r>
        <w:t>6.10 Incident Review and Data Rights</w:t>
      </w:r>
    </w:p>
    <w:p>
      <w:r>
        <w:rPr>
          <w:b w:val="0"/>
          <w:i w:val="0"/>
        </w:rPr>
        <w:t>Documented in full in Section 8 alongside the rest of the application's data-protection posture, because it is where GDPR Articles 15–18 become concrete actions rather than a policy statement.</w:t>
      </w:r>
    </w:p>
    <w:p>
      <w:pPr>
        <w:jc w:val="center"/>
      </w:pPr>
      <w:r>
        <w:drawing>
          <wp:inline xmlns:a="http://schemas.openxmlformats.org/drawingml/2006/main" xmlns:pic="http://schemas.openxmlformats.org/drawingml/2006/picture">
            <wp:extent cx="5760720" cy="5152644"/>
            <wp:docPr id="18" name="Picture 18"/>
            <wp:cNvGraphicFramePr>
              <a:graphicFrameLocks noChangeAspect="1"/>
            </wp:cNvGraphicFramePr>
            <a:graphic>
              <a:graphicData uri="http://schemas.openxmlformats.org/drawingml/2006/picture">
                <pic:pic>
                  <pic:nvPicPr>
                    <pic:cNvPr id="0" name="25-review-data-rights.png"/>
                    <pic:cNvPicPr/>
                  </pic:nvPicPr>
                  <pic:blipFill>
                    <a:blip r:embed="rId26"/>
                    <a:stretch>
                      <a:fillRect/>
                    </a:stretch>
                  </pic:blipFill>
                  <pic:spPr>
                    <a:xfrm>
                      <a:off x="0" y="0"/>
                      <a:ext cx="5760720" cy="5152644"/>
                    </a:xfrm>
                    <a:prstGeom prst="rect"/>
                  </pic:spPr>
                </pic:pic>
              </a:graphicData>
            </a:graphic>
          </wp:inline>
        </w:drawing>
      </w:r>
    </w:p>
    <w:p>
      <w:pPr>
        <w:pStyle w:val="PhotoCaption"/>
      </w:pPr>
      <w:r>
        <w:t>Figure 6.14 — The Review screen after a completed incident.</w:t>
      </w:r>
    </w:p>
    <w:p>
      <w:r>
        <w:br w:type="page"/>
      </w:r>
    </w:p>
    <w:p>
      <w:pPr>
        <w:pStyle w:val="Heading1"/>
      </w:pPr>
      <w:r>
        <w:t>7. Preparedness Features</w:t>
      </w:r>
    </w:p>
    <w:p>
      <w:r>
        <w:rPr>
          <w:b w:val="0"/>
          <w:i w:val="0"/>
        </w:rPr>
        <w:t>Four features exist for calm moments, not emergencies: the Safety Profile, My Kits, Risks &amp; regulations, and Learn &amp; practise. None of them are required to use the emergency flow; each is reachable from a shortcut card on the Home screen (Section 6.1).</w:t>
      </w:r>
    </w:p>
    <w:p>
      <w:pPr>
        <w:pStyle w:val="Heading2"/>
      </w:pPr>
      <w:r>
        <w:t>7.1 Safety Profile</w:t>
      </w:r>
    </w:p>
    <w:p>
      <w:r>
        <w:rPr>
          <w:b w:val="0"/>
          <w:i w:val="0"/>
        </w:rPr>
        <w:t>A place to pre-record the small set of medical facts that materially change how a rescuer treats someone, so they do not have to be discovered at the scene under pressure.</w:t>
      </w:r>
    </w:p>
    <w:p>
      <w:pPr>
        <w:jc w:val="center"/>
      </w:pPr>
      <w:r>
        <w:drawing>
          <wp:inline xmlns:a="http://schemas.openxmlformats.org/drawingml/2006/main" xmlns:pic="http://schemas.openxmlformats.org/drawingml/2006/picture">
            <wp:extent cx="5760720" cy="4968621"/>
            <wp:docPr id="19" name="Picture 19"/>
            <wp:cNvGraphicFramePr>
              <a:graphicFrameLocks noChangeAspect="1"/>
            </wp:cNvGraphicFramePr>
            <a:graphic>
              <a:graphicData uri="http://schemas.openxmlformats.org/drawingml/2006/picture">
                <pic:pic>
                  <pic:nvPicPr>
                    <pic:cNvPr id="0" name="09-profile-unlocked.png"/>
                    <pic:cNvPicPr/>
                  </pic:nvPicPr>
                  <pic:blipFill>
                    <a:blip r:embed="rId27"/>
                    <a:stretch>
                      <a:fillRect/>
                    </a:stretch>
                  </pic:blipFill>
                  <pic:spPr>
                    <a:xfrm>
                      <a:off x="0" y="0"/>
                      <a:ext cx="5760720" cy="4968621"/>
                    </a:xfrm>
                    <a:prstGeom prst="rect"/>
                  </pic:spPr>
                </pic:pic>
              </a:graphicData>
            </a:graphic>
          </wp:inline>
        </w:drawing>
      </w:r>
    </w:p>
    <w:p>
      <w:pPr>
        <w:pStyle w:val="PhotoCaption"/>
      </w:pPr>
      <w:r>
        <w:t>Figure 7.1 — Safety Profile with health fields unlocked after consent.</w:t>
      </w:r>
    </w:p>
    <w:p>
      <w:pPr>
        <w:pStyle w:val="ListNumber"/>
      </w:pPr>
      <w:r>
        <w:t>Fill in identity and contact fields — name, preferred language, emergency contact name and phone — which are ordinary personal data, not special-category, but still kept locally only.</w:t>
      </w:r>
    </w:p>
    <w:p>
      <w:pPr>
        <w:pStyle w:val="ListNumber"/>
      </w:pPr>
      <w:r>
        <w:t>The medical facts card (blood type, implants/devices, allergies, conditions, medications) stays disabled with a “Review consent” prompt until the health-data toggle from Section 6.2 is switched on. Attempting to use it takes the user straight back to Consent.</w:t>
      </w:r>
    </w:p>
    <w:p>
      <w:pPr>
        <w:pStyle w:val="ListNumber"/>
      </w:pPr>
      <w:r>
        <w:t>Every field auto-saves as you type — there is no separate Save button, and nothing here is ever uploaded automatically.</w:t>
      </w:r>
    </w:p>
    <w:p>
      <w:pPr>
        <w:pStyle w:val="ListNumber"/>
      </w:pPr>
      <w:r>
        <w:t>Tap “Delete profile” to erase it from this device immediately.</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Why these fields specifically.  </w:t>
      </w:r>
      <w:r>
        <w:t>The field set is not arbitrary: it is drawn from the documented list of pre-existing conditions, allergies, medications and implants identified as decisive for on-scene treatment decisions, and nothing beyond that list is collected — a direct application of GDPR Art. 5(1)(c) data minimisation.</w:t>
      </w:r>
    </w:p>
    <w:p>
      <w:pPr>
        <w:pStyle w:val="Heading2"/>
      </w:pPr>
      <w:r>
        <w:t>7.2 My Kits</w:t>
      </w:r>
    </w:p>
    <w:p>
      <w:r>
        <w:rPr>
          <w:b w:val="0"/>
          <w:i w:val="0"/>
        </w:rPr>
        <w:t>Lets a user register the kits they actually own — car, home, office, boat, backpack — so the Kit Recognition stage (Section 6.7) can be pre-loaded with what is realistically available, and so missing or expired items can be flagged before an emergency, not during one.</w:t>
      </w:r>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03-kits-empty-authenticated.png"/>
                    <pic:cNvPicPr/>
                  </pic:nvPicPr>
                  <pic:blipFill>
                    <a:blip r:embed="rId28"/>
                    <a:stretch>
                      <a:fillRect/>
                    </a:stretch>
                  </pic:blipFill>
                  <pic:spPr>
                    <a:xfrm>
                      <a:off x="0" y="0"/>
                      <a:ext cx="5760720" cy="3600450"/>
                    </a:xfrm>
                    <a:prstGeom prst="rect"/>
                  </pic:spPr>
                </pic:pic>
              </a:graphicData>
            </a:graphic>
          </wp:inline>
        </w:drawing>
      </w:r>
    </w:p>
    <w:p>
      <w:pPr>
        <w:pStyle w:val="PhotoCaption"/>
      </w:pPr>
      <w:r>
        <w:t>Figure 7.2 — My Kits, signed out: the sign-in prompt replaces the kit list rather than blocking the page.</w:t>
      </w:r>
    </w:p>
    <w:p>
      <w:pPr>
        <w:jc w:val="center"/>
      </w:pPr>
      <w:r>
        <w:drawing>
          <wp:inline xmlns:a="http://schemas.openxmlformats.org/drawingml/2006/main" xmlns:pic="http://schemas.openxmlformats.org/drawingml/2006/picture">
            <wp:extent cx="5760720" cy="4808601"/>
            <wp:docPr id="21" name="Picture 21"/>
            <wp:cNvGraphicFramePr>
              <a:graphicFrameLocks noChangeAspect="1"/>
            </wp:cNvGraphicFramePr>
            <a:graphic>
              <a:graphicData uri="http://schemas.openxmlformats.org/drawingml/2006/picture">
                <pic:pic>
                  <pic:nvPicPr>
                    <pic:cNvPr id="0" name="04-kits-add-form.png"/>
                    <pic:cNvPicPr/>
                  </pic:nvPicPr>
                  <pic:blipFill>
                    <a:blip r:embed="rId29"/>
                    <a:stretch>
                      <a:fillRect/>
                    </a:stretch>
                  </pic:blipFill>
                  <pic:spPr>
                    <a:xfrm>
                      <a:off x="0" y="0"/>
                      <a:ext cx="5760720" cy="4808601"/>
                    </a:xfrm>
                    <a:prstGeom prst="rect"/>
                  </pic:spPr>
                </pic:pic>
              </a:graphicData>
            </a:graphic>
          </wp:inline>
        </w:drawing>
      </w:r>
    </w:p>
    <w:p>
      <w:pPr>
        <w:pStyle w:val="PhotoCaption"/>
      </w:pPr>
      <w:r>
        <w:t>Figure 7.3 — Adding a kit: environment, name, location and a contents checklist.</w:t>
      </w:r>
    </w:p>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05-kits-saved-list.png"/>
                    <pic:cNvPicPr/>
                  </pic:nvPicPr>
                  <pic:blipFill>
                    <a:blip r:embed="rId30"/>
                    <a:stretch>
                      <a:fillRect/>
                    </a:stretch>
                  </pic:blipFill>
                  <pic:spPr>
                    <a:xfrm>
                      <a:off x="0" y="0"/>
                      <a:ext cx="5760720" cy="3600450"/>
                    </a:xfrm>
                    <a:prstGeom prst="rect"/>
                  </pic:spPr>
                </pic:pic>
              </a:graphicData>
            </a:graphic>
          </wp:inline>
        </w:drawing>
      </w:r>
    </w:p>
    <w:p>
      <w:pPr>
        <w:pStyle w:val="PhotoCaption"/>
      </w:pPr>
      <w:r>
        <w:t>Figure 7.4 — A saved kit, showing present/missing item counts.</w:t>
      </w:r>
    </w:p>
    <w:p>
      <w:pPr>
        <w:pStyle w:val="ListNumber"/>
      </w:pPr>
      <w:r>
        <w:t>Sign in (Section 5.2) — My Kits is entirely account-backed, because its value is surviving a cleared browser or a new device.</w:t>
      </w:r>
    </w:p>
    <w:p>
      <w:pPr>
        <w:pStyle w:val="ListNumber"/>
      </w:pPr>
      <w:r>
        <w:t>Tap “Add a kit”, choose the environment it belongs to, give it a name and, optionally, where it is kept.</w:t>
      </w:r>
    </w:p>
    <w:p>
      <w:pPr>
        <w:pStyle w:val="ListNumber"/>
      </w:pPr>
      <w:r>
        <w:t>Tick every item that is actually inside the kit right now; anything left unticked is recorded as missing.</w:t>
      </w:r>
    </w:p>
    <w:p>
      <w:pPr>
        <w:pStyle w:val="ListNumber"/>
      </w:pPr>
      <w:r>
        <w:t>Tap “Save kit.” The saved card shows present/missing item counts and, if anything is missing, exactly what to buy or refill.</w:t>
      </w:r>
    </w:p>
    <w:p>
      <w:pPr>
        <w:pStyle w:val="ListNumber"/>
      </w:pPr>
      <w:r>
        <w:t>Edit or delete a kit at any time with the pencil and trash icons on its card.</w:t>
      </w:r>
    </w:p>
    <w:p>
      <w:pPr>
        <w:pStyle w:val="Heading2"/>
      </w:pPr>
      <w:r>
        <w:t>7.3 Risks and Regulations</w:t>
      </w:r>
    </w:p>
    <w:p>
      <w:r>
        <w:rPr>
          <w:b w:val="0"/>
          <w:i w:val="0"/>
        </w:rPr>
        <w:t>A read-only, searchable library of sourced obligations and rights relevant to emergency scenes — answering “what am I required and permitted to do here?” without inventing an answer where no verified source exists.</w:t>
      </w:r>
    </w:p>
    <w:p>
      <w:pPr>
        <w:jc w:val="center"/>
      </w:pPr>
      <w:r>
        <w:drawing>
          <wp:inline xmlns:a="http://schemas.openxmlformats.org/drawingml/2006/main" xmlns:pic="http://schemas.openxmlformats.org/drawingml/2006/picture">
            <wp:extent cx="5760720" cy="8417052"/>
            <wp:docPr id="23" name="Picture 23"/>
            <wp:cNvGraphicFramePr>
              <a:graphicFrameLocks noChangeAspect="1"/>
            </wp:cNvGraphicFramePr>
            <a:graphic>
              <a:graphicData uri="http://schemas.openxmlformats.org/drawingml/2006/picture">
                <pic:pic>
                  <pic:nvPicPr>
                    <pic:cNvPr id="0" name="26-regulations-list.png"/>
                    <pic:cNvPicPr/>
                  </pic:nvPicPr>
                  <pic:blipFill>
                    <a:blip r:embed="rId31"/>
                    <a:stretch>
                      <a:fillRect/>
                    </a:stretch>
                  </pic:blipFill>
                  <pic:spPr>
                    <a:xfrm>
                      <a:off x="0" y="0"/>
                      <a:ext cx="5760720" cy="8417052"/>
                    </a:xfrm>
                    <a:prstGeom prst="rect"/>
                  </pic:spPr>
                </pic:pic>
              </a:graphicData>
            </a:graphic>
          </wp:inline>
        </w:drawing>
      </w:r>
    </w:p>
    <w:p>
      <w:pPr>
        <w:pStyle w:val="PhotoCaption"/>
      </w:pPr>
      <w:r>
        <w:t>Figure 7.5 — Browsing the Risks and regulations library.</w:t>
      </w:r>
    </w:p>
    <w:p>
      <w:pPr>
        <w:jc w:val="center"/>
      </w:pPr>
      <w:r>
        <w:drawing>
          <wp:inline xmlns:a="http://schemas.openxmlformats.org/drawingml/2006/main" xmlns:pic="http://schemas.openxmlformats.org/drawingml/2006/picture">
            <wp:extent cx="5760720" cy="4992624"/>
            <wp:docPr id="24" name="Picture 24"/>
            <wp:cNvGraphicFramePr>
              <a:graphicFrameLocks noChangeAspect="1"/>
            </wp:cNvGraphicFramePr>
            <a:graphic>
              <a:graphicData uri="http://schemas.openxmlformats.org/drawingml/2006/picture">
                <pic:pic>
                  <pic:nvPicPr>
                    <pic:cNvPr id="0" name="27-regulations-expanded-card.png"/>
                    <pic:cNvPicPr/>
                  </pic:nvPicPr>
                  <pic:blipFill>
                    <a:blip r:embed="rId32"/>
                    <a:stretch>
                      <a:fillRect/>
                    </a:stretch>
                  </pic:blipFill>
                  <pic:spPr>
                    <a:xfrm>
                      <a:off x="0" y="0"/>
                      <a:ext cx="5760720" cy="4992624"/>
                    </a:xfrm>
                    <a:prstGeom prst="rect"/>
                  </pic:spPr>
                </pic:pic>
              </a:graphicData>
            </a:graphic>
          </wp:inline>
        </w:drawing>
      </w:r>
    </w:p>
    <w:p>
      <w:pPr>
        <w:pStyle w:val="PhotoCaption"/>
      </w:pPr>
      <w:r>
        <w:t>Figure 7.6 — An expanded entry, with instrument, article reference, jurisdiction and verification date.</w:t>
      </w:r>
    </w:p>
    <w:p>
      <w:pPr>
        <w:pStyle w:val="ListNumber"/>
      </w:pPr>
      <w:r>
        <w:t>Search by instrument, article or topic, or filter by tag: Privacy, 112 &amp; eCall, Road, Health data, Security.</w:t>
      </w:r>
    </w:p>
    <w:p>
      <w:pPr>
        <w:pStyle w:val="ListNumber"/>
      </w:pPr>
      <w:r>
        <w:t>Expand any card to see its full detail paragraph, the exact instrument and article it comes from, which jurisdiction it applies in, and when it was last verified.</w:t>
      </w:r>
    </w:p>
    <w:p>
      <w:pPr>
        <w:pStyle w:val="ListNumber"/>
      </w:pPr>
      <w:r>
        <w:t>If nothing verified matches a search, the app says so plainly rather than generating an answer — the “Known gaps in this content pack” card at the bottom of the page lists topics deliberately left empty (currently: Romanian national implementing rules, mandatory kit contents by country, and duty-to-assist/reporting duties).</w:t>
      </w:r>
    </w:p>
    <w:p>
      <w:pPr>
        <w:pStyle w:val="Callout"/>
        <w:pBdr>
          <w:top w:val="single" w:sz="8" w:space="6" w:color="B83014"/>
          <w:left w:val="single" w:sz="8" w:space="6" w:color="B83014"/>
          <w:bottom w:val="single" w:sz="8" w:space="6" w:color="B83014"/>
          <w:right w:val="single" w:sz="8" w:space="6" w:color="B83014"/>
        </w:pBdr>
        <w:shd w:val="clear" w:color="auto" w:fill="F3D9D2"/>
      </w:pPr>
      <w:r>
        <w:rPr>
          <w:b/>
          <w:color w:val="B83014"/>
        </w:rPr>
        <w:t xml:space="preserve">Not legal advice.  </w:t>
      </w:r>
      <w:r>
        <w:t>This screen, and this manual's Section 2, are reference material with a named source for every claim — not a substitute for qualified legal advice about a specific situation or jurisdiction.</w:t>
      </w:r>
    </w:p>
    <w:p>
      <w:pPr>
        <w:pStyle w:val="Heading2"/>
      </w:pPr>
      <w:r>
        <w:t>7.4 Learn and Practise</w:t>
      </w:r>
    </w:p>
    <w:p>
      <w:r>
        <w:rPr>
          <w:b w:val="0"/>
          <w:i w:val="0"/>
        </w:rPr>
        <w:t>Calm-time reading of the exact same curated procedures and kit-item explanations used inside the emergency flow, without any time pressure, and explicitly labelled as orientation rather than certification.</w:t>
      </w:r>
    </w:p>
    <w:p>
      <w:pPr>
        <w:jc w:val="center"/>
      </w:pPr>
      <w:r>
        <w:drawing>
          <wp:inline xmlns:a="http://schemas.openxmlformats.org/drawingml/2006/main" xmlns:pic="http://schemas.openxmlformats.org/drawingml/2006/picture">
            <wp:extent cx="5760720" cy="3816477"/>
            <wp:docPr id="25" name="Picture 25"/>
            <wp:cNvGraphicFramePr>
              <a:graphicFrameLocks noChangeAspect="1"/>
            </wp:cNvGraphicFramePr>
            <a:graphic>
              <a:graphicData uri="http://schemas.openxmlformats.org/drawingml/2006/picture">
                <pic:pic>
                  <pic:nvPicPr>
                    <pic:cNvPr id="0" name="28-learn-procedures-tab.png"/>
                    <pic:cNvPicPr/>
                  </pic:nvPicPr>
                  <pic:blipFill>
                    <a:blip r:embed="rId33"/>
                    <a:stretch>
                      <a:fillRect/>
                    </a:stretch>
                  </pic:blipFill>
                  <pic:spPr>
                    <a:xfrm>
                      <a:off x="0" y="0"/>
                      <a:ext cx="5760720" cy="3816477"/>
                    </a:xfrm>
                    <a:prstGeom prst="rect"/>
                  </pic:spPr>
                </pic:pic>
              </a:graphicData>
            </a:graphic>
          </wp:inline>
        </w:drawing>
      </w:r>
    </w:p>
    <w:p>
      <w:pPr>
        <w:pStyle w:val="PhotoCaption"/>
      </w:pPr>
      <w:r>
        <w:t>Figure 7.7 — The Procedures tab, listing every content-pack procedure.</w:t>
      </w:r>
    </w:p>
    <w:p>
      <w:pPr>
        <w:pStyle w:val="ListNumber"/>
      </w:pPr>
      <w:r>
        <w:t>Switch between the Procedures tab (all six procedures, each expandable into its full numbered steps, critical-step flags, and clinical-review status) and the Kit items tab (filtered by environment, showing what each item is for and how to use it).</w:t>
      </w:r>
    </w:p>
    <w:p>
      <w:pPr>
        <w:pStyle w:val="ListNumber"/>
      </w:pPr>
      <w:r>
        <w:t>Use this to become familiar with the content before an incident — reading here does not count as training or certification; the footer explicitly recommends booking a certified first-aid course.</w:t>
      </w:r>
    </w:p>
    <w:p>
      <w:r>
        <w:br w:type="page"/>
      </w:r>
    </w:p>
    <w:p>
      <w:pPr>
        <w:pStyle w:val="Heading1"/>
      </w:pPr>
      <w:r>
        <w:t>8. Data Protection, Retention and Your Rights</w:t>
      </w:r>
    </w:p>
    <w:p>
      <w:r>
        <w:rPr>
          <w:b w:val="0"/>
          <w:i w:val="0"/>
        </w:rPr>
        <w:t>This section expands on the Review screen introduced in Section 6.10: how retention works, what archiving to an account really means, and how each GDPR data-subject right is exercised — in every case, from inside the app, without a request form or a wait.</w:t>
      </w:r>
    </w:p>
    <w:p>
      <w:pPr>
        <w:pStyle w:val="Heading2"/>
      </w:pPr>
      <w:r>
        <w:t>8.1 What Review shows</w:t>
      </w:r>
    </w:p>
    <w:p>
      <w:pPr>
        <w:jc w:val="center"/>
      </w:pPr>
      <w:r>
        <w:drawing>
          <wp:inline xmlns:a="http://schemas.openxmlformats.org/drawingml/2006/main" xmlns:pic="http://schemas.openxmlformats.org/drawingml/2006/picture">
            <wp:extent cx="5760720" cy="5152644"/>
            <wp:docPr id="26" name="Picture 26"/>
            <wp:cNvGraphicFramePr>
              <a:graphicFrameLocks noChangeAspect="1"/>
            </wp:cNvGraphicFramePr>
            <a:graphic>
              <a:graphicData uri="http://schemas.openxmlformats.org/drawingml/2006/picture">
                <pic:pic>
                  <pic:nvPicPr>
                    <pic:cNvPr id="0" name="25-review-data-rights.png"/>
                    <pic:cNvPicPr/>
                  </pic:nvPicPr>
                  <pic:blipFill>
                    <a:blip r:embed="rId26"/>
                    <a:stretch>
                      <a:fillRect/>
                    </a:stretch>
                  </pic:blipFill>
                  <pic:spPr>
                    <a:xfrm>
                      <a:off x="0" y="0"/>
                      <a:ext cx="5760720" cy="5152644"/>
                    </a:xfrm>
                    <a:prstGeom prst="rect"/>
                  </pic:spPr>
                </pic:pic>
              </a:graphicData>
            </a:graphic>
          </wp:inline>
        </w:drawing>
      </w:r>
    </w:p>
    <w:p>
      <w:pPr>
        <w:pStyle w:val="PhotoCaption"/>
      </w:pPr>
      <w:r>
        <w:t>Figure 8.1 — The Review screen: what was recorded, retention, archiving, and erasure.</w:t>
      </w:r>
    </w:p>
    <w:p>
      <w:r>
        <w:rPr>
          <w:b w:val="0"/>
          <w:i w:val="0"/>
        </w:rPr>
        <w:t>The “What was recorded” card summarises the just-finished incident — victim count, hazard count, kit items used, the procedure followed, and whether health data was included in the shared brief — and states plainly that no camera image was kept, consistent with Section 6.7.</w:t>
      </w:r>
    </w:p>
    <w:p>
      <w:pPr>
        <w:pStyle w:val="Heading2"/>
      </w:pPr>
      <w:r>
        <w:t>8.2 Storage limitation: choosing how long to keep local data</w:t>
      </w:r>
    </w:p>
    <w:p>
      <w:r>
        <w:rPr>
          <w:b w:val="0"/>
          <w:i w:val="0"/>
        </w:rPr>
        <w:t>GDPR Art. 5(1)(e) requires personal data to be kept no longer than necessary for its purpose. ResQKit's default is the strictest reading of that rule available to a locally stored incident:</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912"/>
            <w:shd w:val="clear" w:color="auto" w:fill="B8572E"/>
          </w:tcPr>
          <w:p>
            <w:r/>
            <w:r>
              <w:rPr>
                <w:b/>
                <w:color w:val="FFFFFF"/>
                <w:sz w:val="18"/>
              </w:rPr>
              <w:t>Retention option</w:t>
            </w:r>
          </w:p>
        </w:tc>
        <w:tc>
          <w:tcPr>
            <w:tcW w:type="dxa" w:w="4256"/>
            <w:shd w:val="clear" w:color="auto" w:fill="B8572E"/>
          </w:tcPr>
          <w:p>
            <w:r/>
            <w:r>
              <w:rPr>
                <w:b/>
                <w:color w:val="FFFFFF"/>
                <w:sz w:val="18"/>
              </w:rPr>
              <w:t>Behaviour</w:t>
            </w:r>
          </w:p>
        </w:tc>
        <w:tc>
          <w:tcPr>
            <w:tcW w:type="dxa" w:w="1904"/>
            <w:shd w:val="clear" w:color="auto" w:fill="B8572E"/>
          </w:tcPr>
          <w:p>
            <w:r/>
            <w:r>
              <w:rPr>
                <w:b/>
                <w:color w:val="FFFFFF"/>
                <w:sz w:val="18"/>
              </w:rPr>
              <w:t>Default?</w:t>
            </w:r>
          </w:p>
        </w:tc>
      </w:tr>
      <w:tr>
        <w:tc>
          <w:tcPr>
            <w:tcW w:type="dxa" w:w="2912"/>
          </w:tcPr>
          <w:p>
            <w:r/>
            <w:r>
              <w:rPr>
                <w:sz w:val="18"/>
              </w:rPr>
              <w:t>Delete as soon as I close the incident</w:t>
            </w:r>
          </w:p>
        </w:tc>
        <w:tc>
          <w:tcPr>
            <w:tcW w:type="dxa" w:w="4256"/>
          </w:tcPr>
          <w:p>
            <w:r/>
            <w:r>
              <w:rPr>
                <w:sz w:val="18"/>
              </w:rPr>
              <w:t>The incident record is wiped from local storage the moment the user closes it on this screen.</w:t>
            </w:r>
          </w:p>
        </w:tc>
        <w:tc>
          <w:tcPr>
            <w:tcW w:type="dxa" w:w="1904"/>
          </w:tcPr>
          <w:p>
            <w:r/>
            <w:r>
              <w:rPr>
                <w:sz w:val="18"/>
              </w:rPr>
              <w:t>Yes — this is the pre-selected option</w:t>
            </w:r>
          </w:p>
        </w:tc>
      </w:tr>
      <w:tr>
        <w:tc>
          <w:tcPr>
            <w:tcW w:type="dxa" w:w="2912"/>
            <w:shd w:val="clear" w:color="auto" w:fill="F7F3EE"/>
          </w:tcPr>
          <w:p>
            <w:r/>
            <w:r>
              <w:rPr>
                <w:sz w:val="18"/>
              </w:rPr>
              <w:t>Keep on this device for 24 hours</w:t>
            </w:r>
          </w:p>
        </w:tc>
        <w:tc>
          <w:tcPr>
            <w:tcW w:type="dxa" w:w="4256"/>
            <w:shd w:val="clear" w:color="auto" w:fill="F7F3EE"/>
          </w:tcPr>
          <w:p>
            <w:r/>
            <w:r>
              <w:rPr>
                <w:sz w:val="18"/>
              </w:rPr>
              <w:t>The record persists locally for 24 hours, in case it is needed again shortly (e.g. a follow-up call, an insurance question).</w:t>
            </w:r>
          </w:p>
        </w:tc>
        <w:tc>
          <w:tcPr>
            <w:tcW w:type="dxa" w:w="1904"/>
            <w:shd w:val="clear" w:color="auto" w:fill="F7F3EE"/>
          </w:tcPr>
          <w:p>
            <w:r/>
            <w:r>
              <w:rPr>
                <w:sz w:val="18"/>
              </w:rPr>
              <w:t>No, opt-in</w:t>
            </w:r>
          </w:p>
        </w:tc>
      </w:tr>
      <w:tr>
        <w:tc>
          <w:tcPr>
            <w:tcW w:type="dxa" w:w="2912"/>
          </w:tcPr>
          <w:p>
            <w:r/>
            <w:r>
              <w:rPr>
                <w:sz w:val="18"/>
              </w:rPr>
              <w:t>Keep on this device for 7 days</w:t>
            </w:r>
          </w:p>
        </w:tc>
        <w:tc>
          <w:tcPr>
            <w:tcW w:type="dxa" w:w="4256"/>
          </w:tcPr>
          <w:p>
            <w:r/>
            <w:r>
              <w:rPr>
                <w:sz w:val="18"/>
              </w:rPr>
              <w:t>Longest local retention offered.</w:t>
            </w:r>
          </w:p>
        </w:tc>
        <w:tc>
          <w:tcPr>
            <w:tcW w:type="dxa" w:w="1904"/>
          </w:tcPr>
          <w:p>
            <w:r/>
            <w:r>
              <w:rPr>
                <w:sz w:val="18"/>
              </w:rPr>
              <w:t>No, opt-in</w:t>
            </w:r>
          </w:p>
        </w:tc>
      </w:tr>
    </w:tbl>
    <w:p>
      <w:pPr>
        <w:spacing w:after="80"/>
      </w:pPr>
    </w:p>
    <w:p>
      <w:pPr>
        <w:pStyle w:val="Heading2"/>
      </w:pPr>
      <w:r>
        <w:t>8.3 Keeping a copy: download and account archiving</w:t>
      </w:r>
    </w:p>
    <w:p>
      <w:pPr>
        <w:pStyle w:val="ListNumber"/>
      </w:pPr>
      <w:r>
        <w:t>“Download as a text file” always works, with no account: it generates the same Scene Brief text shown on Handoff as a local file download — nothing is sent anywhere.</w:t>
      </w:r>
    </w:p>
    <w:p>
      <w:pPr>
        <w:pStyle w:val="ListNumber"/>
      </w:pPr>
      <w:r>
        <w:t>“Archive to my account” requires signing in (Section 5.2). Once signed in, this button sends the complete incident record — context, location, victim and triage data, hazards, kit items used, the procedure followed, completed-step log, the health-data-included flag, the 112-call status, the full brief text, and the retention choice — to the user's own row in the backend's incident_records table (Section 3.2). It is a single, explicit, one-way action per incident; nothing is archived automatically.</w:t>
      </w:r>
    </w:p>
    <w:p>
      <w:pPr>
        <w:pStyle w:val="Callout"/>
        <w:pBdr>
          <w:top w:val="single" w:sz="8" w:space="6" w:color="B8572E"/>
          <w:left w:val="single" w:sz="8" w:space="6" w:color="B8572E"/>
          <w:bottom w:val="single" w:sz="8" w:space="6" w:color="B8572E"/>
          <w:right w:val="single" w:sz="8" w:space="6" w:color="B8572E"/>
        </w:pBdr>
        <w:shd w:val="clear" w:color="auto" w:fill="F0E4D8"/>
      </w:pPr>
      <w:r>
        <w:rPr>
          <w:b/>
          <w:color w:val="B8572E"/>
        </w:rPr>
        <w:t xml:space="preserve">Archived data is not deleted by the local retention setting.  </w:t>
      </w:r>
      <w:r>
        <w:t>The retention choice in Section 8.2 governs only the copy on this device. Anything explicitly archived to an account stays there — under the user's control, deletable at any time through the same account — independently of what happens to the on-device copy.</w:t>
      </w:r>
    </w:p>
    <w:p>
      <w:pPr>
        <w:pStyle w:val="Heading2"/>
      </w:pPr>
      <w:r>
        <w:t>8.4 Deletion and erasure (GDPR Art. 17)</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024"/>
            <w:shd w:val="clear" w:color="auto" w:fill="B8572E"/>
          </w:tcPr>
          <w:p>
            <w:r/>
            <w:r>
              <w:rPr>
                <w:b/>
                <w:color w:val="FFFFFF"/>
                <w:sz w:val="18"/>
              </w:rPr>
              <w:t>Action</w:t>
            </w:r>
          </w:p>
        </w:tc>
        <w:tc>
          <w:tcPr>
            <w:tcW w:type="dxa" w:w="3584"/>
            <w:shd w:val="clear" w:color="auto" w:fill="B8572E"/>
          </w:tcPr>
          <w:p>
            <w:r/>
            <w:r>
              <w:rPr>
                <w:b/>
                <w:color w:val="FFFFFF"/>
                <w:sz w:val="18"/>
              </w:rPr>
              <w:t>What it deletes</w:t>
            </w:r>
          </w:p>
        </w:tc>
        <w:tc>
          <w:tcPr>
            <w:tcW w:type="dxa" w:w="2464"/>
            <w:shd w:val="clear" w:color="auto" w:fill="B8572E"/>
          </w:tcPr>
          <w:p>
            <w:r/>
            <w:r>
              <w:rPr>
                <w:b/>
                <w:color w:val="FFFFFF"/>
                <w:sz w:val="18"/>
              </w:rPr>
              <w:t>Reversible?</w:t>
            </w:r>
          </w:p>
        </w:tc>
      </w:tr>
      <w:tr>
        <w:tc>
          <w:tcPr>
            <w:tcW w:type="dxa" w:w="3024"/>
          </w:tcPr>
          <w:p>
            <w:r/>
            <w:r>
              <w:rPr>
                <w:sz w:val="18"/>
              </w:rPr>
              <w:t>“Close incident and delete it from this device”</w:t>
            </w:r>
          </w:p>
        </w:tc>
        <w:tc>
          <w:tcPr>
            <w:tcW w:type="dxa" w:w="3584"/>
          </w:tcPr>
          <w:p>
            <w:r/>
            <w:r>
              <w:rPr>
                <w:sz w:val="18"/>
              </w:rPr>
              <w:t>The active incident record only.</w:t>
            </w:r>
          </w:p>
        </w:tc>
        <w:tc>
          <w:tcPr>
            <w:tcW w:type="dxa" w:w="2464"/>
          </w:tcPr>
          <w:p>
            <w:r/>
            <w:r>
              <w:rPr>
                <w:sz w:val="18"/>
              </w:rPr>
              <w:t>No — immediate, local, permanent</w:t>
            </w:r>
          </w:p>
        </w:tc>
      </w:tr>
      <w:tr>
        <w:tc>
          <w:tcPr>
            <w:tcW w:type="dxa" w:w="3024"/>
            <w:shd w:val="clear" w:color="auto" w:fill="F7F3EE"/>
          </w:tcPr>
          <w:p>
            <w:r/>
            <w:r>
              <w:rPr>
                <w:sz w:val="18"/>
              </w:rPr>
              <w:t>“Delete everything on this device”</w:t>
            </w:r>
          </w:p>
        </w:tc>
        <w:tc>
          <w:tcPr>
            <w:tcW w:type="dxa" w:w="3584"/>
            <w:shd w:val="clear" w:color="auto" w:fill="F7F3EE"/>
          </w:tcPr>
          <w:p>
            <w:r/>
            <w:r>
              <w:rPr>
                <w:sz w:val="18"/>
              </w:rPr>
              <w:t>Safety Profile, consent record, settings, and any stored incident — the complete local footprint of the app.</w:t>
            </w:r>
          </w:p>
        </w:tc>
        <w:tc>
          <w:tcPr>
            <w:tcW w:type="dxa" w:w="2464"/>
            <w:shd w:val="clear" w:color="auto" w:fill="F7F3EE"/>
          </w:tcPr>
          <w:p>
            <w:r/>
            <w:r>
              <w:rPr>
                <w:sz w:val="18"/>
              </w:rPr>
              <w:t>No — immediate, local, permanent</w:t>
            </w:r>
          </w:p>
        </w:tc>
      </w:tr>
      <w:tr>
        <w:tc>
          <w:tcPr>
            <w:tcW w:type="dxa" w:w="3024"/>
          </w:tcPr>
          <w:p>
            <w:r/>
            <w:r>
              <w:rPr>
                <w:sz w:val="18"/>
              </w:rPr>
              <w:t>Deleting an archived incident or kit from the account</w:t>
            </w:r>
          </w:p>
        </w:tc>
        <w:tc>
          <w:tcPr>
            <w:tcW w:type="dxa" w:w="3584"/>
          </w:tcPr>
          <w:p>
            <w:r/>
            <w:r>
              <w:rPr>
                <w:sz w:val="18"/>
              </w:rPr>
              <w:t>The corresponding row in the backend's incident_records or registered_kits table for that user.</w:t>
            </w:r>
          </w:p>
        </w:tc>
        <w:tc>
          <w:tcPr>
            <w:tcW w:type="dxa" w:w="2464"/>
          </w:tcPr>
          <w:p>
            <w:r/>
            <w:r>
              <w:rPr>
                <w:sz w:val="18"/>
              </w:rPr>
              <w:t>No — immediate, permanent</w:t>
            </w:r>
          </w:p>
        </w:tc>
      </w:tr>
    </w:tbl>
    <w:p>
      <w:pPr>
        <w:spacing w:after="80"/>
      </w:pPr>
    </w:p>
    <w:p>
      <w:pPr>
        <w:pStyle w:val="Heading2"/>
      </w:pPr>
      <w:r>
        <w:t>8.5 Access, rectification and restriction (GDPR Art. 15, 16, 18)</w:t>
      </w:r>
    </w:p>
    <w:p>
      <w:pPr>
        <w:pStyle w:val="ListBullet"/>
      </w:pPr>
      <w:r>
        <w:rPr>
          <w:b/>
        </w:rPr>
        <w:t xml:space="preserve">Access (Art. 15). </w:t>
      </w:r>
      <w:r>
        <w:t>Every field the app holds about a user is visible in the same screen that collected it — the Safety Profile, the active incident, and the Review summary — there is no hidden processing to request access to.</w:t>
      </w:r>
    </w:p>
    <w:p>
      <w:pPr>
        <w:pStyle w:val="ListBullet"/>
      </w:pPr>
      <w:r>
        <w:rPr>
          <w:b/>
        </w:rPr>
        <w:t xml:space="preserve">Rectification (Art. 16). </w:t>
      </w:r>
      <w:r>
        <w:t>Every field is directly editable in place (Safety Profile fields auto-save on change; kit entries have an edit action) — correcting a mistake does not require a separate request.</w:t>
      </w:r>
    </w:p>
    <w:p>
      <w:pPr>
        <w:pStyle w:val="ListBullet"/>
      </w:pPr>
      <w:r>
        <w:rPr>
          <w:b/>
        </w:rPr>
        <w:t xml:space="preserve">Restriction (Art. 18). </w:t>
      </w:r>
      <w:r>
        <w:t>Declining or withdrawing the health-data consent immediately restricts processing of medical fields to nothing — they simply stop being collected, displayed in the brief, or editable, without deleting an existing Safety Profile that consent might later be restored for.</w:t>
      </w:r>
    </w:p>
    <w:p>
      <w:pPr>
        <w:pStyle w:val="ListBullet"/>
      </w:pPr>
      <w:r>
        <w:rPr>
          <w:b/>
        </w:rPr>
        <w:t xml:space="preserve">Withdrawal of consent (Art. 7(3)). </w:t>
      </w:r>
      <w:r>
        <w:t>The health-data toggle can be turned off at any time from Consent, reachable from the Review screen's footer link — withdrawal is exactly as easy as giving consent was, per Art. 7(3)'s explicit requirement.</w:t>
      </w:r>
    </w:p>
    <w:p>
      <w:pPr>
        <w:pStyle w:val="Heading2"/>
      </w:pPr>
      <w:r>
        <w:t>8.6 What a Data Protection Impact Assessment would still need to cover</w:t>
      </w:r>
    </w:p>
    <w:p>
      <w:r>
        <w:rPr>
          <w:b w:val="0"/>
          <w:i w:val="0"/>
        </w:rPr>
        <w:t>The application's own compliance research (Section 2) flags that a full DPIA (GDPR Art. 35) is expected before any public release that processes special-category data in a high-risk emergency context — this is a release gate an operating organisation should complete for their own deployment and user base, not something this manual can complete on their behalf. Sections 9 and 10 of this manual identify the specific configuration choices (AI endpoint location, database hosting, admin access) a DPIA for a given deployment would need to examine.</w:t>
      </w:r>
    </w:p>
    <w:p>
      <w:r>
        <w:br w:type="page"/>
      </w:r>
    </w:p>
    <w:p>
      <w:pPr>
        <w:pStyle w:val="Heading1"/>
      </w:pPr>
      <w:r>
        <w:t>9. AI-Assisted Features and Their Boundaries</w:t>
      </w:r>
    </w:p>
    <w:p>
      <w:r>
        <w:rPr>
          <w:b w:val="0"/>
          <w:i w:val="0"/>
        </w:rPr>
        <w:t>ResQKit uses an AI model in exactly two places, both optional, both clearly labelled in the interface, and both constrained so they can never introduce medical or legal content that is not already in the curated content pack (Section 2.6). Every other screen in the application — every first-aid step, every hazard, every regulation card — comes from that content pack directly with no AI involvement at all.</w:t>
      </w:r>
    </w:p>
    <w:p>
      <w:pPr>
        <w:pStyle w:val="Heading2"/>
      </w:pPr>
      <w:r>
        <w:t>9.1 Kit-photo recognition</w:t>
      </w:r>
    </w:p>
    <w:p>
      <w:r>
        <w:rPr>
          <w:b w:val="0"/>
          <w:i w:val="0"/>
        </w:rPr>
        <w:t>Used inside Kit Recognition (Section 6.7). The camera frame and a prompt listing only the kit-item codes valid for the chosen environment are sent once to the configured AI endpoint. The model may only return items from that fixed whitelist — anything else in its response is discarded before the user ever sees it — and it is explicitly instructed never to describe injuries, count people, or give medical advice; it identifies objects only.</w:t>
      </w:r>
    </w:p>
    <w:p>
      <w:pPr>
        <w:pStyle w:val="Heading2"/>
      </w:pPr>
      <w:r>
        <w:t>9.2 Spoken handover rewriting</w:t>
      </w:r>
    </w:p>
    <w:p>
      <w:r>
        <w:rPr>
          <w:b w:val="0"/>
          <w:i w:val="0"/>
        </w:rPr>
        <w:t>Used on the Handoff screen (Section 6.9). The already-composed, deterministic Scene Brief text is sent to the AI model with an instruction to rewrite it as a short paragraph suitable for reading aloud, using only facts already present in that text — the model is explicitly forbidden from adding, inferring, or estimating anything, including injuries, causes, vital signs or treatment advice. If generation fails for any reason, the deterministic written brief remains fully usable on its own; the spoken version is always a best-effort enhancement, never a dependency.</w:t>
      </w:r>
    </w:p>
    <w:p>
      <w:pPr>
        <w:pStyle w:val="Heading2"/>
      </w:pPr>
      <w:r>
        <w:t>9.3 What is and is not sent</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935"/>
            <w:shd w:val="clear" w:color="auto" w:fill="B8572E"/>
          </w:tcPr>
          <w:p>
            <w:r/>
            <w:r>
              <w:rPr>
                <w:b/>
                <w:color w:val="FFFFFF"/>
                <w:sz w:val="18"/>
              </w:rPr>
              <w:t>Feature</w:t>
            </w:r>
          </w:p>
        </w:tc>
        <w:tc>
          <w:tcPr>
            <w:tcW w:type="dxa" w:w="3629"/>
            <w:shd w:val="clear" w:color="auto" w:fill="B8572E"/>
          </w:tcPr>
          <w:p>
            <w:r/>
            <w:r>
              <w:rPr>
                <w:b/>
                <w:color w:val="FFFFFF"/>
                <w:sz w:val="18"/>
              </w:rPr>
              <w:t>Sent to the AI endpoint</w:t>
            </w:r>
          </w:p>
        </w:tc>
        <w:tc>
          <w:tcPr>
            <w:tcW w:type="dxa" w:w="3508"/>
            <w:shd w:val="clear" w:color="auto" w:fill="B8572E"/>
          </w:tcPr>
          <w:p>
            <w:r/>
            <w:r>
              <w:rPr>
                <w:b/>
                <w:color w:val="FFFFFF"/>
                <w:sz w:val="18"/>
              </w:rPr>
              <w:t>Never sent</w:t>
            </w:r>
          </w:p>
        </w:tc>
      </w:tr>
      <w:tr>
        <w:tc>
          <w:tcPr>
            <w:tcW w:type="dxa" w:w="1935"/>
          </w:tcPr>
          <w:p>
            <w:r/>
            <w:r>
              <w:rPr>
                <w:sz w:val="18"/>
              </w:rPr>
              <w:t>Kit recognition</w:t>
            </w:r>
          </w:p>
        </w:tc>
        <w:tc>
          <w:tcPr>
            <w:tcW w:type="dxa" w:w="3629"/>
          </w:tcPr>
          <w:p>
            <w:r/>
            <w:r>
              <w:rPr>
                <w:sz w:val="18"/>
              </w:rPr>
              <w:t>One downscaled camera frame; the declared environment; the whitelist of valid item codes for that environment.</w:t>
            </w:r>
          </w:p>
        </w:tc>
        <w:tc>
          <w:tcPr>
            <w:tcW w:type="dxa" w:w="3508"/>
          </w:tcPr>
          <w:p>
            <w:r/>
            <w:r>
              <w:rPr>
                <w:sz w:val="18"/>
              </w:rPr>
              <w:t>The Safety Profile; any triage or victim data; location; the user's identity.</w:t>
            </w:r>
          </w:p>
        </w:tc>
      </w:tr>
      <w:tr>
        <w:tc>
          <w:tcPr>
            <w:tcW w:type="dxa" w:w="1935"/>
            <w:shd w:val="clear" w:color="auto" w:fill="F7F3EE"/>
          </w:tcPr>
          <w:p>
            <w:r/>
            <w:r>
              <w:rPr>
                <w:sz w:val="18"/>
              </w:rPr>
              <w:t>Spoken handover</w:t>
            </w:r>
          </w:p>
        </w:tc>
        <w:tc>
          <w:tcPr>
            <w:tcW w:type="dxa" w:w="3629"/>
            <w:shd w:val="clear" w:color="auto" w:fill="F7F3EE"/>
          </w:tcPr>
          <w:p>
            <w:r/>
            <w:r>
              <w:rPr>
                <w:sz w:val="18"/>
              </w:rPr>
              <w:t>The finished, deterministic Scene Brief text (which may include health data only if the user opted to include it on Handoff).</w:t>
            </w:r>
          </w:p>
        </w:tc>
        <w:tc>
          <w:tcPr>
            <w:tcW w:type="dxa" w:w="3508"/>
            <w:shd w:val="clear" w:color="auto" w:fill="F7F3EE"/>
          </w:tcPr>
          <w:p>
            <w:r/>
            <w:r>
              <w:rPr>
                <w:sz w:val="18"/>
              </w:rPr>
              <w:t>The camera frame; anything not already in the written brief the user is about to share.</w:t>
            </w:r>
          </w:p>
        </w:tc>
      </w:tr>
    </w:tbl>
    <w:p>
      <w:pPr>
        <w:spacing w:after="80"/>
      </w:pPr>
    </w:p>
    <w:p>
      <w:pPr>
        <w:pStyle w:val="Heading2"/>
      </w:pPr>
      <w:r>
        <w:t>9.4 Self-hosted by default</w:t>
      </w:r>
    </w:p>
    <w:p>
      <w:pPr>
        <w:pStyle w:val="LegalBasis"/>
        <w:pBdr>
          <w:top w:val="single" w:sz="8" w:space="6" w:color="4B5A2E"/>
          <w:left w:val="single" w:sz="8" w:space="6" w:color="4B5A2E"/>
          <w:bottom w:val="single" w:sz="8" w:space="6" w:color="4B5A2E"/>
          <w:right w:val="single" w:sz="8" w:space="6" w:color="4B5A2E"/>
        </w:pBdr>
        <w:shd w:val="clear" w:color="auto" w:fill="EAEFE0"/>
      </w:pPr>
      <w:r>
        <w:rPr>
          <w:b/>
          <w:color w:val="4B5A2E"/>
        </w:rPr>
        <w:t xml:space="preserve">Default configuration.  </w:t>
      </w:r>
      <w:r>
        <w:t>In a default deployment, APP_AI_BASE_URL points at a self-hosted, open-source model running on the operator's own server — the “Open-source AI” badge shown on Kit Recognition, Handoff and Review (Figures 6.10, 6.13, 8.1) describes exactly this: nothing about either feature reaches a third-party company. Both features simply degrade gracefully — manual kit selection, or the written brief alone — if the AI endpoint is unset or unreachable.</w:t>
      </w:r>
    </w:p>
    <w:p>
      <w:r>
        <w:rPr>
          <w:b w:val="0"/>
          <w:i w:val="0"/>
        </w:rPr>
        <w:t>An operator may choose to repoint these settings at an external, third-party AI provider instead. That is a deliberate configuration change, not something the application does on its own — and it is a change that should be reflected in the operator's own privacy notice and DPIA (Section 8.6), because it introduces exactly the kind of processor relationship, and potentially the cross-border transfer question from Section 2.5, that a self-hosted local model avoids.</w:t>
      </w:r>
    </w:p>
    <w:p>
      <w:r>
        <w:br w:type="page"/>
      </w:r>
    </w:p>
    <w:p>
      <w:pPr>
        <w:pStyle w:val="Heading1"/>
      </w:pPr>
      <w:r>
        <w:t>10. Administrator Guide</w:t>
      </w:r>
    </w:p>
    <w:p>
      <w:pPr>
        <w:pStyle w:val="Heading2"/>
      </w:pPr>
      <w:r>
        <w:t>10.1 Provisioning the admin account</w:t>
      </w:r>
    </w:p>
    <w:p>
      <w:r>
        <w:rPr>
          <w:b w:val="0"/>
          <w:i w:val="0"/>
        </w:rPr>
        <w:t>Set the ADMIN_EMAIL and ADMIN_PASSWORD environment variables before starting the backend. On every startup, the application looks for an account with that email: if none exists, it creates one with the admin role and the given password (hashed with bcrypt, exactly like any other account); if the account already exists as an ordinary user, it is promoted to admin. There is no separate admin-registration screen — this is intentionally an infrastructure-level decision, not an in-app one, so that no user can grant themselves elevated access through the interface.</w:t>
      </w:r>
    </w:p>
    <w:p>
      <w:pPr>
        <w:pStyle w:val="Heading2"/>
      </w:pPr>
      <w:r>
        <w:t>10.2 The environment configuration panel</w:t>
      </w:r>
    </w:p>
    <w:p>
      <w:r>
        <w:rPr>
          <w:b w:val="0"/>
          <w:i w:val="0"/>
        </w:rPr>
        <w:t>Admin accounts can reach a settings panel that reads and writes the backend's own .env file directly — database URL, JWT signing secret, AI endpoint and key, and other deployment settings. Changes here require a backend restart to take effect and are not hot-reloaded, by design, so a misconfiguration cannot silently take effect mid-session.</w:t>
      </w:r>
    </w:p>
    <w:p>
      <w:pPr>
        <w:pStyle w:val="Callout"/>
        <w:pBdr>
          <w:top w:val="single" w:sz="8" w:space="6" w:color="B83014"/>
          <w:left w:val="single" w:sz="8" w:space="6" w:color="B83014"/>
          <w:bottom w:val="single" w:sz="8" w:space="6" w:color="B83014"/>
          <w:right w:val="single" w:sz="8" w:space="6" w:color="B83014"/>
        </w:pBdr>
        <w:shd w:val="clear" w:color="auto" w:fill="F3D9D2"/>
      </w:pPr>
      <w:r>
        <w:rPr>
          <w:b/>
          <w:color w:val="B83014"/>
        </w:rPr>
        <w:t xml:space="preserve">Treat this panel as equivalent to server access.  </w:t>
      </w:r>
      <w:r>
        <w:t>Anyone with admin credentials who can reach this panel can read the JWT signing secret and database connection string in plain text. Restrict the admin role accordingly (Section 5.3), and treat admin credentials with the same care as direct database or server access — because functionally, that is what they grant.</w:t>
      </w:r>
    </w:p>
    <w:p>
      <w:pPr>
        <w:pStyle w:val="Heading2"/>
      </w:pPr>
      <w:r>
        <w:t>10.3 Cross-account oversight</w:t>
      </w:r>
    </w:p>
    <w:p>
      <w:r>
        <w:rPr>
          <w:b w:val="0"/>
          <w:i w:val="0"/>
        </w:rPr>
        <w:t>Two endpoints — one for incident_records, one for registered_kits — return every user's records without the per-user filtering applied to the ordinary endpoints, and are restricted to the admin role. These exist for legitimate operational purposes (support, data-subject-access-request fulfilment on a user's behalf, incident audit) and should be used under the same access-logging and least-privilege discipline as any other administrative override of per-user data isolation.</w:t>
      </w:r>
    </w:p>
    <w:p>
      <w:pPr>
        <w:pStyle w:val="Heading2"/>
      </w:pPr>
      <w:r>
        <w:t>10.4 Security posture summary</w:t>
      </w:r>
    </w:p>
    <w:tbl>
      <w:tblPr>
        <w:tblStyle w:val="TableGrid"/>
        <w:tblW w:type="auto" w:w="0"/>
        <w:jc w:val="center"/>
        <w:tblLayout w:type="fixed"/>
        <w:tblLook w:firstColumn="1" w:firstRow="1" w:lastColumn="0" w:lastRow="0" w:noHBand="0" w:noVBand="1" w:val="04A0"/>
      </w:tblPr>
      <w:tblGrid>
        <w:gridCol w:w="4320"/>
        <w:gridCol w:w="4320"/>
      </w:tblGrid>
      <w:tr>
        <w:tc>
          <w:tcPr>
            <w:tcW w:type="dxa" w:w="2652"/>
            <w:shd w:val="clear" w:color="auto" w:fill="B8572E"/>
          </w:tcPr>
          <w:p>
            <w:r/>
            <w:r>
              <w:rPr>
                <w:b/>
                <w:color w:val="FFFFFF"/>
                <w:sz w:val="18"/>
              </w:rPr>
              <w:t>Control</w:t>
            </w:r>
          </w:p>
        </w:tc>
        <w:tc>
          <w:tcPr>
            <w:tcW w:type="dxa" w:w="6420"/>
            <w:shd w:val="clear" w:color="auto" w:fill="B8572E"/>
          </w:tcPr>
          <w:p>
            <w:r/>
            <w:r>
              <w:rPr>
                <w:b/>
                <w:color w:val="FFFFFF"/>
                <w:sz w:val="18"/>
              </w:rPr>
              <w:t>Implementation</w:t>
            </w:r>
          </w:p>
        </w:tc>
      </w:tr>
      <w:tr>
        <w:tc>
          <w:tcPr>
            <w:tcW w:type="dxa" w:w="2652"/>
          </w:tcPr>
          <w:p>
            <w:r/>
            <w:r>
              <w:rPr>
                <w:sz w:val="18"/>
              </w:rPr>
              <w:t>Password storage</w:t>
            </w:r>
          </w:p>
        </w:tc>
        <w:tc>
          <w:tcPr>
            <w:tcW w:type="dxa" w:w="6420"/>
          </w:tcPr>
          <w:p>
            <w:r/>
            <w:r>
              <w:rPr>
                <w:sz w:val="18"/>
              </w:rPr>
              <w:t>bcrypt hash, unique salt per password; plain text is never persisted or logged.</w:t>
            </w:r>
          </w:p>
        </w:tc>
      </w:tr>
      <w:tr>
        <w:tc>
          <w:tcPr>
            <w:tcW w:type="dxa" w:w="2652"/>
            <w:shd w:val="clear" w:color="auto" w:fill="F7F3EE"/>
          </w:tcPr>
          <w:p>
            <w:r/>
            <w:r>
              <w:rPr>
                <w:sz w:val="18"/>
              </w:rPr>
              <w:t>Session tokens</w:t>
            </w:r>
          </w:p>
        </w:tc>
        <w:tc>
          <w:tcPr>
            <w:tcW w:type="dxa" w:w="6420"/>
            <w:shd w:val="clear" w:color="auto" w:fill="F7F3EE"/>
          </w:tcPr>
          <w:p>
            <w:r/>
            <w:r>
              <w:rPr>
                <w:sz w:val="18"/>
              </w:rPr>
              <w:t>Signed JSON Web Tokens (JWT), expiry configurable via JWT_EXPIRE_MINUTES (default 60 minutes), sent only via the Authorization header — never as a cookie.</w:t>
            </w:r>
          </w:p>
        </w:tc>
      </w:tr>
      <w:tr>
        <w:tc>
          <w:tcPr>
            <w:tcW w:type="dxa" w:w="2652"/>
          </w:tcPr>
          <w:p>
            <w:r/>
            <w:r>
              <w:rPr>
                <w:sz w:val="18"/>
              </w:rPr>
              <w:t>Cross-origin requests</w:t>
            </w:r>
          </w:p>
        </w:tc>
        <w:tc>
          <w:tcPr>
            <w:tcW w:type="dxa" w:w="6420"/>
          </w:tcPr>
          <w:p>
            <w:r/>
            <w:r>
              <w:rPr>
                <w:sz w:val="18"/>
              </w:rPr>
              <w:t>The API does not use cookie-based credentials, so cross-site request forgery via ambient credentials is not applicable to this authentication model.</w:t>
            </w:r>
          </w:p>
        </w:tc>
      </w:tr>
      <w:tr>
        <w:tc>
          <w:tcPr>
            <w:tcW w:type="dxa" w:w="2652"/>
            <w:shd w:val="clear" w:color="auto" w:fill="F7F3EE"/>
          </w:tcPr>
          <w:p>
            <w:r/>
            <w:r>
              <w:rPr>
                <w:sz w:val="18"/>
              </w:rPr>
              <w:t>Data isolation</w:t>
            </w:r>
          </w:p>
        </w:tc>
        <w:tc>
          <w:tcPr>
            <w:tcW w:type="dxa" w:w="6420"/>
            <w:shd w:val="clear" w:color="auto" w:fill="F7F3EE"/>
          </w:tcPr>
          <w:p>
            <w:r/>
            <w:r>
              <w:rPr>
                <w:sz w:val="18"/>
              </w:rPr>
              <w:t>Every non-admin endpoint filters strictly to the authenticated user's own rows; cross-account access requires the admin role.</w:t>
            </w:r>
          </w:p>
        </w:tc>
      </w:tr>
      <w:tr>
        <w:tc>
          <w:tcPr>
            <w:tcW w:type="dxa" w:w="2652"/>
          </w:tcPr>
          <w:p>
            <w:r/>
            <w:r>
              <w:rPr>
                <w:sz w:val="18"/>
              </w:rPr>
              <w:t>Transport</w:t>
            </w:r>
          </w:p>
        </w:tc>
        <w:tc>
          <w:tcPr>
            <w:tcW w:type="dxa" w:w="6420"/>
          </w:tcPr>
          <w:p>
            <w:r/>
            <w:r>
              <w:rPr>
                <w:sz w:val="18"/>
              </w:rPr>
              <w:t>Deploy behind HTTPS/TLS in any environment reachable over an untrusted network — this is an operator responsibility, not something the application enforces on its own.</w:t>
            </w:r>
          </w:p>
        </w:tc>
      </w:tr>
    </w:tbl>
    <w:p>
      <w:pPr>
        <w:spacing w:after="80"/>
      </w:pPr>
    </w:p>
    <w:p>
      <w:r>
        <w:br w:type="page"/>
      </w:r>
    </w:p>
    <w:p>
      <w:pPr>
        <w:pStyle w:val="Heading1"/>
      </w:pPr>
      <w:r>
        <w:t>11. Known Limitations and Out-of-Scope Items</w:t>
      </w:r>
    </w:p>
    <w:p>
      <w:r>
        <w:rPr>
          <w:b w:val="0"/>
          <w:i w:val="0"/>
        </w:rPr>
        <w:t>Documenting what ResQKit deliberately does not do is as important as documenting what it does — both for setting correct user expectations and because each omission below was a considered design decision, not an oversight.</w:t>
      </w:r>
    </w:p>
    <w:p>
      <w:pPr>
        <w:pStyle w:val="Heading2"/>
      </w:pPr>
      <w:r>
        <w:t>11.1 Behavioural limitations worth knowing</w:t>
      </w:r>
    </w:p>
    <w:p>
      <w:pPr>
        <w:pStyle w:val="ListBullet"/>
      </w:pPr>
      <w:r>
        <w:rPr>
          <w:b/>
        </w:rPr>
        <w:t xml:space="preserve">Head/spine, chest-pain and “not sure” injuries currently route to the severe-bleeding procedure. </w:t>
      </w:r>
      <w:r>
        <w:t>The content pack does not yet contain a dedicated sourced procedure for these categories (Section 6.5); the deterministic router falls back to the closest available procedure rather than showing nothing, but this is a real gap a future content-pack update should close.</w:t>
      </w:r>
    </w:p>
    <w:p>
      <w:pPr>
        <w:pStyle w:val="ListBullet"/>
      </w:pPr>
      <w:r>
        <w:rPr>
          <w:b/>
        </w:rPr>
        <w:t xml:space="preserve">The not-breathing shortcut skips the Hazard Check stage. </w:t>
      </w:r>
      <w:r>
        <w:t>This is intentional — time to compressions is prioritised over completeness of hazard data capture — but it means the CPR path produces a handoff brief with no hazard information unless hazards were already noted before triage.</w:t>
      </w:r>
    </w:p>
    <w:p>
      <w:pPr>
        <w:pStyle w:val="ListBullet"/>
      </w:pPr>
      <w:r>
        <w:rPr>
          <w:b/>
        </w:rPr>
        <w:t xml:space="preserve">Multiple victims are only summarised, not individually triaged. </w:t>
      </w:r>
      <w:r>
        <w:t>The application captures a total count and detailed data for one primary victim only; the user is advised to report the total to 112 directly. Per-victim triage and mass-casualty management are out of scope for this release.</w:t>
      </w:r>
    </w:p>
    <w:p>
      <w:pPr>
        <w:pStyle w:val="Heading2"/>
      </w:pPr>
      <w:r>
        <w:t>11.2 Integration and interoperability — not in this release</w:t>
      </w:r>
    </w:p>
    <w:p>
      <w:pPr>
        <w:pStyle w:val="ListBullet"/>
      </w:pPr>
      <w:r>
        <w:t>Any direct data channel to a Public Safety Answering Point or 112 dispatch system — ResQKit never transmits to emergency services.</w:t>
      </w:r>
    </w:p>
    <w:p>
      <w:pPr>
        <w:pStyle w:val="ListBullet"/>
      </w:pPr>
      <w:r>
        <w:t>eCall / vehicle-telematics ingestion (Minimum Set of Data, airbag deployment, occupant count).</w:t>
      </w:r>
    </w:p>
    <w:p>
      <w:pPr>
        <w:pStyle w:val="ListBullet"/>
      </w:pPr>
      <w:r>
        <w:t>European Health Data Space / MyHealth@EU patient-summary exchange and HL7 FHIR interoperability.</w:t>
      </w:r>
    </w:p>
    <w:p>
      <w:pPr>
        <w:pStyle w:val="ListBullet"/>
      </w:pPr>
      <w:r>
        <w:t>Hospital or electronic-health-record handover, e-triage tag scanning, standardised exchange formats (the EDXL family).</w:t>
      </w:r>
    </w:p>
    <w:p>
      <w:pPr>
        <w:pStyle w:val="ListBullet"/>
      </w:pPr>
      <w:r>
        <w:t>Insurance, roadside-assistance or other third-party service integrations.</w:t>
      </w:r>
    </w:p>
    <w:p>
      <w:pPr>
        <w:pStyle w:val="Heading2"/>
      </w:pPr>
      <w:r>
        <w:t>11.3 Platform and hardware — not in this release</w:t>
      </w:r>
    </w:p>
    <w:p>
      <w:pPr>
        <w:pStyle w:val="ListBullet"/>
      </w:pPr>
      <w:r>
        <w:t>Head-mounted displays or smart glasses — kit recognition is phone-camera only.</w:t>
      </w:r>
    </w:p>
    <w:p>
      <w:pPr>
        <w:pStyle w:val="ListBullet"/>
      </w:pPr>
      <w:r>
        <w:t>Wearables and vital-sign monitoring (smartwatch heart rate, fall-detection triggers).</w:t>
      </w:r>
    </w:p>
    <w:p>
      <w:pPr>
        <w:pStyle w:val="ListBullet"/>
      </w:pPr>
      <w:r>
        <w:t>Drones, 3D scene scanning, or external environmental sensors.</w:t>
      </w:r>
    </w:p>
    <w:p>
      <w:pPr>
        <w:pStyle w:val="ListBullet"/>
      </w:pPr>
      <w:r>
        <w:t>Offline map tiles or turn-by-turn navigation.</w:t>
      </w:r>
    </w:p>
    <w:p>
      <w:pPr>
        <w:pStyle w:val="Heading2"/>
      </w:pPr>
      <w:r>
        <w:t>11.4 Product depth — not in this release</w:t>
      </w:r>
    </w:p>
    <w:p>
      <w:pPr>
        <w:pStyle w:val="ListBullet"/>
      </w:pPr>
      <w:r>
        <w:t>Live “see-what-I-see” video streaming to a remote physician or telemedicine consultation.</w:t>
      </w:r>
    </w:p>
    <w:p>
      <w:pPr>
        <w:pStyle w:val="ListBullet"/>
      </w:pPr>
      <w:r>
        <w:t>Multi-user or team coordination at a shared incident.</w:t>
      </w:r>
    </w:p>
    <w:p>
      <w:pPr>
        <w:pStyle w:val="ListBullet"/>
      </w:pPr>
      <w:r>
        <w:t>Certification, scoring or accreditation for the Learn &amp; practise walkthroughs — they are orientation only.</w:t>
      </w:r>
    </w:p>
    <w:p>
      <w:pPr>
        <w:pStyle w:val="ListBullet"/>
      </w:pPr>
      <w:r>
        <w:t>Full hands-free voice control of the whole application — voice is limited to read-aloud and “next step” inside Guided First Aid.</w:t>
      </w:r>
    </w:p>
    <w:p>
      <w:pPr>
        <w:pStyle w:val="ListBullet"/>
      </w:pPr>
      <w:r>
        <w:t>Conversational legal question-answering, or any generated regulatory text — Risks &amp; regulations stays a curated, read-only, sourced pack (Section 7.3).</w:t>
      </w:r>
    </w:p>
    <w:p>
      <w:pPr>
        <w:pStyle w:val="ListBullet"/>
      </w:pPr>
      <w:r>
        <w:t>Contexts beyond the four covered environments (for example aviation, industrial HAZMAT, confined space, or structural collapse / urban search and rescue).</w:t>
      </w:r>
    </w:p>
    <w:p>
      <w:pPr>
        <w:pStyle w:val="ListBullet"/>
      </w:pPr>
      <w:r>
        <w:t>Languages beyond the initial content-pack languages.</w:t>
      </w:r>
    </w:p>
    <w:p>
      <w:pPr>
        <w:pStyle w:val="Heading2"/>
      </w:pPr>
      <w:r>
        <w:t>11.5 Compliance workstreams tracked separately, not built as app features</w:t>
      </w:r>
    </w:p>
    <w:p>
      <w:pPr>
        <w:pStyle w:val="ListBullet"/>
      </w:pPr>
      <w:r>
        <w:t>A full Data Protection Impact Assessment and Data Protection Officer sign-off for a given deployment (Section 8.6).</w:t>
      </w:r>
    </w:p>
    <w:p>
      <w:pPr>
        <w:pStyle w:val="ListBullet"/>
      </w:pPr>
      <w:r>
        <w:t>A medical-device regulatory classification assessment for the guidance software.</w:t>
      </w:r>
    </w:p>
    <w:p>
      <w:pPr>
        <w:pStyle w:val="ListBullet"/>
      </w:pPr>
      <w:r>
        <w:t>Independent verification of every obligation card against its primary legal source, on a defined re-verification cadence.</w:t>
      </w:r>
    </w:p>
    <w:p>
      <w:pPr>
        <w:pStyle w:val="ListBullet"/>
      </w:pPr>
      <w:r>
        <w:t>A security review of on-device storage and the share/export path for a specific deployment's threat model.</w:t>
      </w:r>
    </w:p>
    <w:p>
      <w:r>
        <w:br w:type="page"/>
      </w:r>
    </w:p>
    <w:p>
      <w:pPr>
        <w:pStyle w:val="Heading1"/>
      </w:pPr>
      <w:r>
        <w:t>12. Glossary and Source References</w:t>
      </w:r>
    </w:p>
    <w:p>
      <w:pPr>
        <w:pStyle w:val="Heading2"/>
      </w:pPr>
      <w:r>
        <w:t>12.1 Terms used in this manual</w:t>
      </w:r>
    </w:p>
    <w:tbl>
      <w:tblPr>
        <w:tblStyle w:val="TableGrid"/>
        <w:tblW w:type="auto" w:w="0"/>
        <w:jc w:val="center"/>
        <w:tblLayout w:type="fixed"/>
        <w:tblLook w:firstColumn="1" w:firstRow="1" w:lastColumn="0" w:lastRow="0" w:noHBand="0" w:noVBand="1" w:val="04A0"/>
      </w:tblPr>
      <w:tblGrid>
        <w:gridCol w:w="4320"/>
        <w:gridCol w:w="4320"/>
      </w:tblGrid>
      <w:tr>
        <w:tc>
          <w:tcPr>
            <w:tcW w:type="dxa" w:w="2652"/>
            <w:shd w:val="clear" w:color="auto" w:fill="B8572E"/>
          </w:tcPr>
          <w:p>
            <w:r/>
            <w:r>
              <w:rPr>
                <w:b/>
                <w:color w:val="FFFFFF"/>
                <w:sz w:val="18"/>
              </w:rPr>
              <w:t>Term</w:t>
            </w:r>
          </w:p>
        </w:tc>
        <w:tc>
          <w:tcPr>
            <w:tcW w:type="dxa" w:w="6420"/>
            <w:shd w:val="clear" w:color="auto" w:fill="B8572E"/>
          </w:tcPr>
          <w:p>
            <w:r/>
            <w:r>
              <w:rPr>
                <w:b/>
                <w:color w:val="FFFFFF"/>
                <w:sz w:val="18"/>
              </w:rPr>
              <w:t>Meaning</w:t>
            </w:r>
          </w:p>
        </w:tc>
      </w:tr>
      <w:tr>
        <w:tc>
          <w:tcPr>
            <w:tcW w:type="dxa" w:w="2652"/>
          </w:tcPr>
          <w:p>
            <w:r/>
            <w:r>
              <w:rPr>
                <w:sz w:val="18"/>
              </w:rPr>
              <w:t>Content pack</w:t>
            </w:r>
          </w:p>
        </w:tc>
        <w:tc>
          <w:tcPr>
            <w:tcW w:type="dxa" w:w="6420"/>
          </w:tcPr>
          <w:p>
            <w:r/>
            <w:r>
              <w:rPr>
                <w:sz w:val="18"/>
              </w:rPr>
              <w:t>The versioned, curated set of first-aid procedures, hazards, kit items and regulation cards ResQKit displays. Currently version 1.0.0-mvp.</w:t>
            </w:r>
          </w:p>
        </w:tc>
      </w:tr>
      <w:tr>
        <w:tc>
          <w:tcPr>
            <w:tcW w:type="dxa" w:w="2652"/>
            <w:shd w:val="clear" w:color="auto" w:fill="F7F3EE"/>
          </w:tcPr>
          <w:p>
            <w:r/>
            <w:r>
              <w:rPr>
                <w:sz w:val="18"/>
              </w:rPr>
              <w:t>Vital interests</w:t>
            </w:r>
          </w:p>
        </w:tc>
        <w:tc>
          <w:tcPr>
            <w:tcW w:type="dxa" w:w="6420"/>
            <w:shd w:val="clear" w:color="auto" w:fill="F7F3EE"/>
          </w:tcPr>
          <w:p>
            <w:r/>
            <w:r>
              <w:rPr>
                <w:sz w:val="18"/>
              </w:rPr>
              <w:t>A GDPR lawful basis (Art. 6(1)(d) / 9(2)(c)) permitting processing necessary to protect someone's life or physical safety, used when consent cannot practically be obtained (for example, from an unconscious victim).</w:t>
            </w:r>
          </w:p>
        </w:tc>
      </w:tr>
      <w:tr>
        <w:tc>
          <w:tcPr>
            <w:tcW w:type="dxa" w:w="2652"/>
          </w:tcPr>
          <w:p>
            <w:r/>
            <w:r>
              <w:rPr>
                <w:sz w:val="18"/>
              </w:rPr>
              <w:t>Special-category data</w:t>
            </w:r>
          </w:p>
        </w:tc>
        <w:tc>
          <w:tcPr>
            <w:tcW w:type="dxa" w:w="6420"/>
          </w:tcPr>
          <w:p>
            <w:r/>
            <w:r>
              <w:rPr>
                <w:sz w:val="18"/>
              </w:rPr>
              <w:t>Data revealing health, among other sensitive attributes, subject to the stricter rules of GDPR Art. 9.</w:t>
            </w:r>
          </w:p>
        </w:tc>
      </w:tr>
      <w:tr>
        <w:tc>
          <w:tcPr>
            <w:tcW w:type="dxa" w:w="2652"/>
            <w:shd w:val="clear" w:color="auto" w:fill="F7F3EE"/>
          </w:tcPr>
          <w:p>
            <w:r/>
            <w:r>
              <w:rPr>
                <w:sz w:val="18"/>
              </w:rPr>
              <w:t>Local-first</w:t>
            </w:r>
          </w:p>
        </w:tc>
        <w:tc>
          <w:tcPr>
            <w:tcW w:type="dxa" w:w="6420"/>
            <w:shd w:val="clear" w:color="auto" w:fill="F7F3EE"/>
          </w:tcPr>
          <w:p>
            <w:r/>
            <w:r>
              <w:rPr>
                <w:sz w:val="18"/>
              </w:rPr>
              <w:t>A design pattern where the browser's own storage is the primary and default location for data, and any server-side copy exists only after an explicit user action.</w:t>
            </w:r>
          </w:p>
        </w:tc>
      </w:tr>
      <w:tr>
        <w:tc>
          <w:tcPr>
            <w:tcW w:type="dxa" w:w="2652"/>
          </w:tcPr>
          <w:p>
            <w:r/>
            <w:r>
              <w:rPr>
                <w:sz w:val="18"/>
              </w:rPr>
              <w:t>Bearer token / JWT</w:t>
            </w:r>
          </w:p>
        </w:tc>
        <w:tc>
          <w:tcPr>
            <w:tcW w:type="dxa" w:w="6420"/>
          </w:tcPr>
          <w:p>
            <w:r/>
            <w:r>
              <w:rPr>
                <w:sz w:val="18"/>
              </w:rPr>
              <w:t>A signed, time-limited credential (JSON Web Token) sent in the Authorization header of each request to prove who is signed in, without a server-side session or a cookie.</w:t>
            </w:r>
          </w:p>
        </w:tc>
      </w:tr>
      <w:tr>
        <w:tc>
          <w:tcPr>
            <w:tcW w:type="dxa" w:w="2652"/>
            <w:shd w:val="clear" w:color="auto" w:fill="F7F3EE"/>
          </w:tcPr>
          <w:p>
            <w:r/>
            <w:r>
              <w:rPr>
                <w:sz w:val="18"/>
              </w:rPr>
              <w:t>PSAP</w:t>
            </w:r>
          </w:p>
        </w:tc>
        <w:tc>
          <w:tcPr>
            <w:tcW w:type="dxa" w:w="6420"/>
            <w:shd w:val="clear" w:color="auto" w:fill="F7F3EE"/>
          </w:tcPr>
          <w:p>
            <w:r/>
            <w:r>
              <w:rPr>
                <w:sz w:val="18"/>
              </w:rPr>
              <w:t>Public Safety Answering Point — the facility that receives and routes 112 calls.</w:t>
            </w:r>
          </w:p>
        </w:tc>
      </w:tr>
      <w:tr>
        <w:tc>
          <w:tcPr>
            <w:tcW w:type="dxa" w:w="2652"/>
          </w:tcPr>
          <w:p>
            <w:r/>
            <w:r>
              <w:rPr>
                <w:sz w:val="18"/>
              </w:rPr>
              <w:t>Deterministic (as used here)</w:t>
            </w:r>
          </w:p>
        </w:tc>
        <w:tc>
          <w:tcPr>
            <w:tcW w:type="dxa" w:w="6420"/>
          </w:tcPr>
          <w:p>
            <w:r/>
            <w:r>
              <w:rPr>
                <w:sz w:val="18"/>
              </w:rPr>
              <w:t>Computed by fixed application logic from data already captured, with no AI model involved — used to distinguish the Scene Brief and procedure routing from the two optional AI-assisted features in Section 9.</w:t>
            </w:r>
          </w:p>
        </w:tc>
      </w:tr>
    </w:tbl>
    <w:p>
      <w:pPr>
        <w:spacing w:after="80"/>
      </w:pPr>
    </w:p>
    <w:p>
      <w:pPr>
        <w:pStyle w:val="Heading2"/>
      </w:pPr>
      <w:r>
        <w:t>12.2 Source documents</w:t>
      </w:r>
    </w:p>
    <w:p>
      <w:r>
        <w:rPr>
          <w:b w:val="0"/>
          <w:i w:val="0"/>
        </w:rPr>
        <w:t>Every first-aid step, hazard, kit item and regulation card in the content pack cites one of the following source documents by code:</w:t>
      </w:r>
    </w:p>
    <w:tbl>
      <w:tblPr>
        <w:tblStyle w:val="TableGrid"/>
        <w:tblW w:type="auto" w:w="0"/>
        <w:jc w:val="center"/>
        <w:tblLayout w:type="fixed"/>
        <w:tblLook w:firstColumn="1" w:firstRow="1" w:lastColumn="0" w:lastRow="0" w:noHBand="0" w:noVBand="1" w:val="04A0"/>
      </w:tblPr>
      <w:tblGrid>
        <w:gridCol w:w="4320"/>
        <w:gridCol w:w="4320"/>
      </w:tblGrid>
      <w:tr>
        <w:tc>
          <w:tcPr>
            <w:tcW w:type="dxa" w:w="1396"/>
            <w:shd w:val="clear" w:color="auto" w:fill="B8572E"/>
          </w:tcPr>
          <w:p>
            <w:r/>
            <w:r>
              <w:rPr>
                <w:b/>
                <w:color w:val="FFFFFF"/>
                <w:sz w:val="18"/>
              </w:rPr>
              <w:t>Code</w:t>
            </w:r>
          </w:p>
        </w:tc>
        <w:tc>
          <w:tcPr>
            <w:tcW w:type="dxa" w:w="7676"/>
            <w:shd w:val="clear" w:color="auto" w:fill="B8572E"/>
          </w:tcPr>
          <w:p>
            <w:r/>
            <w:r>
              <w:rPr>
                <w:b/>
                <w:color w:val="FFFFFF"/>
                <w:sz w:val="18"/>
              </w:rPr>
              <w:t>Document</w:t>
            </w:r>
          </w:p>
        </w:tc>
      </w:tr>
      <w:tr>
        <w:tc>
          <w:tcPr>
            <w:tcW w:type="dxa" w:w="1396"/>
          </w:tcPr>
          <w:p>
            <w:r/>
            <w:r>
              <w:rPr>
                <w:sz w:val="18"/>
              </w:rPr>
              <w:t>EU_REG</w:t>
            </w:r>
          </w:p>
        </w:tc>
        <w:tc>
          <w:tcPr>
            <w:tcW w:type="dxa" w:w="7676"/>
          </w:tcPr>
          <w:p>
            <w:r/>
            <w:r>
              <w:rPr>
                <w:sz w:val="18"/>
              </w:rPr>
              <w:t>eu_regulations_emergency_response_data_handling_report.md — the EU/Romanian legal and data-handling research this manual's Section 2 is drawn from.</w:t>
            </w:r>
          </w:p>
        </w:tc>
      </w:tr>
      <w:tr>
        <w:tc>
          <w:tcPr>
            <w:tcW w:type="dxa" w:w="1396"/>
            <w:shd w:val="clear" w:color="auto" w:fill="F7F3EE"/>
          </w:tcPr>
          <w:p>
            <w:r/>
            <w:r>
              <w:rPr>
                <w:sz w:val="18"/>
              </w:rPr>
              <w:t>RESP</w:t>
            </w:r>
          </w:p>
        </w:tc>
        <w:tc>
          <w:tcPr>
            <w:tcW w:type="dxa" w:w="7676"/>
            <w:shd w:val="clear" w:color="auto" w:fill="F7F3EE"/>
          </w:tcPr>
          <w:p>
            <w:r/>
            <w:r>
              <w:rPr>
                <w:sz w:val="18"/>
              </w:rPr>
              <w:t>web_info_summaries/essential_emergency_responder_information.md — what information responders prioritise at an accident scene.</w:t>
            </w:r>
          </w:p>
        </w:tc>
      </w:tr>
      <w:tr>
        <w:tc>
          <w:tcPr>
            <w:tcW w:type="dxa" w:w="1396"/>
          </w:tcPr>
          <w:p>
            <w:r/>
            <w:r>
              <w:rPr>
                <w:sz w:val="18"/>
              </w:rPr>
              <w:t>AR</w:t>
            </w:r>
          </w:p>
        </w:tc>
        <w:tc>
          <w:tcPr>
            <w:tcW w:type="dxa" w:w="7676"/>
          </w:tcPr>
          <w:p>
            <w:r/>
            <w:r>
              <w:rPr>
                <w:sz w:val="18"/>
              </w:rPr>
              <w:t>web_info_summaries/Augmented_Reality_in_Emergency_First_Aid_and_Kit_Recognition.md — AR/camera-recognition research behind the Kit Recognition design.</w:t>
            </w:r>
          </w:p>
        </w:tc>
      </w:tr>
      <w:tr>
        <w:tc>
          <w:tcPr>
            <w:tcW w:type="dxa" w:w="1396"/>
            <w:shd w:val="clear" w:color="auto" w:fill="F7F3EE"/>
          </w:tcPr>
          <w:p>
            <w:r/>
            <w:r>
              <w:rPr>
                <w:sz w:val="18"/>
              </w:rPr>
              <w:t>MVP</w:t>
            </w:r>
          </w:p>
        </w:tc>
        <w:tc>
          <w:tcPr>
            <w:tcW w:type="dxa" w:w="7676"/>
            <w:shd w:val="clear" w:color="auto" w:fill="F7F3EE"/>
          </w:tcPr>
          <w:p>
            <w:r/>
            <w:r>
              <w:rPr>
                <w:sz w:val="18"/>
              </w:rPr>
              <w:t>ResQKit_MVP_Screens_and_User_Flow.md — the screen-by-screen specification this manual documents the built implementation against.</w:t>
            </w:r>
          </w:p>
        </w:tc>
      </w:tr>
    </w:tbl>
    <w:p>
      <w:pPr>
        <w:spacing w:after="80"/>
      </w:pPr>
    </w:p>
    <w:p>
      <w:pPr>
        <w:pStyle w:val="Heading2"/>
      </w:pPr>
      <w:r>
        <w:t>12.3 EU legal instruments referenced</w:t>
      </w:r>
    </w:p>
    <w:p>
      <w:pPr>
        <w:pStyle w:val="ListBullet"/>
      </w:pPr>
      <w:r>
        <w:t>Regulation (EU) 2016/679 — General Data Protection Regulation (GDPR)</w:t>
      </w:r>
    </w:p>
    <w:p>
      <w:pPr>
        <w:pStyle w:val="ListBullet"/>
      </w:pPr>
      <w:r>
        <w:t>Regulation (EU) 2015/758 — eCall in-vehicle system type-approval</w:t>
      </w:r>
    </w:p>
    <w:p>
      <w:pPr>
        <w:pStyle w:val="ListBullet"/>
      </w:pPr>
      <w:r>
        <w:t>Commission Delegated Regulation (EU) No 305/2013 — PSAP infrastructure for eCall</w:t>
      </w:r>
    </w:p>
    <w:p>
      <w:pPr>
        <w:pStyle w:val="ListBullet"/>
      </w:pPr>
      <w:r>
        <w:t>Directive (EU) 2018/1972 — European Electronic Communications Code (EECC)</w:t>
      </w:r>
    </w:p>
    <w:p>
      <w:pPr>
        <w:pStyle w:val="ListBullet"/>
      </w:pPr>
      <w:r>
        <w:t>Commission Delegated Regulation (EU) 2023/444 — Access to emergency services / caller location</w:t>
      </w:r>
    </w:p>
    <w:p>
      <w:pPr>
        <w:pStyle w:val="ListBullet"/>
      </w:pPr>
      <w:r>
        <w:t>Directive 2014/53/EU — Radio Equipment Directive (RED)</w:t>
      </w:r>
    </w:p>
    <w:p>
      <w:pPr>
        <w:pStyle w:val="ListBullet"/>
      </w:pPr>
      <w:r>
        <w:t>Commission Delegated Regulation (EU) 2019/320 — Handset emergency location requirements</w:t>
      </w:r>
    </w:p>
    <w:p>
      <w:pPr>
        <w:pStyle w:val="ListBullet"/>
      </w:pPr>
      <w:r>
        <w:t>Regulation (EU) 2025/327 — European Health Data Space (EHDS)</w:t>
      </w:r>
    </w:p>
    <w:p>
      <w:pPr>
        <w:pStyle w:val="ListBullet"/>
      </w:pPr>
      <w:r>
        <w:t>Directive (EU) 2022/2555 — NIS2 Directive</w:t>
      </w:r>
    </w:p>
    <w:p>
      <w:pPr>
        <w:pStyle w:val="ListBullet"/>
      </w:pPr>
      <w:r>
        <w:t>Directive (EU) 2022/2557 — Critical Entities Resilience (CER) Directive</w:t>
      </w:r>
    </w:p>
    <w:p>
      <w:r>
        <w:br w:type="page"/>
      </w:r>
    </w:p>
    <w:p>
      <w:pPr>
        <w:sectPr>
          <w:footerReference w:type="default" r:id="rId34"/>
          <w:pgSz w:w="12240" w:h="15840"/>
          <w:pgMar w:top="1440" w:right="1800" w:bottom="1440" w:left="1800" w:header="720" w:footer="720" w:gutter="0"/>
          <w:cols w:space="720"/>
          <w:docGrid w:linePitch="360"/>
        </w:sectPr>
      </w:pPr>
    </w:p>
    <w:p>
      <w:pPr>
        <w:pStyle w:val="Heading1"/>
      </w:pPr>
      <w:r>
        <w:t>Appendix A — Consolidated Data Inventory</w:t>
      </w:r>
    </w:p>
    <w:p>
      <w:r>
        <w:rPr>
          <w:b w:val="0"/>
          <w:i w:val="0"/>
        </w:rPr>
        <w:t>Every personal-data field ResQKit's emergency flow can collect, in the order a user encounters them, with its GDPR category, lawful basis, and default retention. “On-device” means the field never leaves the browser unless the user takes one of the explicit share/archive actions documented in Sections 6.9 and 8.3.</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c>
          <w:tcPr>
            <w:tcW w:type="dxa" w:w="1382"/>
            <w:shd w:val="clear" w:color="auto" w:fill="B8572E"/>
          </w:tcPr>
          <w:p>
            <w:r/>
            <w:r>
              <w:rPr>
                <w:b/>
                <w:color w:val="FFFFFF"/>
                <w:sz w:val="16"/>
              </w:rPr>
              <w:t>Screen</w:t>
            </w:r>
          </w:p>
        </w:tc>
        <w:tc>
          <w:tcPr>
            <w:tcW w:type="dxa" w:w="2627"/>
            <w:shd w:val="clear" w:color="auto" w:fill="B8572E"/>
          </w:tcPr>
          <w:p>
            <w:r/>
            <w:r>
              <w:rPr>
                <w:b/>
                <w:color w:val="FFFFFF"/>
                <w:sz w:val="16"/>
              </w:rPr>
              <w:t>Field</w:t>
            </w:r>
          </w:p>
        </w:tc>
        <w:tc>
          <w:tcPr>
            <w:tcW w:type="dxa" w:w="1797"/>
            <w:shd w:val="clear" w:color="auto" w:fill="B8572E"/>
          </w:tcPr>
          <w:p>
            <w:r/>
            <w:r>
              <w:rPr>
                <w:b/>
                <w:color w:val="FFFFFF"/>
                <w:sz w:val="16"/>
              </w:rPr>
              <w:t>Category</w:t>
            </w:r>
          </w:p>
        </w:tc>
        <w:tc>
          <w:tcPr>
            <w:tcW w:type="dxa" w:w="2903"/>
            <w:shd w:val="clear" w:color="auto" w:fill="B8572E"/>
          </w:tcPr>
          <w:p>
            <w:r/>
            <w:r>
              <w:rPr>
                <w:b/>
                <w:color w:val="FFFFFF"/>
                <w:sz w:val="16"/>
              </w:rPr>
              <w:t>Purpose</w:t>
            </w:r>
          </w:p>
        </w:tc>
        <w:tc>
          <w:tcPr>
            <w:tcW w:type="dxa" w:w="1521"/>
            <w:shd w:val="clear" w:color="auto" w:fill="B8572E"/>
          </w:tcPr>
          <w:p>
            <w:r/>
            <w:r>
              <w:rPr>
                <w:b/>
                <w:color w:val="FFFFFF"/>
                <w:sz w:val="16"/>
              </w:rPr>
              <w:t>Legal basis</w:t>
            </w:r>
          </w:p>
        </w:tc>
        <w:tc>
          <w:tcPr>
            <w:tcW w:type="dxa" w:w="1797"/>
            <w:shd w:val="clear" w:color="auto" w:fill="B8572E"/>
          </w:tcPr>
          <w:p>
            <w:r/>
            <w:r>
              <w:rPr>
                <w:b/>
                <w:color w:val="FFFFFF"/>
                <w:sz w:val="16"/>
              </w:rPr>
              <w:t>Retention</w:t>
            </w:r>
          </w:p>
        </w:tc>
        <w:tc>
          <w:tcPr>
            <w:tcW w:type="dxa" w:w="1797"/>
            <w:shd w:val="clear" w:color="auto" w:fill="B8572E"/>
          </w:tcPr>
          <w:p>
            <w:r/>
            <w:r>
              <w:rPr>
                <w:b/>
                <w:color w:val="FFFFFF"/>
                <w:sz w:val="16"/>
              </w:rPr>
              <w:t>On-device by default</w:t>
            </w:r>
          </w:p>
        </w:tc>
      </w:tr>
      <w:tr>
        <w:tc>
          <w:tcPr>
            <w:tcW w:type="dxa" w:w="1382"/>
          </w:tcPr>
          <w:p>
            <w:r/>
            <w:r>
              <w:rPr>
                <w:sz w:val="16"/>
              </w:rPr>
              <w:t>Consent</w:t>
            </w:r>
          </w:p>
        </w:tc>
        <w:tc>
          <w:tcPr>
            <w:tcW w:type="dxa" w:w="2627"/>
          </w:tcPr>
          <w:p>
            <w:r/>
            <w:r>
              <w:rPr>
                <w:sz w:val="16"/>
              </w:rPr>
              <w:t>Disclaimer acknowledgement + timestamp</w:t>
            </w:r>
          </w:p>
        </w:tc>
        <w:tc>
          <w:tcPr>
            <w:tcW w:type="dxa" w:w="1797"/>
          </w:tcPr>
          <w:p>
            <w:r/>
            <w:r>
              <w:rPr>
                <w:sz w:val="16"/>
              </w:rPr>
              <w:t>Non-personal</w:t>
            </w:r>
          </w:p>
        </w:tc>
        <w:tc>
          <w:tcPr>
            <w:tcW w:type="dxa" w:w="2903"/>
          </w:tcPr>
          <w:p>
            <w:r/>
            <w:r>
              <w:rPr>
                <w:sz w:val="16"/>
              </w:rPr>
              <w:t>Prove the 112-first notice was shown</w:t>
            </w:r>
          </w:p>
        </w:tc>
        <w:tc>
          <w:tcPr>
            <w:tcW w:type="dxa" w:w="1521"/>
          </w:tcPr>
          <w:p>
            <w:r/>
            <w:r>
              <w:rPr>
                <w:sz w:val="16"/>
              </w:rPr>
              <w:t>Art. 6(1)(f)</w:t>
            </w:r>
          </w:p>
        </w:tc>
        <w:tc>
          <w:tcPr>
            <w:tcW w:type="dxa" w:w="1797"/>
          </w:tcPr>
          <w:p>
            <w:r/>
            <w:r>
              <w:rPr>
                <w:sz w:val="16"/>
              </w:rPr>
              <w:t>Until app data deleted</w:t>
            </w:r>
          </w:p>
        </w:tc>
        <w:tc>
          <w:tcPr>
            <w:tcW w:type="dxa" w:w="1797"/>
          </w:tcPr>
          <w:p>
            <w:r/>
            <w:r>
              <w:rPr>
                <w:sz w:val="16"/>
              </w:rPr>
              <w:t>Yes</w:t>
            </w:r>
          </w:p>
        </w:tc>
      </w:tr>
      <w:tr>
        <w:tc>
          <w:tcPr>
            <w:tcW w:type="dxa" w:w="1382"/>
            <w:shd w:val="clear" w:color="auto" w:fill="F7F3EE"/>
          </w:tcPr>
          <w:p>
            <w:r/>
            <w:r>
              <w:rPr>
                <w:sz w:val="16"/>
              </w:rPr>
              <w:t>Consent</w:t>
            </w:r>
          </w:p>
        </w:tc>
        <w:tc>
          <w:tcPr>
            <w:tcW w:type="dxa" w:w="2627"/>
            <w:shd w:val="clear" w:color="auto" w:fill="F7F3EE"/>
          </w:tcPr>
          <w:p>
            <w:r/>
            <w:r>
              <w:rPr>
                <w:sz w:val="16"/>
              </w:rPr>
              <w:t>Health-data consent state + timestamp</w:t>
            </w:r>
          </w:p>
        </w:tc>
        <w:tc>
          <w:tcPr>
            <w:tcW w:type="dxa" w:w="1797"/>
            <w:shd w:val="clear" w:color="auto" w:fill="F7F3EE"/>
          </w:tcPr>
          <w:p>
            <w:r/>
            <w:r>
              <w:rPr>
                <w:sz w:val="16"/>
              </w:rPr>
              <w:t>Ordinary</w:t>
            </w:r>
          </w:p>
        </w:tc>
        <w:tc>
          <w:tcPr>
            <w:tcW w:type="dxa" w:w="2903"/>
            <w:shd w:val="clear" w:color="auto" w:fill="F7F3EE"/>
          </w:tcPr>
          <w:p>
            <w:r/>
            <w:r>
              <w:rPr>
                <w:sz w:val="16"/>
              </w:rPr>
              <w:t>Record and audit consent</w:t>
            </w:r>
          </w:p>
        </w:tc>
        <w:tc>
          <w:tcPr>
            <w:tcW w:type="dxa" w:w="1521"/>
            <w:shd w:val="clear" w:color="auto" w:fill="F7F3EE"/>
          </w:tcPr>
          <w:p>
            <w:r/>
            <w:r>
              <w:rPr>
                <w:sz w:val="16"/>
              </w:rPr>
              <w:t>Art. 6(1)(a)</w:t>
            </w:r>
          </w:p>
        </w:tc>
        <w:tc>
          <w:tcPr>
            <w:tcW w:type="dxa" w:w="1797"/>
            <w:shd w:val="clear" w:color="auto" w:fill="F7F3EE"/>
          </w:tcPr>
          <w:p>
            <w:r/>
            <w:r>
              <w:rPr>
                <w:sz w:val="16"/>
              </w:rPr>
              <w:t>Until withdrawn</w:t>
            </w:r>
          </w:p>
        </w:tc>
        <w:tc>
          <w:tcPr>
            <w:tcW w:type="dxa" w:w="1797"/>
            <w:shd w:val="clear" w:color="auto" w:fill="F7F3EE"/>
          </w:tcPr>
          <w:p>
            <w:r/>
            <w:r>
              <w:rPr>
                <w:sz w:val="16"/>
              </w:rPr>
              <w:t>Yes</w:t>
            </w:r>
          </w:p>
        </w:tc>
      </w:tr>
      <w:tr>
        <w:tc>
          <w:tcPr>
            <w:tcW w:type="dxa" w:w="1382"/>
          </w:tcPr>
          <w:p>
            <w:r/>
            <w:r>
              <w:rPr>
                <w:sz w:val="16"/>
              </w:rPr>
              <w:t>Safety Profile</w:t>
            </w:r>
          </w:p>
        </w:tc>
        <w:tc>
          <w:tcPr>
            <w:tcW w:type="dxa" w:w="2627"/>
          </w:tcPr>
          <w:p>
            <w:r/>
            <w:r>
              <w:rPr>
                <w:sz w:val="16"/>
              </w:rPr>
              <w:t>Display name, language, emergency contact</w:t>
            </w:r>
          </w:p>
        </w:tc>
        <w:tc>
          <w:tcPr>
            <w:tcW w:type="dxa" w:w="1797"/>
          </w:tcPr>
          <w:p>
            <w:r/>
            <w:r>
              <w:rPr>
                <w:sz w:val="16"/>
              </w:rPr>
              <w:t>Ordinary</w:t>
            </w:r>
          </w:p>
        </w:tc>
        <w:tc>
          <w:tcPr>
            <w:tcW w:type="dxa" w:w="2903"/>
          </w:tcPr>
          <w:p>
            <w:r/>
            <w:r>
              <w:rPr>
                <w:sz w:val="16"/>
              </w:rPr>
              <w:t>Identify user / enable follow-up</w:t>
            </w:r>
          </w:p>
        </w:tc>
        <w:tc>
          <w:tcPr>
            <w:tcW w:type="dxa" w:w="1521"/>
          </w:tcPr>
          <w:p>
            <w:r/>
            <w:r>
              <w:rPr>
                <w:sz w:val="16"/>
              </w:rPr>
              <w:t>Art. 6(1)(a)</w:t>
            </w:r>
          </w:p>
        </w:tc>
        <w:tc>
          <w:tcPr>
            <w:tcW w:type="dxa" w:w="1797"/>
          </w:tcPr>
          <w:p>
            <w:r/>
            <w:r>
              <w:rPr>
                <w:sz w:val="16"/>
              </w:rPr>
              <w:t>Until deleted by user</w:t>
            </w:r>
          </w:p>
        </w:tc>
        <w:tc>
          <w:tcPr>
            <w:tcW w:type="dxa" w:w="1797"/>
          </w:tcPr>
          <w:p>
            <w:r/>
            <w:r>
              <w:rPr>
                <w:sz w:val="16"/>
              </w:rPr>
              <w:t>Yes</w:t>
            </w:r>
          </w:p>
        </w:tc>
      </w:tr>
      <w:tr>
        <w:tc>
          <w:tcPr>
            <w:tcW w:type="dxa" w:w="1382"/>
            <w:shd w:val="clear" w:color="auto" w:fill="F7F3EE"/>
          </w:tcPr>
          <w:p>
            <w:r/>
            <w:r>
              <w:rPr>
                <w:sz w:val="16"/>
              </w:rPr>
              <w:t>Safety Profile</w:t>
            </w:r>
          </w:p>
        </w:tc>
        <w:tc>
          <w:tcPr>
            <w:tcW w:type="dxa" w:w="2627"/>
            <w:shd w:val="clear" w:color="auto" w:fill="F7F3EE"/>
          </w:tcPr>
          <w:p>
            <w:r/>
            <w:r>
              <w:rPr>
                <w:sz w:val="16"/>
              </w:rPr>
              <w:t>Blood type, allergies, conditions, medications, implants</w:t>
            </w:r>
          </w:p>
        </w:tc>
        <w:tc>
          <w:tcPr>
            <w:tcW w:type="dxa" w:w="1797"/>
            <w:shd w:val="clear" w:color="auto" w:fill="F7F3EE"/>
          </w:tcPr>
          <w:p>
            <w:r/>
            <w:r>
              <w:rPr>
                <w:sz w:val="16"/>
              </w:rPr>
              <w:t>Special-category (Art. 9)</w:t>
            </w:r>
          </w:p>
        </w:tc>
        <w:tc>
          <w:tcPr>
            <w:tcW w:type="dxa" w:w="2903"/>
            <w:shd w:val="clear" w:color="auto" w:fill="F7F3EE"/>
          </w:tcPr>
          <w:p>
            <w:r/>
            <w:r>
              <w:rPr>
                <w:sz w:val="16"/>
              </w:rPr>
              <w:t>Inform treatment decisions</w:t>
            </w:r>
          </w:p>
        </w:tc>
        <w:tc>
          <w:tcPr>
            <w:tcW w:type="dxa" w:w="1521"/>
            <w:shd w:val="clear" w:color="auto" w:fill="F7F3EE"/>
          </w:tcPr>
          <w:p>
            <w:r/>
            <w:r>
              <w:rPr>
                <w:sz w:val="16"/>
              </w:rPr>
              <w:t>Art. 9(2)(a)</w:t>
            </w:r>
          </w:p>
        </w:tc>
        <w:tc>
          <w:tcPr>
            <w:tcW w:type="dxa" w:w="1797"/>
            <w:shd w:val="clear" w:color="auto" w:fill="F7F3EE"/>
          </w:tcPr>
          <w:p>
            <w:r/>
            <w:r>
              <w:rPr>
                <w:sz w:val="16"/>
              </w:rPr>
              <w:t>Until deleted by user</w:t>
            </w:r>
          </w:p>
        </w:tc>
        <w:tc>
          <w:tcPr>
            <w:tcW w:type="dxa" w:w="1797"/>
            <w:shd w:val="clear" w:color="auto" w:fill="F7F3EE"/>
          </w:tcPr>
          <w:p>
            <w:r/>
            <w:r>
              <w:rPr>
                <w:sz w:val="16"/>
              </w:rPr>
              <w:t>Yes</w:t>
            </w:r>
          </w:p>
        </w:tc>
      </w:tr>
      <w:tr>
        <w:tc>
          <w:tcPr>
            <w:tcW w:type="dxa" w:w="1382"/>
          </w:tcPr>
          <w:p>
            <w:r/>
            <w:r>
              <w:rPr>
                <w:sz w:val="16"/>
              </w:rPr>
              <w:t>Context</w:t>
            </w:r>
          </w:p>
        </w:tc>
        <w:tc>
          <w:tcPr>
            <w:tcW w:type="dxa" w:w="2627"/>
          </w:tcPr>
          <w:p>
            <w:r/>
            <w:r>
              <w:rPr>
                <w:sz w:val="16"/>
              </w:rPr>
              <w:t>Selected environment + incident start timestamp</w:t>
            </w:r>
          </w:p>
        </w:tc>
        <w:tc>
          <w:tcPr>
            <w:tcW w:type="dxa" w:w="1797"/>
          </w:tcPr>
          <w:p>
            <w:r/>
            <w:r>
              <w:rPr>
                <w:sz w:val="16"/>
              </w:rPr>
              <w:t>Ordinary in context</w:t>
            </w:r>
          </w:p>
        </w:tc>
        <w:tc>
          <w:tcPr>
            <w:tcW w:type="dxa" w:w="2903"/>
          </w:tcPr>
          <w:p>
            <w:r/>
            <w:r>
              <w:rPr>
                <w:sz w:val="16"/>
              </w:rPr>
              <w:t>Scope kit/hazards/obligations; build the timeline</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112 Gate</w:t>
            </w:r>
          </w:p>
        </w:tc>
        <w:tc>
          <w:tcPr>
            <w:tcW w:type="dxa" w:w="2627"/>
            <w:shd w:val="clear" w:color="auto" w:fill="F7F3EE"/>
          </w:tcPr>
          <w:p>
            <w:r/>
            <w:r>
              <w:rPr>
                <w:sz w:val="16"/>
              </w:rPr>
              <w:t>GNSS coordinates, accuracy, fix age</w:t>
            </w:r>
          </w:p>
        </w:tc>
        <w:tc>
          <w:tcPr>
            <w:tcW w:type="dxa" w:w="1797"/>
            <w:shd w:val="clear" w:color="auto" w:fill="F7F3EE"/>
          </w:tcPr>
          <w:p>
            <w:r/>
            <w:r>
              <w:rPr>
                <w:sz w:val="16"/>
              </w:rPr>
              <w:t>Ordinary (location)</w:t>
            </w:r>
          </w:p>
        </w:tc>
        <w:tc>
          <w:tcPr>
            <w:tcW w:type="dxa" w:w="2903"/>
            <w:shd w:val="clear" w:color="auto" w:fill="F7F3EE"/>
          </w:tcPr>
          <w:p>
            <w:r/>
            <w:r>
              <w:rPr>
                <w:sz w:val="16"/>
              </w:rPr>
              <w:t>Read aloud to the 112 operator</w:t>
            </w:r>
          </w:p>
        </w:tc>
        <w:tc>
          <w:tcPr>
            <w:tcW w:type="dxa" w:w="1521"/>
            <w:shd w:val="clear" w:color="auto" w:fill="F7F3EE"/>
          </w:tcPr>
          <w:p>
            <w:r/>
            <w:r>
              <w:rPr>
                <w:sz w:val="16"/>
              </w:rPr>
              <w:t>Art. 6(1)(d)</w:t>
            </w:r>
          </w:p>
        </w:tc>
        <w:tc>
          <w:tcPr>
            <w:tcW w:type="dxa" w:w="1797"/>
            <w:shd w:val="clear" w:color="auto" w:fill="F7F3EE"/>
          </w:tcPr>
          <w:p>
            <w:r/>
            <w:r>
              <w:rPr>
                <w:sz w:val="16"/>
              </w:rPr>
              <w:t>Incident lifetime</w:t>
            </w:r>
          </w:p>
        </w:tc>
        <w:tc>
          <w:tcPr>
            <w:tcW w:type="dxa" w:w="1797"/>
            <w:shd w:val="clear" w:color="auto" w:fill="F7F3EE"/>
          </w:tcPr>
          <w:p>
            <w:r/>
            <w:r>
              <w:rPr>
                <w:sz w:val="16"/>
              </w:rPr>
              <w:t>Until shared</w:t>
            </w:r>
          </w:p>
        </w:tc>
      </w:tr>
      <w:tr>
        <w:tc>
          <w:tcPr>
            <w:tcW w:type="dxa" w:w="1382"/>
          </w:tcPr>
          <w:p>
            <w:r/>
            <w:r>
              <w:rPr>
                <w:sz w:val="16"/>
              </w:rPr>
              <w:t>112 Gate</w:t>
            </w:r>
          </w:p>
        </w:tc>
        <w:tc>
          <w:tcPr>
            <w:tcW w:type="dxa" w:w="2627"/>
          </w:tcPr>
          <w:p>
            <w:r/>
            <w:r>
              <w:rPr>
                <w:sz w:val="16"/>
              </w:rPr>
              <w:t>Landmark / address text</w:t>
            </w:r>
          </w:p>
        </w:tc>
        <w:tc>
          <w:tcPr>
            <w:tcW w:type="dxa" w:w="1797"/>
          </w:tcPr>
          <w:p>
            <w:r/>
            <w:r>
              <w:rPr>
                <w:sz w:val="16"/>
              </w:rPr>
              <w:t>Ordinary</w:t>
            </w:r>
          </w:p>
        </w:tc>
        <w:tc>
          <w:tcPr>
            <w:tcW w:type="dxa" w:w="2903"/>
          </w:tcPr>
          <w:p>
            <w:r/>
            <w:r>
              <w:rPr>
                <w:sz w:val="16"/>
              </w:rPr>
              <w:t>Human-readable position hint</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112 Gate</w:t>
            </w:r>
          </w:p>
        </w:tc>
        <w:tc>
          <w:tcPr>
            <w:tcW w:type="dxa" w:w="2627"/>
            <w:shd w:val="clear" w:color="auto" w:fill="F7F3EE"/>
          </w:tcPr>
          <w:p>
            <w:r/>
            <w:r>
              <w:rPr>
                <w:sz w:val="16"/>
              </w:rPr>
              <w:t>112-called state</w:t>
            </w:r>
          </w:p>
        </w:tc>
        <w:tc>
          <w:tcPr>
            <w:tcW w:type="dxa" w:w="1797"/>
            <w:shd w:val="clear" w:color="auto" w:fill="F7F3EE"/>
          </w:tcPr>
          <w:p>
            <w:r/>
            <w:r>
              <w:rPr>
                <w:sz w:val="16"/>
              </w:rPr>
              <w:t>Non-personal</w:t>
            </w:r>
          </w:p>
        </w:tc>
        <w:tc>
          <w:tcPr>
            <w:tcW w:type="dxa" w:w="2903"/>
            <w:shd w:val="clear" w:color="auto" w:fill="F7F3EE"/>
          </w:tcPr>
          <w:p>
            <w:r/>
            <w:r>
              <w:rPr>
                <w:sz w:val="16"/>
              </w:rPr>
              <w:t>Drive the persistent banner; stamp the brief</w:t>
            </w:r>
          </w:p>
        </w:tc>
        <w:tc>
          <w:tcPr>
            <w:tcW w:type="dxa" w:w="1521"/>
            <w:shd w:val="clear" w:color="auto" w:fill="F7F3EE"/>
          </w:tcPr>
          <w:p>
            <w:r/>
            <w:r>
              <w:rPr>
                <w:sz w:val="16"/>
              </w:rPr>
              <w:t>Art. 6(1)(f)</w:t>
            </w:r>
          </w:p>
        </w:tc>
        <w:tc>
          <w:tcPr>
            <w:tcW w:type="dxa" w:w="1797"/>
            <w:shd w:val="clear" w:color="auto" w:fill="F7F3EE"/>
          </w:tcPr>
          <w:p>
            <w:r/>
            <w:r>
              <w:rPr>
                <w:sz w:val="16"/>
              </w:rPr>
              <w:t>Incident lifetime</w:t>
            </w:r>
          </w:p>
        </w:tc>
        <w:tc>
          <w:tcPr>
            <w:tcW w:type="dxa" w:w="1797"/>
            <w:shd w:val="clear" w:color="auto" w:fill="F7F3EE"/>
          </w:tcPr>
          <w:p>
            <w:r/>
            <w:r>
              <w:rPr>
                <w:sz w:val="16"/>
              </w:rPr>
              <w:t>Yes</w:t>
            </w:r>
          </w:p>
        </w:tc>
      </w:tr>
      <w:tr>
        <w:tc>
          <w:tcPr>
            <w:tcW w:type="dxa" w:w="1382"/>
          </w:tcPr>
          <w:p>
            <w:r/>
            <w:r>
              <w:rPr>
                <w:sz w:val="16"/>
              </w:rPr>
              <w:t>Triage</w:t>
            </w:r>
          </w:p>
        </w:tc>
        <w:tc>
          <w:tcPr>
            <w:tcW w:type="dxa" w:w="2627"/>
          </w:tcPr>
          <w:p>
            <w:r/>
            <w:r>
              <w:rPr>
                <w:sz w:val="16"/>
              </w:rPr>
              <w:t>Victim count (reported)</w:t>
            </w:r>
          </w:p>
        </w:tc>
        <w:tc>
          <w:tcPr>
            <w:tcW w:type="dxa" w:w="1797"/>
          </w:tcPr>
          <w:p>
            <w:r/>
            <w:r>
              <w:rPr>
                <w:sz w:val="16"/>
              </w:rPr>
              <w:t>Ordinary (third-party)</w:t>
            </w:r>
          </w:p>
        </w:tc>
        <w:tc>
          <w:tcPr>
            <w:tcW w:type="dxa" w:w="2903"/>
          </w:tcPr>
          <w:p>
            <w:r/>
            <w:r>
              <w:rPr>
                <w:sz w:val="16"/>
              </w:rPr>
              <w:t>Resource expectation for responders</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Triage</w:t>
            </w:r>
          </w:p>
        </w:tc>
        <w:tc>
          <w:tcPr>
            <w:tcW w:type="dxa" w:w="2627"/>
            <w:shd w:val="clear" w:color="auto" w:fill="F7F3EE"/>
          </w:tcPr>
          <w:p>
            <w:r/>
            <w:r>
              <w:rPr>
                <w:sz w:val="16"/>
              </w:rPr>
              <w:t>Responsiveness, breathing, injury, age band</w:t>
            </w:r>
          </w:p>
        </w:tc>
        <w:tc>
          <w:tcPr>
            <w:tcW w:type="dxa" w:w="1797"/>
            <w:shd w:val="clear" w:color="auto" w:fill="F7F3EE"/>
          </w:tcPr>
          <w:p>
            <w:r/>
            <w:r>
              <w:rPr>
                <w:sz w:val="16"/>
              </w:rPr>
              <w:t>Special-category (Art. 9)</w:t>
            </w:r>
          </w:p>
        </w:tc>
        <w:tc>
          <w:tcPr>
            <w:tcW w:type="dxa" w:w="2903"/>
            <w:shd w:val="clear" w:color="auto" w:fill="F7F3EE"/>
          </w:tcPr>
          <w:p>
            <w:r/>
            <w:r>
              <w:rPr>
                <w:sz w:val="16"/>
              </w:rPr>
              <w:t>Select procedure; brief the crew</w:t>
            </w:r>
          </w:p>
        </w:tc>
        <w:tc>
          <w:tcPr>
            <w:tcW w:type="dxa" w:w="1521"/>
            <w:shd w:val="clear" w:color="auto" w:fill="F7F3EE"/>
          </w:tcPr>
          <w:p>
            <w:r/>
            <w:r>
              <w:rPr>
                <w:sz w:val="16"/>
              </w:rPr>
              <w:t>Art. 9(2)(c)</w:t>
            </w:r>
          </w:p>
        </w:tc>
        <w:tc>
          <w:tcPr>
            <w:tcW w:type="dxa" w:w="1797"/>
            <w:shd w:val="clear" w:color="auto" w:fill="F7F3EE"/>
          </w:tcPr>
          <w:p>
            <w:r/>
            <w:r>
              <w:rPr>
                <w:sz w:val="16"/>
              </w:rPr>
              <w:t>Incident lifetime</w:t>
            </w:r>
          </w:p>
        </w:tc>
        <w:tc>
          <w:tcPr>
            <w:tcW w:type="dxa" w:w="1797"/>
            <w:shd w:val="clear" w:color="auto" w:fill="F7F3EE"/>
          </w:tcPr>
          <w:p>
            <w:r/>
            <w:r>
              <w:rPr>
                <w:sz w:val="16"/>
              </w:rPr>
              <w:t>Until shared</w:t>
            </w:r>
          </w:p>
        </w:tc>
      </w:tr>
      <w:tr>
        <w:tc>
          <w:tcPr>
            <w:tcW w:type="dxa" w:w="1382"/>
          </w:tcPr>
          <w:p>
            <w:r/>
            <w:r>
              <w:rPr>
                <w:sz w:val="16"/>
              </w:rPr>
              <w:t>Triage</w:t>
            </w:r>
          </w:p>
        </w:tc>
        <w:tc>
          <w:tcPr>
            <w:tcW w:type="dxa" w:w="2627"/>
          </w:tcPr>
          <w:p>
            <w:r/>
            <w:r>
              <w:rPr>
                <w:sz w:val="16"/>
              </w:rPr>
              <w:t>Trapped / accessible status</w:t>
            </w:r>
          </w:p>
        </w:tc>
        <w:tc>
          <w:tcPr>
            <w:tcW w:type="dxa" w:w="1797"/>
          </w:tcPr>
          <w:p>
            <w:r/>
            <w:r>
              <w:rPr>
                <w:sz w:val="16"/>
              </w:rPr>
              <w:t>Ordinary</w:t>
            </w:r>
          </w:p>
        </w:tc>
        <w:tc>
          <w:tcPr>
            <w:tcW w:type="dxa" w:w="2903"/>
          </w:tcPr>
          <w:p>
            <w:r/>
            <w:r>
              <w:rPr>
                <w:sz w:val="16"/>
              </w:rPr>
              <w:t>Signals extrication need</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Hazards</w:t>
            </w:r>
          </w:p>
        </w:tc>
        <w:tc>
          <w:tcPr>
            <w:tcW w:type="dxa" w:w="2627"/>
            <w:shd w:val="clear" w:color="auto" w:fill="F7F3EE"/>
          </w:tcPr>
          <w:p>
            <w:r/>
            <w:r>
              <w:rPr>
                <w:sz w:val="16"/>
              </w:rPr>
              <w:t>Selected hazard flags</w:t>
            </w:r>
          </w:p>
        </w:tc>
        <w:tc>
          <w:tcPr>
            <w:tcW w:type="dxa" w:w="1797"/>
            <w:shd w:val="clear" w:color="auto" w:fill="F7F3EE"/>
          </w:tcPr>
          <w:p>
            <w:r/>
            <w:r>
              <w:rPr>
                <w:sz w:val="16"/>
              </w:rPr>
              <w:t>Ordinary in context</w:t>
            </w:r>
          </w:p>
        </w:tc>
        <w:tc>
          <w:tcPr>
            <w:tcW w:type="dxa" w:w="2903"/>
            <w:shd w:val="clear" w:color="auto" w:fill="F7F3EE"/>
          </w:tcPr>
          <w:p>
            <w:r/>
            <w:r>
              <w:rPr>
                <w:sz w:val="16"/>
              </w:rPr>
              <w:t>Protect the helper; warn crews</w:t>
            </w:r>
          </w:p>
        </w:tc>
        <w:tc>
          <w:tcPr>
            <w:tcW w:type="dxa" w:w="1521"/>
            <w:shd w:val="clear" w:color="auto" w:fill="F7F3EE"/>
          </w:tcPr>
          <w:p>
            <w:r/>
            <w:r>
              <w:rPr>
                <w:sz w:val="16"/>
              </w:rPr>
              <w:t>Art. 6(1)(d)</w:t>
            </w:r>
          </w:p>
        </w:tc>
        <w:tc>
          <w:tcPr>
            <w:tcW w:type="dxa" w:w="1797"/>
            <w:shd w:val="clear" w:color="auto" w:fill="F7F3EE"/>
          </w:tcPr>
          <w:p>
            <w:r/>
            <w:r>
              <w:rPr>
                <w:sz w:val="16"/>
              </w:rPr>
              <w:t>Incident lifetime</w:t>
            </w:r>
          </w:p>
        </w:tc>
        <w:tc>
          <w:tcPr>
            <w:tcW w:type="dxa" w:w="1797"/>
            <w:shd w:val="clear" w:color="auto" w:fill="F7F3EE"/>
          </w:tcPr>
          <w:p>
            <w:r/>
            <w:r>
              <w:rPr>
                <w:sz w:val="16"/>
              </w:rPr>
              <w:t>Until shared</w:t>
            </w:r>
          </w:p>
        </w:tc>
      </w:tr>
      <w:tr>
        <w:tc>
          <w:tcPr>
            <w:tcW w:type="dxa" w:w="1382"/>
          </w:tcPr>
          <w:p>
            <w:r/>
            <w:r>
              <w:rPr>
                <w:sz w:val="16"/>
              </w:rPr>
              <w:t>Hazards</w:t>
            </w:r>
          </w:p>
        </w:tc>
        <w:tc>
          <w:tcPr>
            <w:tcW w:type="dxa" w:w="2627"/>
          </w:tcPr>
          <w:p>
            <w:r/>
            <w:r>
              <w:rPr>
                <w:sz w:val="16"/>
              </w:rPr>
              <w:t>Vehicle powertrain hint</w:t>
            </w:r>
          </w:p>
        </w:tc>
        <w:tc>
          <w:tcPr>
            <w:tcW w:type="dxa" w:w="1797"/>
          </w:tcPr>
          <w:p>
            <w:r/>
            <w:r>
              <w:rPr>
                <w:sz w:val="16"/>
              </w:rPr>
              <w:t>Ordinary</w:t>
            </w:r>
          </w:p>
        </w:tc>
        <w:tc>
          <w:tcPr>
            <w:tcW w:type="dxa" w:w="2903"/>
          </w:tcPr>
          <w:p>
            <w:r/>
            <w:r>
              <w:rPr>
                <w:sz w:val="16"/>
              </w:rPr>
              <w:t>Extrication implications</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Kit Recognition</w:t>
            </w:r>
          </w:p>
        </w:tc>
        <w:tc>
          <w:tcPr>
            <w:tcW w:type="dxa" w:w="2627"/>
            <w:shd w:val="clear" w:color="auto" w:fill="F7F3EE"/>
          </w:tcPr>
          <w:p>
            <w:r/>
            <w:r>
              <w:rPr>
                <w:sz w:val="16"/>
              </w:rPr>
              <w:t>Camera frame</w:t>
            </w:r>
          </w:p>
        </w:tc>
        <w:tc>
          <w:tcPr>
            <w:tcW w:type="dxa" w:w="1797"/>
            <w:shd w:val="clear" w:color="auto" w:fill="F7F3EE"/>
          </w:tcPr>
          <w:p>
            <w:r/>
            <w:r>
              <w:rPr>
                <w:sz w:val="16"/>
              </w:rPr>
              <w:t>Potentially ordinary (may capture people)</w:t>
            </w:r>
          </w:p>
        </w:tc>
        <w:tc>
          <w:tcPr>
            <w:tcW w:type="dxa" w:w="2903"/>
            <w:shd w:val="clear" w:color="auto" w:fill="F7F3EE"/>
          </w:tcPr>
          <w:p>
            <w:r/>
            <w:r>
              <w:rPr>
                <w:sz w:val="16"/>
              </w:rPr>
              <w:t>Feed on-device/local-AI recognition</w:t>
            </w:r>
          </w:p>
        </w:tc>
        <w:tc>
          <w:tcPr>
            <w:tcW w:type="dxa" w:w="1521"/>
            <w:shd w:val="clear" w:color="auto" w:fill="F7F3EE"/>
          </w:tcPr>
          <w:p>
            <w:r/>
            <w:r>
              <w:rPr>
                <w:sz w:val="16"/>
              </w:rPr>
              <w:t>Art. 6(1)(d)</w:t>
            </w:r>
          </w:p>
        </w:tc>
        <w:tc>
          <w:tcPr>
            <w:tcW w:type="dxa" w:w="1797"/>
            <w:shd w:val="clear" w:color="auto" w:fill="F7F3EE"/>
          </w:tcPr>
          <w:p>
            <w:r/>
            <w:r>
              <w:rPr>
                <w:sz w:val="16"/>
              </w:rPr>
              <w:t>Not persisted</w:t>
            </w:r>
          </w:p>
        </w:tc>
        <w:tc>
          <w:tcPr>
            <w:tcW w:type="dxa" w:w="1797"/>
            <w:shd w:val="clear" w:color="auto" w:fill="F7F3EE"/>
          </w:tcPr>
          <w:p>
            <w:r/>
            <w:r>
              <w:rPr>
                <w:sz w:val="16"/>
              </w:rPr>
              <w:t>Yes</w:t>
            </w:r>
          </w:p>
        </w:tc>
      </w:tr>
      <w:tr>
        <w:tc>
          <w:tcPr>
            <w:tcW w:type="dxa" w:w="1382"/>
          </w:tcPr>
          <w:p>
            <w:r/>
            <w:r>
              <w:rPr>
                <w:sz w:val="16"/>
              </w:rPr>
              <w:t>Kit Recognition</w:t>
            </w:r>
          </w:p>
        </w:tc>
        <w:tc>
          <w:tcPr>
            <w:tcW w:type="dxa" w:w="2627"/>
          </w:tcPr>
          <w:p>
            <w:r/>
            <w:r>
              <w:rPr>
                <w:sz w:val="16"/>
              </w:rPr>
              <w:t>Recognised / selected item labels</w:t>
            </w:r>
          </w:p>
        </w:tc>
        <w:tc>
          <w:tcPr>
            <w:tcW w:type="dxa" w:w="1797"/>
          </w:tcPr>
          <w:p>
            <w:r/>
            <w:r>
              <w:rPr>
                <w:sz w:val="16"/>
              </w:rPr>
              <w:t>Non-personal</w:t>
            </w:r>
          </w:p>
        </w:tc>
        <w:tc>
          <w:tcPr>
            <w:tcW w:type="dxa" w:w="2903"/>
          </w:tcPr>
          <w:p>
            <w:r/>
            <w:r>
              <w:rPr>
                <w:sz w:val="16"/>
              </w:rPr>
              <w:t>Filter guidance to available items</w:t>
            </w:r>
          </w:p>
        </w:tc>
        <w:tc>
          <w:tcPr>
            <w:tcW w:type="dxa" w:w="1521"/>
          </w:tcPr>
          <w:p>
            <w:r/>
            <w:r>
              <w:rPr>
                <w:sz w:val="16"/>
              </w:rPr>
              <w:t>Art. 6(1)(f)</w:t>
            </w:r>
          </w:p>
        </w:tc>
        <w:tc>
          <w:tcPr>
            <w:tcW w:type="dxa" w:w="1797"/>
          </w:tcPr>
          <w:p>
            <w:r/>
            <w:r>
              <w:rPr>
                <w:sz w:val="16"/>
              </w:rPr>
              <w:t>Incident lifetime</w:t>
            </w:r>
          </w:p>
        </w:tc>
        <w:tc>
          <w:tcPr>
            <w:tcW w:type="dxa" w:w="1797"/>
          </w:tcPr>
          <w:p>
            <w:r/>
            <w:r>
              <w:rPr>
                <w:sz w:val="16"/>
              </w:rPr>
              <w:t>Yes</w:t>
            </w:r>
          </w:p>
        </w:tc>
      </w:tr>
      <w:tr>
        <w:tc>
          <w:tcPr>
            <w:tcW w:type="dxa" w:w="1382"/>
            <w:shd w:val="clear" w:color="auto" w:fill="F7F3EE"/>
          </w:tcPr>
          <w:p>
            <w:r/>
            <w:r>
              <w:rPr>
                <w:sz w:val="16"/>
              </w:rPr>
              <w:t>Guided First Aid</w:t>
            </w:r>
          </w:p>
        </w:tc>
        <w:tc>
          <w:tcPr>
            <w:tcW w:type="dxa" w:w="2627"/>
            <w:shd w:val="clear" w:color="auto" w:fill="F7F3EE"/>
          </w:tcPr>
          <w:p>
            <w:r/>
            <w:r>
              <w:rPr>
                <w:sz w:val="16"/>
              </w:rPr>
              <w:t>Procedure id + content-pack version</w:t>
            </w:r>
          </w:p>
        </w:tc>
        <w:tc>
          <w:tcPr>
            <w:tcW w:type="dxa" w:w="1797"/>
            <w:shd w:val="clear" w:color="auto" w:fill="F7F3EE"/>
          </w:tcPr>
          <w:p>
            <w:r/>
            <w:r>
              <w:rPr>
                <w:sz w:val="16"/>
              </w:rPr>
              <w:t>Non-personal</w:t>
            </w:r>
          </w:p>
        </w:tc>
        <w:tc>
          <w:tcPr>
            <w:tcW w:type="dxa" w:w="2903"/>
            <w:shd w:val="clear" w:color="auto" w:fill="F7F3EE"/>
          </w:tcPr>
          <w:p>
            <w:r/>
            <w:r>
              <w:rPr>
                <w:sz w:val="16"/>
              </w:rPr>
              <w:t>Traceability of advice given</w:t>
            </w:r>
          </w:p>
        </w:tc>
        <w:tc>
          <w:tcPr>
            <w:tcW w:type="dxa" w:w="1521"/>
            <w:shd w:val="clear" w:color="auto" w:fill="F7F3EE"/>
          </w:tcPr>
          <w:p>
            <w:r/>
            <w:r>
              <w:rPr>
                <w:sz w:val="16"/>
              </w:rPr>
              <w:t>Art. 6(1)(f)</w:t>
            </w:r>
          </w:p>
        </w:tc>
        <w:tc>
          <w:tcPr>
            <w:tcW w:type="dxa" w:w="1797"/>
            <w:shd w:val="clear" w:color="auto" w:fill="F7F3EE"/>
          </w:tcPr>
          <w:p>
            <w:r/>
            <w:r>
              <w:rPr>
                <w:sz w:val="16"/>
              </w:rPr>
              <w:t>Incident lifetime</w:t>
            </w:r>
          </w:p>
        </w:tc>
        <w:tc>
          <w:tcPr>
            <w:tcW w:type="dxa" w:w="1797"/>
            <w:shd w:val="clear" w:color="auto" w:fill="F7F3EE"/>
          </w:tcPr>
          <w:p>
            <w:r/>
            <w:r>
              <w:rPr>
                <w:sz w:val="16"/>
              </w:rPr>
              <w:t>Yes</w:t>
            </w:r>
          </w:p>
        </w:tc>
      </w:tr>
      <w:tr>
        <w:tc>
          <w:tcPr>
            <w:tcW w:type="dxa" w:w="1382"/>
          </w:tcPr>
          <w:p>
            <w:r/>
            <w:r>
              <w:rPr>
                <w:sz w:val="16"/>
              </w:rPr>
              <w:t>Guided First Aid</w:t>
            </w:r>
          </w:p>
        </w:tc>
        <w:tc>
          <w:tcPr>
            <w:tcW w:type="dxa" w:w="2627"/>
          </w:tcPr>
          <w:p>
            <w:r/>
            <w:r>
              <w:rPr>
                <w:sz w:val="16"/>
              </w:rPr>
              <w:t>Step completion events + timestamps</w:t>
            </w:r>
          </w:p>
        </w:tc>
        <w:tc>
          <w:tcPr>
            <w:tcW w:type="dxa" w:w="1797"/>
          </w:tcPr>
          <w:p>
            <w:r/>
            <w:r>
              <w:rPr>
                <w:sz w:val="16"/>
              </w:rPr>
              <w:t>Special-category (treatment record)</w:t>
            </w:r>
          </w:p>
        </w:tc>
        <w:tc>
          <w:tcPr>
            <w:tcW w:type="dxa" w:w="2903"/>
          </w:tcPr>
          <w:p>
            <w:r/>
            <w:r>
              <w:rPr>
                <w:sz w:val="16"/>
              </w:rPr>
              <w:t>Tell rescuers what was already done</w:t>
            </w:r>
          </w:p>
        </w:tc>
        <w:tc>
          <w:tcPr>
            <w:tcW w:type="dxa" w:w="1521"/>
          </w:tcPr>
          <w:p>
            <w:r/>
            <w:r>
              <w:rPr>
                <w:sz w:val="16"/>
              </w:rPr>
              <w:t>Art. 9(2)(c)</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Handoff</w:t>
            </w:r>
          </w:p>
        </w:tc>
        <w:tc>
          <w:tcPr>
            <w:tcW w:type="dxa" w:w="2627"/>
            <w:shd w:val="clear" w:color="auto" w:fill="F7F3EE"/>
          </w:tcPr>
          <w:p>
            <w:r/>
            <w:r>
              <w:rPr>
                <w:sz w:val="16"/>
              </w:rPr>
              <w:t>Aggregated brief (all of the above)</w:t>
            </w:r>
          </w:p>
        </w:tc>
        <w:tc>
          <w:tcPr>
            <w:tcW w:type="dxa" w:w="1797"/>
            <w:shd w:val="clear" w:color="auto" w:fill="F7F3EE"/>
          </w:tcPr>
          <w:p>
            <w:r/>
            <w:r>
              <w:rPr>
                <w:sz w:val="16"/>
              </w:rPr>
              <w:t>Mixed, incl. special-category</w:t>
            </w:r>
          </w:p>
        </w:tc>
        <w:tc>
          <w:tcPr>
            <w:tcW w:type="dxa" w:w="2903"/>
            <w:shd w:val="clear" w:color="auto" w:fill="F7F3EE"/>
          </w:tcPr>
          <w:p>
            <w:r/>
            <w:r>
              <w:rPr>
                <w:sz w:val="16"/>
              </w:rPr>
              <w:t>Give rescuers a complete, accurate picture</w:t>
            </w:r>
          </w:p>
        </w:tc>
        <w:tc>
          <w:tcPr>
            <w:tcW w:type="dxa" w:w="1521"/>
            <w:shd w:val="clear" w:color="auto" w:fill="F7F3EE"/>
          </w:tcPr>
          <w:p>
            <w:r/>
            <w:r>
              <w:rPr>
                <w:sz w:val="16"/>
              </w:rPr>
              <w:t>Art. 6(1)(d) + 9(2)(c)</w:t>
            </w:r>
          </w:p>
        </w:tc>
        <w:tc>
          <w:tcPr>
            <w:tcW w:type="dxa" w:w="1797"/>
            <w:shd w:val="clear" w:color="auto" w:fill="F7F3EE"/>
          </w:tcPr>
          <w:p>
            <w:r/>
            <w:r>
              <w:rPr>
                <w:sz w:val="16"/>
              </w:rPr>
              <w:t>Incident lifetime</w:t>
            </w:r>
          </w:p>
        </w:tc>
        <w:tc>
          <w:tcPr>
            <w:tcW w:type="dxa" w:w="1797"/>
            <w:shd w:val="clear" w:color="auto" w:fill="F7F3EE"/>
          </w:tcPr>
          <w:p>
            <w:r/>
            <w:r>
              <w:rPr>
                <w:sz w:val="16"/>
              </w:rPr>
              <w:t>Leaves device only on explicit share</w:t>
            </w:r>
          </w:p>
        </w:tc>
      </w:tr>
      <w:tr>
        <w:tc>
          <w:tcPr>
            <w:tcW w:type="dxa" w:w="1382"/>
          </w:tcPr>
          <w:p>
            <w:r/>
            <w:r>
              <w:rPr>
                <w:sz w:val="16"/>
              </w:rPr>
              <w:t>Handoff</w:t>
            </w:r>
          </w:p>
        </w:tc>
        <w:tc>
          <w:tcPr>
            <w:tcW w:type="dxa" w:w="2627"/>
          </w:tcPr>
          <w:p>
            <w:r/>
            <w:r>
              <w:rPr>
                <w:sz w:val="16"/>
              </w:rPr>
              <w:t>Reporter name + phone</w:t>
            </w:r>
          </w:p>
        </w:tc>
        <w:tc>
          <w:tcPr>
            <w:tcW w:type="dxa" w:w="1797"/>
          </w:tcPr>
          <w:p>
            <w:r/>
            <w:r>
              <w:rPr>
                <w:sz w:val="16"/>
              </w:rPr>
              <w:t>Ordinary</w:t>
            </w:r>
          </w:p>
        </w:tc>
        <w:tc>
          <w:tcPr>
            <w:tcW w:type="dxa" w:w="2903"/>
          </w:tcPr>
          <w:p>
            <w:r/>
            <w:r>
              <w:rPr>
                <w:sz w:val="16"/>
              </w:rPr>
              <w:t>Allow rescuers to follow up</w:t>
            </w:r>
          </w:p>
        </w:tc>
        <w:tc>
          <w:tcPr>
            <w:tcW w:type="dxa" w:w="1521"/>
          </w:tcPr>
          <w:p>
            <w:r/>
            <w:r>
              <w:rPr>
                <w:sz w:val="16"/>
              </w:rPr>
              <w:t>Art. 6(1)(d)</w:t>
            </w:r>
          </w:p>
        </w:tc>
        <w:tc>
          <w:tcPr>
            <w:tcW w:type="dxa" w:w="1797"/>
          </w:tcPr>
          <w:p>
            <w:r/>
            <w:r>
              <w:rPr>
                <w:sz w:val="16"/>
              </w:rPr>
              <w:t>Incident lifetime</w:t>
            </w:r>
          </w:p>
        </w:tc>
        <w:tc>
          <w:tcPr>
            <w:tcW w:type="dxa" w:w="1797"/>
          </w:tcPr>
          <w:p>
            <w:r/>
            <w:r>
              <w:rPr>
                <w:sz w:val="16"/>
              </w:rPr>
              <w:t>Until shared</w:t>
            </w:r>
          </w:p>
        </w:tc>
      </w:tr>
      <w:tr>
        <w:tc>
          <w:tcPr>
            <w:tcW w:type="dxa" w:w="1382"/>
            <w:shd w:val="clear" w:color="auto" w:fill="F7F3EE"/>
          </w:tcPr>
          <w:p>
            <w:r/>
            <w:r>
              <w:rPr>
                <w:sz w:val="16"/>
              </w:rPr>
              <w:t>Review</w:t>
            </w:r>
          </w:p>
        </w:tc>
        <w:tc>
          <w:tcPr>
            <w:tcW w:type="dxa" w:w="2627"/>
            <w:shd w:val="clear" w:color="auto" w:fill="F7F3EE"/>
          </w:tcPr>
          <w:p>
            <w:r/>
            <w:r>
              <w:rPr>
                <w:sz w:val="16"/>
              </w:rPr>
              <w:t>Retention preference</w:t>
            </w:r>
          </w:p>
        </w:tc>
        <w:tc>
          <w:tcPr>
            <w:tcW w:type="dxa" w:w="1797"/>
            <w:shd w:val="clear" w:color="auto" w:fill="F7F3EE"/>
          </w:tcPr>
          <w:p>
            <w:r/>
            <w:r>
              <w:rPr>
                <w:sz w:val="16"/>
              </w:rPr>
              <w:t>Non-personal</w:t>
            </w:r>
          </w:p>
        </w:tc>
        <w:tc>
          <w:tcPr>
            <w:tcW w:type="dxa" w:w="2903"/>
            <w:shd w:val="clear" w:color="auto" w:fill="F7F3EE"/>
          </w:tcPr>
          <w:p>
            <w:r/>
            <w:r>
              <w:rPr>
                <w:sz w:val="16"/>
              </w:rPr>
              <w:t>Honour storage limitation</w:t>
            </w:r>
          </w:p>
        </w:tc>
        <w:tc>
          <w:tcPr>
            <w:tcW w:type="dxa" w:w="1521"/>
            <w:shd w:val="clear" w:color="auto" w:fill="F7F3EE"/>
          </w:tcPr>
          <w:p>
            <w:r/>
            <w:r>
              <w:rPr>
                <w:sz w:val="16"/>
              </w:rPr>
              <w:t>Art. 6(1)(f)</w:t>
            </w:r>
          </w:p>
        </w:tc>
        <w:tc>
          <w:tcPr>
            <w:tcW w:type="dxa" w:w="1797"/>
            <w:shd w:val="clear" w:color="auto" w:fill="F7F3EE"/>
          </w:tcPr>
          <w:p>
            <w:r/>
            <w:r>
              <w:rPr>
                <w:sz w:val="16"/>
              </w:rPr>
              <w:t>Until changed</w:t>
            </w:r>
          </w:p>
        </w:tc>
        <w:tc>
          <w:tcPr>
            <w:tcW w:type="dxa" w:w="1797"/>
            <w:shd w:val="clear" w:color="auto" w:fill="F7F3EE"/>
          </w:tcPr>
          <w:p>
            <w:r/>
            <w:r>
              <w:rPr>
                <w:sz w:val="16"/>
              </w:rPr>
              <w:t>Yes</w:t>
            </w:r>
          </w:p>
        </w:tc>
      </w:tr>
      <w:tr>
        <w:tc>
          <w:tcPr>
            <w:tcW w:type="dxa" w:w="1382"/>
          </w:tcPr>
          <w:p>
            <w:r/>
            <w:r>
              <w:rPr>
                <w:sz w:val="16"/>
              </w:rPr>
              <w:t>Review → archive</w:t>
            </w:r>
          </w:p>
        </w:tc>
        <w:tc>
          <w:tcPr>
            <w:tcW w:type="dxa" w:w="2627"/>
          </w:tcPr>
          <w:p>
            <w:r/>
            <w:r>
              <w:rPr>
                <w:sz w:val="16"/>
              </w:rPr>
              <w:t>Full incident record (opt-in)</w:t>
            </w:r>
          </w:p>
        </w:tc>
        <w:tc>
          <w:tcPr>
            <w:tcW w:type="dxa" w:w="1797"/>
          </w:tcPr>
          <w:p>
            <w:r/>
            <w:r>
              <w:rPr>
                <w:sz w:val="16"/>
              </w:rPr>
              <w:t>Mixed, incl. special-category</w:t>
            </w:r>
          </w:p>
        </w:tc>
        <w:tc>
          <w:tcPr>
            <w:tcW w:type="dxa" w:w="2903"/>
          </w:tcPr>
          <w:p>
            <w:r/>
            <w:r>
              <w:rPr>
                <w:sz w:val="16"/>
              </w:rPr>
              <w:t>Let the user keep a durable copy</w:t>
            </w:r>
          </w:p>
        </w:tc>
        <w:tc>
          <w:tcPr>
            <w:tcW w:type="dxa" w:w="1521"/>
          </w:tcPr>
          <w:p>
            <w:r/>
            <w:r>
              <w:rPr>
                <w:sz w:val="16"/>
              </w:rPr>
              <w:t>Art. 6(1)(d), Arts. 15–18 rights</w:t>
            </w:r>
          </w:p>
        </w:tc>
        <w:tc>
          <w:tcPr>
            <w:tcW w:type="dxa" w:w="1797"/>
          </w:tcPr>
          <w:p>
            <w:r/>
            <w:r>
              <w:rPr>
                <w:sz w:val="16"/>
              </w:rPr>
              <w:t>Until user deletes it from their account</w:t>
            </w:r>
          </w:p>
        </w:tc>
        <w:tc>
          <w:tcPr>
            <w:tcW w:type="dxa" w:w="1797"/>
          </w:tcPr>
          <w:p>
            <w:r/>
            <w:r>
              <w:rPr>
                <w:sz w:val="16"/>
              </w:rPr>
              <w:t>Sent to the user's own account on explicit action</w:t>
            </w:r>
          </w:p>
        </w:tc>
      </w:tr>
      <w:tr>
        <w:tc>
          <w:tcPr>
            <w:tcW w:type="dxa" w:w="1382"/>
            <w:shd w:val="clear" w:color="auto" w:fill="F7F3EE"/>
          </w:tcPr>
          <w:p>
            <w:r/>
            <w:r>
              <w:rPr>
                <w:sz w:val="16"/>
              </w:rPr>
              <w:t>My Kits</w:t>
            </w:r>
          </w:p>
        </w:tc>
        <w:tc>
          <w:tcPr>
            <w:tcW w:type="dxa" w:w="2627"/>
            <w:shd w:val="clear" w:color="auto" w:fill="F7F3EE"/>
          </w:tcPr>
          <w:p>
            <w:r/>
            <w:r>
              <w:rPr>
                <w:sz w:val="16"/>
              </w:rPr>
              <w:t>Kit type, label, contents, missing items</w:t>
            </w:r>
          </w:p>
        </w:tc>
        <w:tc>
          <w:tcPr>
            <w:tcW w:type="dxa" w:w="1797"/>
            <w:shd w:val="clear" w:color="auto" w:fill="F7F3EE"/>
          </w:tcPr>
          <w:p>
            <w:r/>
            <w:r>
              <w:rPr>
                <w:sz w:val="16"/>
              </w:rPr>
              <w:t>Ordinary (weakly identifying)</w:t>
            </w:r>
          </w:p>
        </w:tc>
        <w:tc>
          <w:tcPr>
            <w:tcW w:type="dxa" w:w="2903"/>
            <w:shd w:val="clear" w:color="auto" w:fill="F7F3EE"/>
          </w:tcPr>
          <w:p>
            <w:r/>
            <w:r>
              <w:rPr>
                <w:sz w:val="16"/>
              </w:rPr>
              <w:t>Pre-load expected inventory; prompt restocking</w:t>
            </w:r>
          </w:p>
        </w:tc>
        <w:tc>
          <w:tcPr>
            <w:tcW w:type="dxa" w:w="1521"/>
            <w:shd w:val="clear" w:color="auto" w:fill="F7F3EE"/>
          </w:tcPr>
          <w:p>
            <w:r/>
            <w:r>
              <w:rPr>
                <w:sz w:val="16"/>
              </w:rPr>
              <w:t>Art. 6(1)(a)</w:t>
            </w:r>
          </w:p>
        </w:tc>
        <w:tc>
          <w:tcPr>
            <w:tcW w:type="dxa" w:w="1797"/>
            <w:shd w:val="clear" w:color="auto" w:fill="F7F3EE"/>
          </w:tcPr>
          <w:p>
            <w:r/>
            <w:r>
              <w:rPr>
                <w:sz w:val="16"/>
              </w:rPr>
              <w:t>Until deleted by user</w:t>
            </w:r>
          </w:p>
        </w:tc>
        <w:tc>
          <w:tcPr>
            <w:tcW w:type="dxa" w:w="1797"/>
            <w:shd w:val="clear" w:color="auto" w:fill="F7F3EE"/>
          </w:tcPr>
          <w:p>
            <w:r/>
            <w:r>
              <w:rPr>
                <w:sz w:val="16"/>
              </w:rPr>
              <w:t>Account-backed by design</w:t>
            </w:r>
          </w:p>
        </w:tc>
      </w:tr>
    </w:tbl>
    <w:p>
      <w:pPr>
        <w:spacing w:after="80"/>
      </w:pPr>
    </w:p>
    <w:p>
      <w:r>
        <w:br w:type="page"/>
      </w:r>
    </w:p>
    <w:p>
      <w:pPr>
        <w:pStyle w:val="Heading1"/>
      </w:pPr>
      <w:r>
        <w:t>Appendix B — Quick Reference: GDPR Lawful Bases Used in ResQKit</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2304"/>
            <w:shd w:val="clear" w:color="auto" w:fill="B8572E"/>
          </w:tcPr>
          <w:p>
            <w:r/>
            <w:r>
              <w:rPr>
                <w:b/>
                <w:color w:val="FFFFFF"/>
                <w:sz w:val="18"/>
              </w:rPr>
              <w:t>Basis</w:t>
            </w:r>
          </w:p>
        </w:tc>
        <w:tc>
          <w:tcPr>
            <w:tcW w:type="dxa" w:w="3024"/>
            <w:shd w:val="clear" w:color="auto" w:fill="B8572E"/>
          </w:tcPr>
          <w:p>
            <w:r/>
            <w:r>
              <w:rPr>
                <w:b/>
                <w:color w:val="FFFFFF"/>
                <w:sz w:val="18"/>
              </w:rPr>
              <w:t>Article</w:t>
            </w:r>
          </w:p>
        </w:tc>
        <w:tc>
          <w:tcPr>
            <w:tcW w:type="dxa" w:w="4608"/>
            <w:shd w:val="clear" w:color="auto" w:fill="B8572E"/>
          </w:tcPr>
          <w:p>
            <w:r/>
            <w:r>
              <w:rPr>
                <w:b/>
                <w:color w:val="FFFFFF"/>
                <w:sz w:val="18"/>
              </w:rPr>
              <w:t>Used for</w:t>
            </w:r>
          </w:p>
        </w:tc>
      </w:tr>
      <w:tr>
        <w:tc>
          <w:tcPr>
            <w:tcW w:type="dxa" w:w="2304"/>
          </w:tcPr>
          <w:p>
            <w:r/>
            <w:r>
              <w:rPr>
                <w:sz w:val="18"/>
              </w:rPr>
              <w:t>Consent</w:t>
            </w:r>
          </w:p>
        </w:tc>
        <w:tc>
          <w:tcPr>
            <w:tcW w:type="dxa" w:w="3024"/>
          </w:tcPr>
          <w:p>
            <w:r/>
            <w:r>
              <w:rPr>
                <w:sz w:val="18"/>
              </w:rPr>
              <w:t>Art. 6(1)(a) / 9(2)(a) for special-category data</w:t>
            </w:r>
          </w:p>
        </w:tc>
        <w:tc>
          <w:tcPr>
            <w:tcW w:type="dxa" w:w="4608"/>
          </w:tcPr>
          <w:p>
            <w:r/>
            <w:r>
              <w:rPr>
                <w:sz w:val="18"/>
              </w:rPr>
              <w:t>Health-data toggle and Safety Profile; My Kits (identifies the user's own equipment)</w:t>
            </w:r>
          </w:p>
        </w:tc>
      </w:tr>
      <w:tr>
        <w:tc>
          <w:tcPr>
            <w:tcW w:type="dxa" w:w="2304"/>
            <w:shd w:val="clear" w:color="auto" w:fill="F7F3EE"/>
          </w:tcPr>
          <w:p>
            <w:r/>
            <w:r>
              <w:rPr>
                <w:sz w:val="18"/>
              </w:rPr>
              <w:t>Vital interests</w:t>
            </w:r>
          </w:p>
        </w:tc>
        <w:tc>
          <w:tcPr>
            <w:tcW w:type="dxa" w:w="3024"/>
            <w:shd w:val="clear" w:color="auto" w:fill="F7F3EE"/>
          </w:tcPr>
          <w:p>
            <w:r/>
            <w:r>
              <w:rPr>
                <w:sz w:val="18"/>
              </w:rPr>
              <w:t>Art. 6(1)(d) / 9(2)(c) for special-category data</w:t>
            </w:r>
          </w:p>
        </w:tc>
        <w:tc>
          <w:tcPr>
            <w:tcW w:type="dxa" w:w="4608"/>
            <w:shd w:val="clear" w:color="auto" w:fill="F7F3EE"/>
          </w:tcPr>
          <w:p>
            <w:r/>
            <w:r>
              <w:rPr>
                <w:sz w:val="18"/>
              </w:rPr>
              <w:t>The entire emergency flow: context, location, triage, hazards, kit, guided first aid, handoff</w:t>
            </w:r>
          </w:p>
        </w:tc>
      </w:tr>
      <w:tr>
        <w:tc>
          <w:tcPr>
            <w:tcW w:type="dxa" w:w="2304"/>
          </w:tcPr>
          <w:p>
            <w:r/>
            <w:r>
              <w:rPr>
                <w:sz w:val="18"/>
              </w:rPr>
              <w:t>Legitimate interests</w:t>
            </w:r>
          </w:p>
        </w:tc>
        <w:tc>
          <w:tcPr>
            <w:tcW w:type="dxa" w:w="3024"/>
          </w:tcPr>
          <w:p>
            <w:r/>
            <w:r>
              <w:rPr>
                <w:sz w:val="18"/>
              </w:rPr>
              <w:t>Art. 6(1)(f)</w:t>
            </w:r>
          </w:p>
        </w:tc>
        <w:tc>
          <w:tcPr>
            <w:tcW w:type="dxa" w:w="4608"/>
          </w:tcPr>
          <w:p>
            <w:r/>
            <w:r>
              <w:rPr>
                <w:sz w:val="18"/>
              </w:rPr>
              <w:t>Local-only operational data: last-used context, retention preference, consent audit trail, content-pack version display</w:t>
            </w:r>
          </w:p>
        </w:tc>
      </w:tr>
      <w:tr>
        <w:tc>
          <w:tcPr>
            <w:tcW w:type="dxa" w:w="2304"/>
            <w:shd w:val="clear" w:color="auto" w:fill="F7F3EE"/>
          </w:tcPr>
          <w:p>
            <w:r/>
            <w:r>
              <w:rPr>
                <w:sz w:val="18"/>
              </w:rPr>
              <w:t>Data subject rights</w:t>
            </w:r>
          </w:p>
        </w:tc>
        <w:tc>
          <w:tcPr>
            <w:tcW w:type="dxa" w:w="3024"/>
            <w:shd w:val="clear" w:color="auto" w:fill="F7F3EE"/>
          </w:tcPr>
          <w:p>
            <w:r/>
            <w:r>
              <w:rPr>
                <w:sz w:val="18"/>
              </w:rPr>
              <w:t>Art. 15–18</w:t>
            </w:r>
          </w:p>
        </w:tc>
        <w:tc>
          <w:tcPr>
            <w:tcW w:type="dxa" w:w="4608"/>
            <w:shd w:val="clear" w:color="auto" w:fill="F7F3EE"/>
          </w:tcPr>
          <w:p>
            <w:r/>
            <w:r>
              <w:rPr>
                <w:sz w:val="18"/>
              </w:rPr>
              <w:t>Operationalised entirely on the Review screen (Section 8): access, rectification, erasure, restriction</w:t>
            </w:r>
          </w:p>
        </w:tc>
      </w:tr>
    </w:tbl>
    <w:p>
      <w:pPr>
        <w:spacing w:after="80"/>
      </w:pP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5B4D"/>
        <w:sz w:val="17"/>
      </w:rPr>
    </w:r>
    <w:r>
      <w:rPr>
        <w:color w:val="6B5B4D"/>
        <w:sz w:val="17"/>
      </w:rPr>
      <w:t xml:space="preserve">ResQKit User Manual — Page </w:t>
    </w:r>
    <w:r>
      <w:rPr>
        <w:color w:val="6B5B4D"/>
        <w:sz w:val="17"/>
      </w:rPr>
      <w:fldChar w:fldCharType="begin"/>
      <w:instrText xml:space="preserve">PAGE</w:instrText>
      <w:fldChar w:fldCharType="end"/>
    </w:r>
    <w:r>
      <w:rPr>
        <w:color w:val="6B5B4D"/>
        <w:sz w:val="17"/>
      </w:rPr>
      <w:t xml:space="preserve"> of </w:t>
    </w:r>
    <w:r>
      <w:rPr>
        <w:color w:val="6B5B4D"/>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3A24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Georgia" w:hAnsi="Georgia"/>
      <w:b/>
      <w:bCs/>
      <w:i w:val="0"/>
      <w:color w:val="B8572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b/>
      <w:bCs/>
      <w:i w:val="0"/>
      <w:color w:val="B8572E"/>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Georgia" w:hAnsi="Georgia"/>
      <w:b/>
      <w:bCs/>
      <w:i w:val="0"/>
      <w:color w:val="3A2415"/>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Georgia" w:hAnsi="Georgia"/>
      <w:b/>
      <w:bCs/>
      <w:i w:val="0"/>
      <w:iCs/>
      <w:color w:val="3A241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otoCaption">
    <w:name w:val="PhotoCaption"/>
    <w:pPr>
      <w:spacing w:after="280"/>
      <w:jc w:val="center"/>
    </w:pPr>
    <w:rPr>
      <w:rFonts w:ascii="Calibri" w:hAnsi="Calibri"/>
      <w:i/>
      <w:color w:val="6B5B4D"/>
      <w:sz w:val="18"/>
    </w:rPr>
  </w:style>
  <w:style w:type="paragraph" w:customStyle="1" w:styleId="Callout">
    <w:name w:val="Callout"/>
    <w:pPr>
      <w:spacing w:before="80" w:after="200"/>
      <w:ind w:left="170" w:right="170"/>
    </w:pPr>
    <w:rPr>
      <w:rFonts w:ascii="Calibri" w:hAnsi="Calibri"/>
      <w:color w:val="3A2415"/>
      <w:sz w:val="20"/>
    </w:rPr>
  </w:style>
  <w:style w:type="paragraph" w:customStyle="1" w:styleId="LegalBasis">
    <w:name w:val="LegalBasis"/>
    <w:pPr>
      <w:spacing w:before="80" w:after="200"/>
      <w:ind w:left="170" w:right="170"/>
    </w:pPr>
    <w:rPr>
      <w:rFonts w:ascii="Calibri" w:hAnsi="Calibri"/>
      <w:color w:val="4B5A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