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source serif 4" w:cs="source serif 4" w:ascii="source serif 4" w:hAnsi="source serif 4"/>
          <w:color w:val="000000"/>
        </w:rPr>
        <w:drawing>
          <wp:inline distB="0" distL="0" distR="0" distT="0">
            <wp:extent cx="2420112" cy="609600"/>
            <wp:effectExtent b="0" l="0" r="0" t="0"/>
            <wp:docPr id="1" name="image-caddef29c550d11b72ab41a083af646b9633d639.png"/>
            <a:graphic>
              <a:graphicData uri="http://schemas.openxmlformats.org/drawingml/2006/picture">
                <pic:pic>
                  <pic:nvPicPr>
                    <pic:cNvPr id="1" name="image-caddef29c550d11b72ab41a083af646b9633d639.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how_can_an_accept_be_received_fro_5657a3"/>
      <w:r>
        <w:rPr>
          <w:rFonts w:eastAsia="source serif 4" w:cs="source serif 4" w:ascii="source serif 4" w:hAnsi="source serif 4"/>
          <w:b/>
          <w:color w:val="000000"/>
          <w:sz w:val="39"/>
        </w:rPr>
        <w:t xml:space="preserve">How can an accept be received from an victim of an accident? How to help without accept?</w:t>
      </w:r>
      <w:bookmarkEnd w:id="0"/>
    </w:p>
    <w:p>
      <w:pPr>
        <w:spacing w:line="360" w:after="210" w:lineRule="auto"/>
      </w:pPr>
      <w:r>
        <w:rPr>
          <w:rFonts w:eastAsia="source serif 4" w:cs="source serif 4" w:ascii="source serif 4" w:hAnsi="source serif 4"/>
          <w:color w:val="000000"/>
        </w:rPr>
        <w:t xml:space="preserve">Consent from an accident victim can be obtained explicitly (verbal or gesture) when they're conscious, but when they can't respond, first aid law recognizes "implied consent" that lets you act anyway to save life or limb.</w:t>
      </w:r>
    </w:p>
    <w:p>
      <w:pPr>
        <w:spacing w:line="360" w:before="315" w:after="105" w:lineRule="auto"/>
        <w:ind w:left="-30"/>
        <w:jc w:val="left"/>
      </w:pPr>
      <w:bookmarkStart w:id="1" w:name="how_to_get_consent_from_a_conscio_983753"/>
      <w:r>
        <w:rPr>
          <w:rFonts w:eastAsia="source serif 4" w:cs="source serif 4" w:ascii="source serif 4" w:hAnsi="source serif 4"/>
          <w:b/>
          <w:color w:val="000000"/>
          <w:sz w:val="24"/>
        </w:rPr>
        <w:t xml:space="preserve">How to Get Consent from a Conscious Victim</w:t>
      </w:r>
      <w:bookmarkEnd w:id="1"/>
    </w:p>
    <w:p>
      <w:pPr>
        <w:spacing w:line="360" w:after="210" w:lineRule="auto"/>
      </w:pPr>
      <w:r>
        <w:rPr>
          <w:rFonts w:eastAsia="source serif 4" w:cs="source serif 4" w:ascii="source serif 4" w:hAnsi="source serif 4"/>
          <w:color w:val="000000"/>
        </w:rPr>
        <w:t xml:space="preserve">There are two practical forms of consent you should seek before touching or treating someone, depending on their state.</w:t>
      </w:r>
    </w:p>
    <w:p>
      <w:pPr>
        <w:numPr>
          <w:ilvl w:val="0"/>
          <w:numId w:val="1"/>
        </w:numPr>
        <w:spacing w:line="360" w:before="105" w:after="105" w:lineRule="auto"/>
      </w:pPr>
      <w:r>
        <w:rPr>
          <w:rFonts w:eastAsia="source serif 4" w:cs="source serif 4" w:ascii="source serif 4" w:hAnsi="source serif 4"/>
          <w:b/>
          <w:color w:val="000000"/>
          <w:sz w:val="21"/>
        </w:rPr>
        <w:t xml:space="preserve">Informed/expressed consent:</w:t>
      </w:r>
      <w:r>
        <w:rPr>
          <w:rFonts w:eastAsia="source serif 4" w:cs="source serif 4" w:ascii="source serif 4" w:hAnsi="source serif 4"/>
          <w:color w:val="000000"/>
          <w:sz w:val="21"/>
        </w:rPr>
        <w:t xml:space="preserve"> The victim is conscious and able to communicate; you introduce yourself, briefly explain what you observe and what you plan to do, and ask a direct question like "Can I help you?" or "Is it okay if I check this?" — a verbal "yes" or a clear gesture (nod, offered arm) counts.</w:t>
      </w:r>
      <w:bookmarkStart w:id="2" w:name="fnref1"/>
      <w:bookmarkEnd w:id="2"/>
      <w:hyperlink w:anchor="fn1">
        <w:r>
          <w:rPr>
            <w:rFonts w:eastAsia="source sans 3" w:cs="source sans 3" w:ascii="source sans 3" w:hAnsi="source sans 3"/>
            <w:color w:val="#000"/>
            <w:sz w:val="21"/>
            <w:u w:val="single"/>
            <w:vertAlign w:val="superscript"/>
          </w:rPr>
          <w:t xml:space="preserve">[1]</w:t>
        </w:r>
      </w:hyperlink>
      <w:bookmarkStart w:id="3" w:name="fnref2"/>
      <w:bookmarkEnd w:id="3"/>
      <w:hyperlink w:anchor="fn2">
        <w:r>
          <w:rPr>
            <w:rFonts w:eastAsia="source sans 3" w:cs="source sans 3" w:ascii="source sans 3" w:hAnsi="source sans 3"/>
            <w:color w:val="#000"/>
            <w:sz w:val="21"/>
            <w:u w:val="single"/>
            <w:vertAlign w:val="superscript"/>
          </w:rPr>
          <w:t xml:space="preserve">[2]</w:t>
        </w:r>
      </w:hyperlink>
    </w:p>
    <w:p>
      <w:pPr>
        <w:numPr>
          <w:ilvl w:val="0"/>
          <w:numId w:val="1"/>
        </w:numPr>
        <w:spacing w:line="360" w:before="105" w:after="105" w:lineRule="auto"/>
      </w:pPr>
      <w:r>
        <w:rPr>
          <w:rFonts w:eastAsia="source serif 4" w:cs="source serif 4" w:ascii="source serif 4" w:hAnsi="source serif 4"/>
          <w:b/>
          <w:color w:val="000000"/>
          <w:sz w:val="21"/>
        </w:rPr>
        <w:t xml:space="preserve">Non-verbal/expressed consent:</w:t>
      </w:r>
      <w:r>
        <w:rPr>
          <w:rFonts w:eastAsia="source serif 4" w:cs="source serif 4" w:ascii="source serif 4" w:hAnsi="source serif 4"/>
          <w:color w:val="000000"/>
          <w:sz w:val="21"/>
        </w:rPr>
        <w:t xml:space="preserve"> If the victim can't speak but is alert, gestures like nodding, pointing, or reaching toward you serve as valid consent.</w:t>
      </w:r>
      <w:bookmarkStart w:id="4" w:name="fnref3"/>
      <w:bookmarkEnd w:id="4"/>
      <w:hyperlink w:anchor="fn3">
        <w:r>
          <w:rPr>
            <w:rFonts w:eastAsia="source sans 3" w:cs="source sans 3" w:ascii="source sans 3" w:hAnsi="source sans 3"/>
            <w:color w:val="#000"/>
            <w:sz w:val="21"/>
            <w:u w:val="single"/>
            <w:vertAlign w:val="superscript"/>
          </w:rPr>
          <w:t xml:space="preserve">[3]</w:t>
        </w:r>
      </w:hyperlink>
    </w:p>
    <w:p>
      <w:pPr>
        <w:numPr>
          <w:ilvl w:val="0"/>
          <w:numId w:val="1"/>
        </w:numPr>
        <w:spacing w:line="360" w:before="105" w:after="105" w:lineRule="auto"/>
      </w:pPr>
      <w:r>
        <w:rPr>
          <w:rFonts w:eastAsia="source serif 4" w:cs="source serif 4" w:ascii="source serif 4" w:hAnsi="source serif 4"/>
          <w:b/>
          <w:color w:val="000000"/>
          <w:sz w:val="21"/>
        </w:rPr>
        <w:t xml:space="preserve">Respecting refusal:</w:t>
      </w:r>
      <w:r>
        <w:rPr>
          <w:rFonts w:eastAsia="source serif 4" w:cs="source serif 4" w:ascii="source serif 4" w:hAnsi="source serif 4"/>
          <w:color w:val="000000"/>
          <w:sz w:val="21"/>
        </w:rPr>
        <w:t xml:space="preserve"> If a competent, oriented adult says no, you must stop and step back — continuing would legally amount to battery — but you can stay nearby, explain calmly, and re-offer if they seem to misunderstand the situation.</w:t>
      </w:r>
      <w:bookmarkStart w:id="5" w:name="fnref4"/>
      <w:bookmarkEnd w:id="5"/>
      <w:hyperlink w:anchor="fn4">
        <w:r>
          <w:rPr>
            <w:rFonts w:eastAsia="source sans 3" w:cs="source sans 3" w:ascii="source sans 3" w:hAnsi="source sans 3"/>
            <w:color w:val="#000"/>
            <w:sz w:val="21"/>
            <w:u w:val="single"/>
            <w:vertAlign w:val="superscript"/>
          </w:rPr>
          <w:t xml:space="preserve">[4]</w:t>
        </w:r>
      </w:hyperlink>
      <w:bookmarkStart w:id="6" w:name="fnref1_1"/>
      <w:bookmarkEnd w:id="6"/>
      <w:hyperlink w:anchor="fn1">
        <w:r>
          <w:rPr>
            <w:rFonts w:eastAsia="source sans 3" w:cs="source sans 3" w:ascii="source sans 3" w:hAnsi="source sans 3"/>
            <w:color w:val="#000"/>
            <w:sz w:val="21"/>
            <w:u w:val="single"/>
            <w:vertAlign w:val="superscript"/>
          </w:rPr>
          <w:t xml:space="preserve">[1]</w:t>
        </w:r>
      </w:hyperlink>
    </w:p>
    <w:p>
      <w:pPr>
        <w:spacing w:line="360" w:before="315" w:after="105" w:lineRule="auto"/>
        <w:ind w:left="-30"/>
        <w:jc w:val="left"/>
      </w:pPr>
      <w:bookmarkStart w:id="7" w:name="how_to_help_without_consent"/>
      <w:r>
        <w:rPr>
          <w:rFonts w:eastAsia="source serif 4" w:cs="source serif 4" w:ascii="source serif 4" w:hAnsi="source serif 4"/>
          <w:b/>
          <w:color w:val="000000"/>
          <w:sz w:val="24"/>
        </w:rPr>
        <w:t xml:space="preserve">How to Help Without Consent</w:t>
      </w:r>
      <w:bookmarkEnd w:id="7"/>
    </w:p>
    <w:p>
      <w:pPr>
        <w:spacing w:line="360" w:after="210" w:lineRule="auto"/>
      </w:pPr>
      <w:r>
        <w:rPr>
          <w:rFonts w:eastAsia="source serif 4" w:cs="source serif 4" w:ascii="source serif 4" w:hAnsi="source serif 4"/>
          <w:color w:val="000000"/>
        </w:rPr>
        <w:t xml:space="preserve">When a victim cannot give consent — because they're unconscious, in shock, confused, or otherwise incapacitated — the law and first-aid protocols apply "implied consent," assuming a reasonable person would want life-saving help in that situation.</w:t>
      </w:r>
    </w:p>
    <w:p>
      <w:pPr>
        <w:numPr>
          <w:ilvl w:val="0"/>
          <w:numId w:val="2"/>
        </w:numPr>
        <w:spacing w:line="360" w:before="105" w:after="105" w:lineRule="auto"/>
      </w:pPr>
      <w:r>
        <w:rPr>
          <w:rFonts w:eastAsia="source serif 4" w:cs="source serif 4" w:ascii="source serif 4" w:hAnsi="source serif 4"/>
          <w:b/>
          <w:color w:val="000000"/>
          <w:sz w:val="21"/>
        </w:rPr>
        <w:t xml:space="preserve">Implied consent applies when:</w:t>
      </w:r>
      <w:r>
        <w:rPr>
          <w:rFonts w:eastAsia="source serif 4" w:cs="source serif 4" w:ascii="source serif 4" w:hAnsi="source serif 4"/>
          <w:color w:val="000000"/>
          <w:sz w:val="21"/>
        </w:rPr>
        <w:t xml:space="preserve"> the person is unconscious, has severely reduced consciousness, or is a minor with no parent/guardian present in a life-threatening emergency — you're permitted to act immediately without asking.</w:t>
      </w:r>
      <w:bookmarkStart w:id="8" w:name="fnref2_1"/>
      <w:bookmarkEnd w:id="8"/>
      <w:hyperlink w:anchor="fn2">
        <w:r>
          <w:rPr>
            <w:rFonts w:eastAsia="source sans 3" w:cs="source sans 3" w:ascii="source sans 3" w:hAnsi="source sans 3"/>
            <w:color w:val="#000"/>
            <w:sz w:val="21"/>
            <w:u w:val="single"/>
            <w:vertAlign w:val="superscript"/>
          </w:rPr>
          <w:t xml:space="preserve">[2]</w:t>
        </w:r>
      </w:hyperlink>
      <w:bookmarkStart w:id="9" w:name="fnref5"/>
      <w:bookmarkEnd w:id="9"/>
      <w:hyperlink w:anchor="fn5">
        <w:r>
          <w:rPr>
            <w:rFonts w:eastAsia="source sans 3" w:cs="source sans 3" w:ascii="source sans 3" w:hAnsi="source sans 3"/>
            <w:color w:val="#000"/>
            <w:sz w:val="21"/>
            <w:u w:val="single"/>
            <w:vertAlign w:val="superscript"/>
          </w:rPr>
          <w:t xml:space="preserve">[5]</w:t>
        </w:r>
      </w:hyperlink>
      <w:bookmarkStart w:id="10" w:name="fnref6"/>
      <w:bookmarkEnd w:id="10"/>
      <w:hyperlink w:anchor="fn6">
        <w:r>
          <w:rPr>
            <w:rFonts w:eastAsia="source sans 3" w:cs="source sans 3" w:ascii="source sans 3" w:hAnsi="source sans 3"/>
            <w:color w:val="#000"/>
            <w:sz w:val="21"/>
            <w:u w:val="single"/>
            <w:vertAlign w:val="superscript"/>
          </w:rPr>
          <w:t xml:space="preserve">[6]</w:t>
        </w:r>
      </w:hyperlink>
    </w:p>
    <w:p>
      <w:pPr>
        <w:numPr>
          <w:ilvl w:val="0"/>
          <w:numId w:val="2"/>
        </w:numPr>
        <w:spacing w:line="360" w:before="105" w:after="105" w:lineRule="auto"/>
      </w:pPr>
      <w:r>
        <w:rPr>
          <w:rFonts w:eastAsia="source serif 4" w:cs="source serif 4" w:ascii="source serif 4" w:hAnsi="source serif 4"/>
          <w:b/>
          <w:color w:val="000000"/>
          <w:sz w:val="21"/>
        </w:rPr>
        <w:t xml:space="preserve">What "reasonable action" looks like:</w:t>
      </w:r>
      <w:r>
        <w:rPr>
          <w:rFonts w:eastAsia="source serif 4" w:cs="source serif 4" w:ascii="source serif 4" w:hAnsi="source serif 4"/>
          <w:color w:val="000000"/>
          <w:sz w:val="21"/>
        </w:rPr>
        <w:t xml:space="preserve"> stop severe bleeding with direct pressure, check breathing/airway, keep them still and warm, avoid moving them unless there's immediate danger (fire, traffic), and don't give food, drink, or medication.</w:t>
      </w:r>
      <w:bookmarkStart w:id="11" w:name="fnref7"/>
      <w:bookmarkEnd w:id="11"/>
      <w:hyperlink w:anchor="fn7">
        <w:r>
          <w:rPr>
            <w:rFonts w:eastAsia="source sans 3" w:cs="source sans 3" w:ascii="source sans 3" w:hAnsi="source sans 3"/>
            <w:color w:val="#000"/>
            <w:sz w:val="21"/>
            <w:u w:val="single"/>
            <w:vertAlign w:val="superscript"/>
          </w:rPr>
          <w:t xml:space="preserve">[7]</w:t>
        </w:r>
      </w:hyperlink>
      <w:bookmarkStart w:id="12" w:name="fnref8"/>
      <w:bookmarkEnd w:id="12"/>
      <w:hyperlink w:anchor="fn8">
        <w:r>
          <w:rPr>
            <w:rFonts w:eastAsia="source sans 3" w:cs="source sans 3" w:ascii="source sans 3" w:hAnsi="source sans 3"/>
            <w:color w:val="#000"/>
            <w:sz w:val="21"/>
            <w:u w:val="single"/>
            <w:vertAlign w:val="superscript"/>
          </w:rPr>
          <w:t xml:space="preserve">[8]</w:t>
        </w:r>
      </w:hyperlink>
    </w:p>
    <w:p>
      <w:pPr>
        <w:numPr>
          <w:ilvl w:val="0"/>
          <w:numId w:val="2"/>
        </w:numPr>
        <w:spacing w:line="360" w:before="105" w:after="105" w:lineRule="auto"/>
      </w:pPr>
      <w:r>
        <w:rPr>
          <w:rFonts w:eastAsia="source serif 4" w:cs="source serif 4" w:ascii="source serif 4" w:hAnsi="source serif 4"/>
          <w:b/>
          <w:color w:val="000000"/>
          <w:sz w:val="21"/>
        </w:rPr>
        <w:t xml:space="preserve">Legal protection:</w:t>
      </w:r>
      <w:r>
        <w:rPr>
          <w:rFonts w:eastAsia="source serif 4" w:cs="source serif 4" w:ascii="source serif 4" w:hAnsi="source serif 4"/>
          <w:color w:val="000000"/>
          <w:sz w:val="21"/>
        </w:rPr>
        <w:t xml:space="preserve"> Under implied consent doctrine, rescuers are shielded from liability precisely because the assumption is that the incapacitated person would have agreed to necessary care if they could.</w:t>
      </w:r>
      <w:bookmarkStart w:id="13" w:name="fnref6_1"/>
      <w:bookmarkEnd w:id="13"/>
      <w:hyperlink w:anchor="fn6">
        <w:r>
          <w:rPr>
            <w:rFonts w:eastAsia="source sans 3" w:cs="source sans 3" w:ascii="source sans 3" w:hAnsi="source sans 3"/>
            <w:color w:val="#000"/>
            <w:sz w:val="21"/>
            <w:u w:val="single"/>
            <w:vertAlign w:val="superscript"/>
          </w:rPr>
          <w:t xml:space="preserve">[6]</w:t>
        </w:r>
      </w:hyperlink>
      <w:bookmarkStart w:id="14" w:name="fnref9"/>
      <w:bookmarkEnd w:id="14"/>
      <w:hyperlink w:anchor="fn9">
        <w:r>
          <w:rPr>
            <w:rFonts w:eastAsia="source sans 3" w:cs="source sans 3" w:ascii="source sans 3" w:hAnsi="source sans 3"/>
            <w:color w:val="#000"/>
            <w:sz w:val="21"/>
            <w:u w:val="single"/>
            <w:vertAlign w:val="superscript"/>
          </w:rPr>
          <w:t xml:space="preserve">[9]</w:t>
        </w:r>
      </w:hyperlink>
    </w:p>
    <w:p>
      <w:pPr>
        <w:numPr>
          <w:ilvl w:val="0"/>
          <w:numId w:val="2"/>
        </w:numPr>
        <w:spacing w:line="360" w:before="105" w:after="105" w:lineRule="auto"/>
      </w:pPr>
      <w:r>
        <w:rPr>
          <w:rFonts w:eastAsia="source serif 4" w:cs="source serif 4" w:ascii="source serif 4" w:hAnsi="source serif 4"/>
          <w:b/>
          <w:color w:val="000000"/>
          <w:sz w:val="21"/>
        </w:rPr>
        <w:t xml:space="preserve">Family/companions:</w:t>
      </w:r>
      <w:r>
        <w:rPr>
          <w:rFonts w:eastAsia="source serif 4" w:cs="source serif 4" w:ascii="source serif 4" w:hAnsi="source serif 4"/>
          <w:color w:val="000000"/>
          <w:sz w:val="21"/>
        </w:rPr>
        <w:t xml:space="preserve"> If present, they can sometimes communicate the victim's known wishes or beliefs to responders, though this doesn't override implied consent in a true emergency.</w:t>
      </w:r>
      <w:bookmarkStart w:id="15" w:name="fnref10"/>
      <w:bookmarkEnd w:id="15"/>
      <w:hyperlink w:anchor="fn10">
        <w:r>
          <w:rPr>
            <w:rFonts w:eastAsia="source sans 3" w:cs="source sans 3" w:ascii="source sans 3" w:hAnsi="source sans 3"/>
            <w:color w:val="#000"/>
            <w:sz w:val="21"/>
            <w:u w:val="single"/>
            <w:vertAlign w:val="superscript"/>
          </w:rPr>
          <w:t xml:space="preserve">[10]</w:t>
        </w:r>
      </w:hyperlink>
    </w:p>
    <w:p>
      <w:pPr>
        <w:numPr>
          <w:ilvl w:val="0"/>
          <w:numId w:val="2"/>
        </w:numPr>
        <w:spacing w:line="360" w:before="105" w:after="105" w:lineRule="auto"/>
      </w:pPr>
      <w:r>
        <w:rPr>
          <w:rFonts w:eastAsia="source serif 4" w:cs="source serif 4" w:ascii="source serif 4" w:hAnsi="source serif 4"/>
          <w:b/>
          <w:color w:val="000000"/>
          <w:sz w:val="21"/>
        </w:rPr>
        <w:t xml:space="preserve">Boundaries even without consent:</w:t>
      </w:r>
      <w:r>
        <w:rPr>
          <w:rFonts w:eastAsia="source serif 4" w:cs="source serif 4" w:ascii="source serif 4" w:hAnsi="source serif 4"/>
          <w:color w:val="000000"/>
          <w:sz w:val="21"/>
        </w:rPr>
        <w:t xml:space="preserve"> You still shouldn't attempt actions beyond your competence (like diagnosing or medicating), shouldn't move the victim unnecessarily, and should avoid promises about outcomes — call emergency services immediately and let trained crews take over as soon as they arrive.</w:t>
      </w:r>
      <w:bookmarkStart w:id="16" w:name="fnref8_1"/>
      <w:bookmarkEnd w:id="16"/>
      <w:hyperlink w:anchor="fn8">
        <w:r>
          <w:rPr>
            <w:rFonts w:eastAsia="source sans 3" w:cs="source sans 3" w:ascii="source sans 3" w:hAnsi="source sans 3"/>
            <w:color w:val="#000"/>
            <w:sz w:val="21"/>
            <w:u w:val="single"/>
            <w:vertAlign w:val="superscript"/>
          </w:rPr>
          <w:t xml:space="preserve">[8]</w:t>
        </w:r>
      </w:hyperlink>
      <w:bookmarkStart w:id="17" w:name="fnref7_1"/>
      <w:bookmarkEnd w:id="17"/>
      <w:hyperlink w:anchor="fn7">
        <w:r>
          <w:rPr>
            <w:rFonts w:eastAsia="source sans 3" w:cs="source sans 3" w:ascii="source sans 3" w:hAnsi="source sans 3"/>
            <w:color w:val="#000"/>
            <w:sz w:val="21"/>
            <w:u w:val="single"/>
            <w:vertAlign w:val="superscript"/>
          </w:rPr>
          <w:t xml:space="preserve">[7]</w:t>
        </w:r>
      </w:hyperlink>
    </w:p>
    <w:p>
      <w:pPr>
        <w:spacing w:line="360" w:after="210" w:lineRule="auto"/>
      </w:pPr>
      <w:r>
        <w:rPr>
          <w:rFonts w:eastAsia="source serif 4" w:cs="source serif 4" w:ascii="source serif 4" w:hAnsi="source serif 4"/>
          <w:color w:val="000000"/>
        </w:rPr>
        <w:t xml:space="preserve">For a platform like ResQKit, this maps directly onto your protocol design: the app should prompt the bystander with a scripted consent check ("Ask: are they able to respond?") before displaying invasive first-aid steps, and automatically default to implied-consent guidance (bleeding control, airway, positioning) whenever the app detects "unconscious" or "no response" input — while logging that decision path in the audit trail for legal traceability.</w:t>
      </w:r>
      <w:r>
        <w:rPr>
          <w:rFonts w:eastAsia="source serif 4" w:cs="source serif 4" w:ascii="source serif 4" w:hAnsi="source serif 4"/>
          <w:color w:val="000000"/>
        </w:rPr>
        <w:br w:type="textWrapping"/>
      </w:r>
    </w:p>
    <w:p>
      <w:pPr>
        <w:spacing w:line="360" w:lineRule="auto"/>
      </w:pP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8" w:name="fn1"/>
    <w:bookmarkEnd w:id="18"/>
    <w:p>
      <w:pPr>
        <w:numPr>
          <w:ilvl w:val="0"/>
          <w:numId w:val="4"/>
        </w:numPr>
        <w:spacing w:line="360" w:after="210" w:lineRule="auto"/>
      </w:pPr>
      <w:hyperlink r:id="rId6">
        <w:r>
          <w:rPr>
            <w:rFonts w:eastAsia="source sans 3" w:cs="source sans 3" w:ascii="source sans 3" w:hAnsi="source sans 3"/>
            <w:color w:val="#000"/>
            <w:sz w:val="18"/>
            <w:u w:val="single"/>
          </w:rPr>
          <w:t xml:space="preserve">https://firstaidcourse.ai/units/HLTAID009/legal_workplace_community/consent/</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19" w:name="fn2"/>
    <w:bookmarkEnd w:id="19"/>
    <w:p>
      <w:pPr>
        <w:numPr>
          <w:ilvl w:val="0"/>
          <w:numId w:val="4"/>
        </w:numPr>
        <w:spacing w:line="360" w:after="210" w:lineRule="auto"/>
      </w:pPr>
      <w:hyperlink r:id="rId7">
        <w:r>
          <w:rPr>
            <w:rFonts w:eastAsia="source sans 3" w:cs="source sans 3" w:ascii="source sans 3" w:hAnsi="source sans 3"/>
            <w:color w:val="#000"/>
            <w:sz w:val="18"/>
            <w:u w:val="single"/>
          </w:rPr>
          <w:t xml:space="preserve">https://en.wikibooks.org/wiki/First_Aid/Consent</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0" w:name="fn3"/>
    <w:bookmarkEnd w:id="20"/>
    <w:p>
      <w:pPr>
        <w:numPr>
          <w:ilvl w:val="0"/>
          <w:numId w:val="4"/>
        </w:numPr>
        <w:spacing w:line="360" w:after="210" w:lineRule="auto"/>
      </w:pPr>
      <w:hyperlink r:id="rId8">
        <w:r>
          <w:rPr>
            <w:rFonts w:eastAsia="source sans 3" w:cs="source sans 3" w:ascii="source sans 3" w:hAnsi="source sans 3"/>
            <w:color w:val="#000"/>
            <w:sz w:val="18"/>
            <w:u w:val="single"/>
          </w:rPr>
          <w:t xml:space="preserve">https://www.miway.co.za/blog/helping-accident-victims-the-3-types-of-consent-you-need</w:t>
        </w:r>
      </w:hyperlink>
      <w:r>
        <w:rPr>
          <w:rFonts w:eastAsia="source serif 4" w:cs="source serif 4" w:ascii="source serif 4" w:hAnsi="source serif 4"/>
          <w:color w:val="000000"/>
          <w:sz w:val="18"/>
        </w:rPr>
        <w:t xml:space="preserve"> </w:t>
      </w:r>
    </w:p>
    <w:bookmarkStart w:id="21" w:name="fn4"/>
    <w:bookmarkEnd w:id="21"/>
    <w:p>
      <w:pPr>
        <w:numPr>
          <w:ilvl w:val="0"/>
          <w:numId w:val="4"/>
        </w:numPr>
        <w:spacing w:line="360" w:after="210" w:lineRule="auto"/>
      </w:pPr>
      <w:hyperlink r:id="rId9">
        <w:r>
          <w:rPr>
            <w:rFonts w:eastAsia="source sans 3" w:cs="source sans 3" w:ascii="source sans 3" w:hAnsi="source sans 3"/>
            <w:color w:val="#000"/>
            <w:sz w:val="18"/>
            <w:u w:val="single"/>
          </w:rPr>
          <w:t xml:space="preserve">https://www.scribd.com/document/691178738/Lesson-1-2-Right-to-refuse-to-care</w:t>
        </w:r>
      </w:hyperlink>
      <w:r>
        <w:rPr>
          <w:rFonts w:eastAsia="source serif 4" w:cs="source serif 4" w:ascii="source serif 4" w:hAnsi="source serif 4"/>
          <w:color w:val="000000"/>
          <w:sz w:val="18"/>
        </w:rPr>
        <w:t xml:space="preserve"> </w:t>
      </w:r>
    </w:p>
    <w:bookmarkStart w:id="22" w:name="fn5"/>
    <w:bookmarkEnd w:id="22"/>
    <w:p>
      <w:pPr>
        <w:numPr>
          <w:ilvl w:val="0"/>
          <w:numId w:val="4"/>
        </w:numPr>
        <w:spacing w:line="360" w:after="210" w:lineRule="auto"/>
      </w:pPr>
      <w:hyperlink r:id="rId10">
        <w:r>
          <w:rPr>
            <w:rFonts w:eastAsia="source sans 3" w:cs="source sans 3" w:ascii="source sans 3" w:hAnsi="source sans 3"/>
            <w:color w:val="#000"/>
            <w:sz w:val="18"/>
            <w:u w:val="single"/>
          </w:rPr>
          <w:t xml:space="preserve">https://guidestartraining.com.au/hltaid003/page_18.htm</w:t>
        </w:r>
      </w:hyperlink>
      <w:r>
        <w:rPr>
          <w:rFonts w:eastAsia="source serif 4" w:cs="source serif 4" w:ascii="source serif 4" w:hAnsi="source serif 4"/>
          <w:color w:val="000000"/>
          <w:sz w:val="18"/>
        </w:rPr>
        <w:t xml:space="preserve"> </w:t>
      </w:r>
    </w:p>
    <w:bookmarkStart w:id="23" w:name="fn6"/>
    <w:bookmarkEnd w:id="23"/>
    <w:p>
      <w:pPr>
        <w:numPr>
          <w:ilvl w:val="0"/>
          <w:numId w:val="4"/>
        </w:numPr>
        <w:spacing w:line="360" w:after="210" w:lineRule="auto"/>
      </w:pPr>
      <w:hyperlink r:id="rId11">
        <w:r>
          <w:rPr>
            <w:rFonts w:eastAsia="source sans 3" w:cs="source sans 3" w:ascii="source sans 3" w:hAnsi="source sans 3"/>
            <w:color w:val="#000"/>
            <w:sz w:val="18"/>
            <w:u w:val="single"/>
          </w:rPr>
          <w:t xml:space="preserve">https://www.frontlinehealth.com/blog/cpr/do-i-need-to-ask-for-permission-to-give-cpr-or-first-aid</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4" w:name="fn7"/>
    <w:bookmarkEnd w:id="24"/>
    <w:p>
      <w:pPr>
        <w:numPr>
          <w:ilvl w:val="0"/>
          <w:numId w:val="4"/>
        </w:numPr>
        <w:spacing w:line="360" w:after="210" w:lineRule="auto"/>
      </w:pPr>
      <w:hyperlink r:id="rId12">
        <w:r>
          <w:rPr>
            <w:rFonts w:eastAsia="source sans 3" w:cs="source sans 3" w:ascii="source sans 3" w:hAnsi="source sans 3"/>
            <w:color w:val="#000"/>
            <w:sz w:val="18"/>
            <w:u w:val="single"/>
          </w:rPr>
          <w:t xml:space="preserve">https://www.leaders-in-law.com/how-to-help-someone-after-an-accident-without-making-it-worse/</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5" w:name="fn8"/>
    <w:bookmarkEnd w:id="25"/>
    <w:p>
      <w:pPr>
        <w:numPr>
          <w:ilvl w:val="0"/>
          <w:numId w:val="4"/>
        </w:numPr>
        <w:spacing w:line="360" w:after="210" w:lineRule="auto"/>
      </w:pPr>
      <w:hyperlink r:id="rId13">
        <w:r>
          <w:rPr>
            <w:rFonts w:eastAsia="source sans 3" w:cs="source sans 3" w:ascii="source sans 3" w:hAnsi="source sans 3"/>
            <w:color w:val="#000"/>
            <w:sz w:val="18"/>
            <w:u w:val="single"/>
          </w:rPr>
          <w:t xml:space="preserve">https://jhpolice.gov.in/road-safety/helping-road-accident-victims</w:t>
        </w:r>
      </w:hyperlink>
      <w:r>
        <w:rPr>
          <w:rFonts w:eastAsia="source serif 4" w:cs="source serif 4" w:ascii="source serif 4" w:hAnsi="source serif 4"/>
          <w:color w:val="000000"/>
          <w:sz w:val="18"/>
        </w:rPr>
        <w:t xml:space="preserve"> </w:t>
      </w:r>
      <w:r>
        <w:rPr>
          <w:rFonts w:eastAsia="source serif 4" w:cs="source serif 4" w:ascii="source serif 4" w:hAnsi="source serif 4"/>
          <w:color w:val="000000"/>
          <w:sz w:val="18"/>
        </w:rPr>
        <w:t xml:space="preserve"> </w:t>
      </w:r>
    </w:p>
    <w:bookmarkStart w:id="26" w:name="fn9"/>
    <w:bookmarkEnd w:id="26"/>
    <w:p>
      <w:pPr>
        <w:numPr>
          <w:ilvl w:val="0"/>
          <w:numId w:val="4"/>
        </w:numPr>
        <w:spacing w:line="360" w:after="210" w:lineRule="auto"/>
      </w:pPr>
      <w:hyperlink r:id="rId14">
        <w:r>
          <w:rPr>
            <w:rFonts w:eastAsia="source sans 3" w:cs="source sans 3" w:ascii="source sans 3" w:hAnsi="source sans 3"/>
            <w:color w:val="#000"/>
            <w:sz w:val="18"/>
            <w:u w:val="single"/>
          </w:rPr>
          <w:t xml:space="preserve">https://legalclarity.org/when-aiding-an-injured-person-at-the-scene-of-a-crash-what-to-know/</w:t>
        </w:r>
      </w:hyperlink>
      <w:r>
        <w:rPr>
          <w:rFonts w:eastAsia="source serif 4" w:cs="source serif 4" w:ascii="source serif 4" w:hAnsi="source serif 4"/>
          <w:color w:val="000000"/>
          <w:sz w:val="18"/>
        </w:rPr>
        <w:t xml:space="preserve"> </w:t>
      </w:r>
    </w:p>
    <w:bookmarkStart w:id="27" w:name="fn10"/>
    <w:bookmarkEnd w:id="27"/>
    <w:p>
      <w:pPr>
        <w:numPr>
          <w:ilvl w:val="0"/>
          <w:numId w:val="4"/>
        </w:numPr>
        <w:spacing w:line="360" w:after="210" w:lineRule="auto"/>
      </w:pPr>
      <w:hyperlink r:id="rId15">
        <w:r>
          <w:rPr>
            <w:rFonts w:eastAsia="source sans 3" w:cs="source sans 3" w:ascii="source sans 3" w:hAnsi="source sans 3"/>
            <w:color w:val="#000"/>
            <w:sz w:val="18"/>
            <w:u w:val="single"/>
          </w:rPr>
          <w:t xml:space="preserve">https://www.brake.org.uk/how-we-help/get-help-if-a-crash-victim/information-and-advice-after-road-death-or-serious-injury/serious-injury-in-a-road-crash/section-2-at-the-hospital</w:t>
        </w:r>
      </w:hyperlink>
      <w:r>
        <w:rPr>
          <w:rFonts w:eastAsia="source serif 4" w:cs="source serif 4" w:ascii="source serif 4" w:hAnsi="source serif 4"/>
          <w:color w:val="000000"/>
          <w:sz w:val="18"/>
        </w:rPr>
        <w:t xml:space="preserve"> </w:t>
      </w:r>
    </w:p>
    <w:bookmarkStart w:id="28" w:name="fn11"/>
    <w:bookmarkEnd w:id="28"/>
    <w:p>
      <w:pPr>
        <w:numPr>
          <w:ilvl w:val="0"/>
          <w:numId w:val="4"/>
        </w:numPr>
        <w:spacing w:line="360" w:after="210" w:lineRule="auto"/>
      </w:pPr>
      <w:hyperlink r:id="rId16">
        <w:r>
          <w:rPr>
            <w:rFonts w:eastAsia="source sans 3" w:cs="source sans 3" w:ascii="source sans 3" w:hAnsi="source sans 3"/>
            <w:color w:val="#000"/>
            <w:sz w:val="18"/>
            <w:u w:val="single"/>
          </w:rPr>
          <w:t xml:space="preserve">https://dawsonlawfirm.com/car-accident-injury-guide-ebook-consent/</w:t>
        </w:r>
      </w:hyperlink>
      <w:r>
        <w:rPr>
          <w:rFonts w:eastAsia="source serif 4" w:cs="source serif 4" w:ascii="source serif 4" w:hAnsi="source serif 4"/>
          <w:color w:val="000000"/>
          <w:sz w:val="18"/>
        </w:rPr>
        <w:t xml:space="preserve"> </w:t>
      </w:r>
    </w:p>
    <w:bookmarkStart w:id="29" w:name="fn12"/>
    <w:bookmarkEnd w:id="29"/>
    <w:p>
      <w:pPr>
        <w:numPr>
          <w:ilvl w:val="0"/>
          <w:numId w:val="4"/>
        </w:numPr>
        <w:spacing w:line="360" w:after="210" w:lineRule="auto"/>
      </w:pPr>
      <w:hyperlink r:id="rId17">
        <w:r>
          <w:rPr>
            <w:rFonts w:eastAsia="source sans 3" w:cs="source sans 3" w:ascii="source sans 3" w:hAnsi="source sans 3"/>
            <w:color w:val="#000"/>
            <w:sz w:val="18"/>
            <w:u w:val="single"/>
          </w:rPr>
          <w:t xml:space="preserve">https://www.studocu.com/en-au/messages/question/6507488/what-should-a-first-aider-do-when-asking-for-consent-from-a-casualty</w:t>
        </w:r>
      </w:hyperlink>
      <w:r>
        <w:rPr>
          <w:rFonts w:eastAsia="source serif 4" w:cs="source serif 4" w:ascii="source serif 4" w:hAnsi="source serif 4"/>
          <w:color w:val="000000"/>
          <w:sz w:val="18"/>
        </w:rPr>
        <w:t xml:space="preserve"> </w:t>
      </w:r>
    </w:p>
    <w:bookmarkStart w:id="30" w:name="fn13"/>
    <w:bookmarkEnd w:id="30"/>
    <w:p>
      <w:pPr>
        <w:numPr>
          <w:ilvl w:val="0"/>
          <w:numId w:val="4"/>
        </w:numPr>
        <w:spacing w:line="360" w:after="210" w:lineRule="auto"/>
      </w:pPr>
      <w:hyperlink r:id="rId18">
        <w:r>
          <w:rPr>
            <w:rFonts w:eastAsia="source sans 3" w:cs="source sans 3" w:ascii="source sans 3" w:hAnsi="source sans 3"/>
            <w:color w:val="#000"/>
            <w:sz w:val="18"/>
            <w:u w:val="single"/>
          </w:rPr>
          <w:t xml:space="preserve">https://www.australiawidefirstaid.com.au/resources/glossary/consent</w:t>
        </w:r>
      </w:hyperlink>
      <w:r>
        <w:rPr>
          <w:rFonts w:eastAsia="source serif 4" w:cs="source serif 4" w:ascii="source serif 4" w:hAnsi="source serif 4"/>
          <w:color w:val="000000"/>
          <w:sz w:val="18"/>
        </w:rPr>
        <w:t xml:space="preserve"> </w:t>
      </w:r>
    </w:p>
    <w:bookmarkStart w:id="31" w:name="fn14"/>
    <w:bookmarkEnd w:id="31"/>
    <w:p>
      <w:pPr>
        <w:numPr>
          <w:ilvl w:val="0"/>
          <w:numId w:val="4"/>
        </w:numPr>
        <w:spacing w:line="360" w:after="210" w:lineRule="auto"/>
      </w:pPr>
      <w:hyperlink r:id="rId19">
        <w:r>
          <w:rPr>
            <w:rFonts w:eastAsia="source sans 3" w:cs="source sans 3" w:ascii="source sans 3" w:hAnsi="source sans 3"/>
            <w:color w:val="#000"/>
            <w:sz w:val="18"/>
            <w:u w:val="single"/>
          </w:rPr>
          <w:t xml:space="preserve">https://www.cglawoffices.com/blog/2025/08/5-steps-to-take-as-a-victim-of-a-motor-vehicle-accident/</w:t>
        </w:r>
      </w:hyperlink>
      <w:r>
        <w:rPr>
          <w:rFonts w:eastAsia="source serif 4" w:cs="source serif 4" w:ascii="source serif 4" w:hAnsi="source serif 4"/>
          <w:color w:val="000000"/>
          <w:sz w:val="18"/>
        </w:rPr>
        <w:t xml:space="preserve"> </w:t>
      </w:r>
    </w:p>
    <w:bookmarkStart w:id="32" w:name="fn15"/>
    <w:bookmarkEnd w:id="32"/>
    <w:p>
      <w:pPr>
        <w:numPr>
          <w:ilvl w:val="0"/>
          <w:numId w:val="4"/>
        </w:numPr>
        <w:spacing w:line="360" w:after="210" w:lineRule="auto"/>
      </w:pPr>
      <w:hyperlink r:id="rId20">
        <w:r>
          <w:rPr>
            <w:rFonts w:eastAsia="source sans 3" w:cs="source sans 3" w:ascii="source sans 3" w:hAnsi="source sans 3"/>
            <w:color w:val="#000"/>
            <w:sz w:val="18"/>
            <w:u w:val="single"/>
          </w:rPr>
          <w:t xml:space="preserve">https://www.sciencedirect.com/science/article/abs/pii/0965230293901772</w:t>
        </w:r>
      </w:hyperlink>
      <w:r>
        <w:rPr>
          <w:rFonts w:eastAsia="source serif 4" w:cs="source serif 4" w:ascii="source serif 4" w:hAnsi="source serif 4"/>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abstractNum>
  <w:abstractNum w:abstractNumId="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caddef29c550d11b72ab41a083af646b9633d639.png" TargetMode="Internal"/><Relationship Id="rId6" Type="http://schemas.openxmlformats.org/officeDocument/2006/relationships/hyperlink" Target="https://firstaidcourse.ai/units/HLTAID009/legal_workplace_community/consent/" TargetMode="External"/><Relationship Id="rId7" Type="http://schemas.openxmlformats.org/officeDocument/2006/relationships/hyperlink" Target="https://en.wikibooks.org/wiki/First_Aid/Consent" TargetMode="External"/><Relationship Id="rId8" Type="http://schemas.openxmlformats.org/officeDocument/2006/relationships/hyperlink" Target="https://www.miway.co.za/blog/helping-accident-victims-the-3-types-of-consent-you-need" TargetMode="External"/><Relationship Id="rId9" Type="http://schemas.openxmlformats.org/officeDocument/2006/relationships/hyperlink" Target="https://www.scribd.com/document/691178738/Lesson-1-2-Right-to-refuse-to-care" TargetMode="External"/><Relationship Id="rId10" Type="http://schemas.openxmlformats.org/officeDocument/2006/relationships/hyperlink" Target="https://guidestartraining.com.au/hltaid003/page_18.htm" TargetMode="External"/><Relationship Id="rId11" Type="http://schemas.openxmlformats.org/officeDocument/2006/relationships/hyperlink" Target="https://www.frontlinehealth.com/blog/cpr/do-i-need-to-ask-for-permission-to-give-cpr-or-first-aid" TargetMode="External"/><Relationship Id="rId12" Type="http://schemas.openxmlformats.org/officeDocument/2006/relationships/hyperlink" Target="https://www.leaders-in-law.com/how-to-help-someone-after-an-accident-without-making-it-worse/" TargetMode="External"/><Relationship Id="rId13" Type="http://schemas.openxmlformats.org/officeDocument/2006/relationships/hyperlink" Target="https://jhpolice.gov.in/road-safety/helping-road-accident-victims" TargetMode="External"/><Relationship Id="rId14" Type="http://schemas.openxmlformats.org/officeDocument/2006/relationships/hyperlink" Target="https://legalclarity.org/when-aiding-an-injured-person-at-the-scene-of-a-crash-what-to-know/" TargetMode="External"/><Relationship Id="rId15" Type="http://schemas.openxmlformats.org/officeDocument/2006/relationships/hyperlink" Target="https://www.brake.org.uk/how-we-help/get-help-if-a-crash-victim/information-and-advice-after-road-death-or-serious-injury/serious-injury-in-a-road-crash/section-2-at-the-hospital" TargetMode="External"/><Relationship Id="rId16" Type="http://schemas.openxmlformats.org/officeDocument/2006/relationships/hyperlink" Target="https://dawsonlawfirm.com/car-accident-injury-guide-ebook-consent/" TargetMode="External"/><Relationship Id="rId17" Type="http://schemas.openxmlformats.org/officeDocument/2006/relationships/hyperlink" Target="https://www.studocu.com/en-au/messages/question/6507488/what-should-a-first-aider-do-when-asking-for-consent-from-a-casualty" TargetMode="External"/><Relationship Id="rId18" Type="http://schemas.openxmlformats.org/officeDocument/2006/relationships/hyperlink" Target="https://www.australiawidefirstaid.com.au/resources/glossary/consent" TargetMode="External"/><Relationship Id="rId19" Type="http://schemas.openxmlformats.org/officeDocument/2006/relationships/hyperlink" Target="https://www.cglawoffices.com/blog/2025/08/5-steps-to-take-as-a-victim-of-a-motor-vehicle-accident/" TargetMode="External"/><Relationship Id="rId20" Type="http://schemas.openxmlformats.org/officeDocument/2006/relationships/hyperlink" Target="https://www.sciencedirect.com/science/article/abs/pii/0965230293901772"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2026-08-12T11:42:20.762Z</dcterms:created>
  <dcterms:modified xsi:type="dcterms:W3CDTF">2026-08-12T11:42:20.762Z</dcterms:modified>
</cp:coreProperties>
</file>