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executive_summary"/>
      <w:r>
        <w:rPr>
          <w:rFonts w:eastAsia="source serif 4" w:cs="source serif 4" w:ascii="source serif 4" w:hAnsi="source serif 4"/>
          <w:b/>
          <w:color w:val="000000"/>
          <w:sz w:val="24"/>
        </w:rPr>
        <w:t xml:space="preserve">Executive Summary</w:t>
      </w:r>
      <w:bookmarkEnd w:id="0"/>
    </w:p>
    <w:p>
      <w:pPr>
        <w:spacing w:line="360" w:after="210" w:lineRule="auto"/>
      </w:pPr>
      <w:r>
        <w:rPr>
          <w:rFonts w:eastAsia="source serif 4" w:cs="source serif 4" w:ascii="source serif 4" w:hAnsi="source serif 4"/>
          <w:color w:val="000000"/>
        </w:rPr>
        <w:t xml:space="preserve">A software framework supporting accident victims must satisfy three simultaneous legal-technical demands: it must operate lawfully under Romanian criminal and health law regarding duty-to-assist, process victim data lawfully under GDPR even without explicit consent, and interoperate with existing EU/Romanian emergency-communication standards rather than build parallel unauthorized channels. This report maps each legal obligation to a corresponding architectural layer and interface, producing a framework where consent handling, data protection, and emergency-authority interoperability are native to the system design rather than bolted on afterward.</w:t>
      </w:r>
    </w:p>
    <w:p>
      <w:pPr>
        <w:spacing w:line="360" w:before="315" w:after="105" w:lineRule="auto"/>
        <w:ind w:left="-30"/>
        <w:jc w:val="left"/>
      </w:pPr>
      <w:bookmarkStart w:id="1" w:name="legal_foundations_driving_the_arc_9e6f83"/>
      <w:r>
        <w:rPr>
          <w:rFonts w:eastAsia="source serif 4" w:cs="source serif 4" w:ascii="source serif 4" w:hAnsi="source serif 4"/>
          <w:b/>
          <w:color w:val="000000"/>
          <w:sz w:val="24"/>
        </w:rPr>
        <w:t xml:space="preserve">Legal Foundations Driving the Architecture</w:t>
      </w:r>
      <w:bookmarkEnd w:id="1"/>
    </w:p>
    <w:p>
      <w:pPr>
        <w:spacing w:line="360" w:after="210" w:lineRule="auto"/>
      </w:pPr>
      <w:r>
        <w:rPr>
          <w:rFonts w:eastAsia="source serif 4" w:cs="source serif 4" w:ascii="source serif 4" w:hAnsi="source serif 4"/>
          <w:color w:val="000000"/>
        </w:rPr>
        <w:t xml:space="preserve">Romanian law creates both an obligation to help and broad immunity for those who do, which directly shapes how the app should behave when a bystander opens it at a crash scene. Article 203 of the Romanian Penal Code (Codul Penal, Legea 286/2009) criminalizes failing to give necessary help or to notify authorities immediately when someone finds a person whose life, bodily integrity, or health is in danger and who cannot save themselves, punishable by three months to one year of imprisonment or a fine, unless helping would expose the helper to serious danger. Article 204 separately criminalizes obstructing rescue interventions, with one to three years imprisonment. This means the app's very first design requirement is to make emergency notification (112) trivially fast and impossible to accidentally skip — delaying or burying the "call 112" action to prioritize app-only data entry would work against this legal framework, not with it.[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Romania's Health Law (Legea 95/2006, Articles 93–94) explicitly authorizes any person, trained or not, to administer basic first aid, provided they act on the instructions of specialized dispatch personnel or on their own first-aid knowledge, and grants full civil and criminal immunity to untrained volunteers acting in good faith to save a life. Article 93 also requires that citizens notify or ensure notification of 112 before or simultaneously with administering first aid, and that they follow the specialized instructions given by dispatch. This is a critical architectural constraint: the app must be designed as a dispatcher-instruction relay and helper, not as an independent medical decision-maker, since deviating from official 112/SMURD dispatcher guidance could undermine the legal immunity the law grants.[^3]</w:t>
      </w:r>
    </w:p>
    <w:p>
      <w:pPr>
        <w:spacing w:line="360" w:before="315" w:after="105" w:lineRule="auto"/>
        <w:ind w:left="-30"/>
        <w:jc w:val="left"/>
      </w:pPr>
      <w:bookmarkStart w:id="2" w:name="consent_and_the_vital_interests_b_6af2ef"/>
      <w:r>
        <w:rPr>
          <w:rFonts w:eastAsia="source serif 4" w:cs="source serif 4" w:ascii="source serif 4" w:hAnsi="source serif 4"/>
          <w:b/>
          <w:color w:val="000000"/>
          <w:sz w:val="24"/>
        </w:rPr>
        <w:t xml:space="preserve">Consent and the Vital-Interests Basis Under GDPR</w:t>
      </w:r>
      <w:bookmarkEnd w:id="2"/>
    </w:p>
    <w:p>
      <w:pPr>
        <w:spacing w:line="360" w:after="210" w:lineRule="auto"/>
      </w:pPr>
      <w:r>
        <w:rPr>
          <w:rFonts w:eastAsia="source serif 4" w:cs="source serif 4" w:ascii="source serif 4" w:hAnsi="source serif 4"/>
          <w:color w:val="000000"/>
        </w:rPr>
        <w:t xml:space="preserve">Health and location data collected from an unconscious or incapacitated victim falls under GDPR Article 9 special-category data, but Article 9(2)(c) — the "vital interests" basis — specifically permits processing without consent when the data subject is physically or legally incapable of giving it and life is at risk. This basis is narrow and applies only to genuine life-and-death scenarios; if the victim is conscious and refuses, vital interests cannot override that refusal. The framework should therefore implement a tiered consent-state machine rather than a single consent checkbox, since the legal basis for data processing changes depending on the victim's state.[</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Victim 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Basis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Conscious, responsive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Explicit/informed consent (GDPR Art. 6/9(2)(a))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Ask directly before capturing photos, health notes, or sharing location beyond the call itself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Unconscious/unresponsive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Vital interests (GDPR Art. 9(2)(c))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Proceed with data capture and transmission without consent gate; log the incapacity determination in the audit trail[^4]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Refuses help, competent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processing beyond the 112 call itself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refusal event; app must not persist health data against stated wishes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Minor, no guardian present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Implied/vital interests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as incapacitated for consent purposes; proceed with life-saving data flow</w:t>
            </w:r>
          </w:p>
        </w:tc>
      </w:tr>
    </w:tbl>
    <w:p>
      <w:pPr>
        <w:spacing w:lineRule="auto"/>
      </w:pPr>
    </w:p>
    <w:p>
      <w:pPr>
        <w:spacing w:line="360" w:after="210" w:lineRule="auto"/>
      </w:pPr>
      <w:r>
        <w:rPr>
          <w:rFonts w:eastAsia="source serif 4" w:cs="source serif 4" w:ascii="source serif 4" w:hAnsi="source serif 4"/>
          <w:color w:val="000000"/>
        </w:rPr>
        <w:t xml:space="preserve">This mapping should be implemented as a first screen in the incident flow: "Is the victim able to respond?" Yes/No/Unknown, which then determines which data fields the app is legally permitted to populate and transmit, and this decision itself becomes part of the audit trail already planned in ResQKit's Faza 1 architecture.</w:t>
      </w:r>
    </w:p>
    <w:p>
      <w:pPr>
        <w:spacing w:line="360" w:before="315" w:after="105" w:lineRule="auto"/>
        <w:ind w:left="-30"/>
        <w:jc w:val="left"/>
      </w:pPr>
      <w:bookmarkStart w:id="3" w:name="interoperability_layer_interfacin_7b0860"/>
      <w:r>
        <w:rPr>
          <w:rFonts w:eastAsia="source serif 4" w:cs="source serif 4" w:ascii="source serif 4" w:hAnsi="source serif 4"/>
          <w:b/>
          <w:color w:val="000000"/>
          <w:sz w:val="24"/>
        </w:rPr>
        <w:t xml:space="preserve">Interoperability Layer: Interfacing With Existing Authorized Frameworks</w:t>
      </w:r>
      <w:bookmarkEnd w:id="3"/>
    </w:p>
    <w:p>
      <w:pPr>
        <w:spacing w:line="360" w:after="210" w:lineRule="auto"/>
      </w:pPr>
      <w:r>
        <w:rPr>
          <w:rFonts w:eastAsia="source serif 4" w:cs="source serif 4" w:ascii="source serif 4" w:hAnsi="source serif 4"/>
          <w:color w:val="000000"/>
        </w:rPr>
        <w:t xml:space="preserve">The framework should never attempt to build its own emergency-dispatch channel; it must interface with frameworks that already exist and are legally authorized. Four external interoperability targets apply.</w:t>
      </w:r>
    </w:p>
    <w:p>
      <w:pPr>
        <w:numPr>
          <w:ilvl w:val="0"/>
          <w:numId w:val="1"/>
        </w:numPr>
        <w:spacing w:line="360" w:before="105" w:after="105" w:lineRule="auto"/>
      </w:pPr>
      <w:r>
        <w:rPr>
          <w:rFonts w:eastAsia="source serif 4" w:cs="source serif 4" w:ascii="source serif 4" w:hAnsi="source serif 4"/>
          <w:b/>
          <w:color w:val="000000"/>
          <w:sz w:val="21"/>
        </w:rPr>
        <w:t xml:space="preserve">SNUAU/112 (STS-administered):</w:t>
      </w:r>
      <w:r>
        <w:rPr>
          <w:rFonts w:eastAsia="source serif 4" w:cs="source serif 4" w:ascii="source serif 4" w:hAnsi="source serif 4"/>
          <w:color w:val="000000"/>
          <w:sz w:val="21"/>
        </w:rPr>
        <w:t xml:space="preserve"> Romania's Single National Emergency Call System routes calls to Ambulance, SMURD, Police, and Fire services; it already runs a precedent non-voice channel (SMS 113) for accessibility use cases, showing STS has institutional experience authorizing non-voice emergency channels. Any data the app sends beyond the voice call must go through a formally negotiated interface, not an assumed API.[</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p>
    <w:p>
      <w:pPr>
        <w:numPr>
          <w:ilvl w:val="0"/>
          <w:numId w:val="1"/>
        </w:numPr>
        <w:spacing w:line="360" w:before="105" w:after="105" w:lineRule="auto"/>
      </w:pPr>
      <w:r>
        <w:rPr>
          <w:rFonts w:eastAsia="source serif 4" w:cs="source serif 4" w:ascii="source serif 4" w:hAnsi="source serif 4"/>
          <w:b/>
          <w:color w:val="000000"/>
          <w:sz w:val="21"/>
        </w:rPr>
        <w:t xml:space="preserve">PEMEA (ETSI TS 103 478):</w:t>
      </w:r>
      <w:r>
        <w:rPr>
          <w:rFonts w:eastAsia="source serif 4" w:cs="source serif 4" w:ascii="source serif 4" w:hAnsi="source serif 4"/>
          <w:color w:val="000000"/>
          <w:sz w:val="21"/>
        </w:rPr>
        <w:t xml:space="preserve"> Defines the standardized architecture for mobile emergency apps to interoperate with Public Safety Answering Points across Europe, covering Real-Time Text, Messaging, Location, and File Exchange — this is the correct target protocol suite for ResQKit's supplementary data channel once authorized.[</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1"/>
        </w:numPr>
        <w:spacing w:line="360" w:before="105" w:after="105" w:lineRule="auto"/>
      </w:pPr>
      <w:r>
        <w:rPr>
          <w:rFonts w:eastAsia="source serif 4" w:cs="source serif 4" w:ascii="source serif 4" w:hAnsi="source serif 4"/>
          <w:b/>
          <w:color w:val="000000"/>
          <w:sz w:val="21"/>
        </w:rPr>
        <w:t xml:space="preserve">NG112:</w:t>
      </w:r>
      <w:r>
        <w:rPr>
          <w:rFonts w:eastAsia="source serif 4" w:cs="source serif 4" w:ascii="source serif 4" w:hAnsi="source serif 4"/>
          <w:color w:val="000000"/>
          <w:sz w:val="21"/>
        </w:rPr>
        <w:t xml:space="preserve"> The IP-based next-generation emergency architecture using SIP for session control, PIDF-LO for structured location, and RFC 7852 for additional emergency data — this is the transport-layer standard the app's data should ultimately conform to when STS enables IP-based emergency handling.[^10]</w:t>
      </w:r>
    </w:p>
    <w:p>
      <w:pPr>
        <w:numPr>
          <w:ilvl w:val="0"/>
          <w:numId w:val="1"/>
        </w:numPr>
        <w:spacing w:line="360" w:before="105" w:after="105" w:lineRule="auto"/>
      </w:pPr>
      <w:r>
        <w:rPr>
          <w:rFonts w:eastAsia="source serif 4" w:cs="source serif 4" w:ascii="source serif 4" w:hAnsi="source serif 4"/>
          <w:b/>
          <w:color w:val="000000"/>
          <w:sz w:val="21"/>
        </w:rPr>
        <w:t xml:space="preserve">HL7 Europe FHIR / EHDS:</w:t>
      </w:r>
      <w:r>
        <w:rPr>
          <w:rFonts w:eastAsia="source serif 4" w:cs="source serif 4" w:ascii="source serif 4" w:hAnsi="source serif 4"/>
          <w:color w:val="000000"/>
          <w:sz w:val="21"/>
        </w:rPr>
        <w:t xml:space="preserve"> The newly published HL7 Europe Base and Core FHIR Implementation Guides (v2.0.0, April 2026) and the EU Health Data API IG define how health data — such as incident-related medical observations — should be structured for cross-border interoperability under the European Health Data Space Regulation, using OAuth 2.0-based SMART Backend Services for authorization. Structuring victim health snapshots as FHIR resources from day one would future-proof the platform for eventual EHDS-aligned data exchange with hospitals.[</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12]</w:t>
      </w:r>
    </w:p>
    <w:p>
      <w:pPr>
        <w:spacing w:line="360" w:before="315" w:after="105" w:lineRule="auto"/>
        <w:ind w:left="-30"/>
        <w:jc w:val="left"/>
      </w:pPr>
      <w:bookmarkStart w:id="4" w:name="proposed_system_architecture"/>
      <w:r>
        <w:rPr>
          <w:rFonts w:eastAsia="source serif 4" w:cs="source serif 4" w:ascii="source serif 4" w:hAnsi="source serif 4"/>
          <w:b/>
          <w:color w:val="000000"/>
          <w:sz w:val="24"/>
        </w:rPr>
        <w:t xml:space="preserve">Proposed System Architecture</w:t>
      </w:r>
      <w:bookmarkEnd w:id="4"/>
    </w:p>
    <w:p>
      <w:pPr>
        <w:spacing w:line="360" w:after="210" w:lineRule="auto"/>
      </w:pPr>
      <w:r>
        <w:rPr>
          <w:rFonts w:eastAsia="source serif 4" w:cs="source serif 4" w:ascii="source serif 4" w:hAnsi="source serif 4"/>
          <w:color w:val="000000"/>
        </w:rPr>
        <w:t xml:space="preserve">The architecture should be organized into four layers, each with a distinct legal justification and a distinct interoperability boundary, extending the BLE→App→Backend→Dashboard pipeline already validated in ResQKit's demo phase.</w:t>
      </w:r>
    </w:p>
    <w:p>
      <w:pPr>
        <w:spacing w:line="360" w:after="210" w:lineRule="auto"/>
      </w:pPr>
      <w:r>
        <w:rPr>
          <w:rFonts w:eastAsia="source serif 4" w:cs="source serif 4" w:ascii="source serif 4" w:hAnsi="source serif 4"/>
          <w:b/>
          <w:color w:val="000000"/>
        </w:rPr>
        <w:t xml:space="preserve">Layer 1 — Capture and Consent Engine (device/app):</w:t>
      </w:r>
      <w:r>
        <w:rPr>
          <w:rFonts w:eastAsia="source serif 4" w:cs="source serif 4" w:ascii="source serif 4" w:hAnsi="source serif 4"/>
          <w:color w:val="000000"/>
        </w:rPr>
        <w:t xml:space="preserve"> Handles BLE kit pairing, GPS capture, photo/video capture, and the victim-state consent branching logic described above. This layer determines, in real time, which GDPR legal basis applies and gates data fields accordingly, writing every consent-state transition into an immutable, timestamped audit trail.</w:t>
      </w:r>
    </w:p>
    <w:p>
      <w:pPr>
        <w:spacing w:line="360" w:after="210" w:lineRule="auto"/>
      </w:pPr>
      <w:r>
        <w:rPr>
          <w:rFonts w:eastAsia="source serif 4" w:cs="source serif 4" w:ascii="source serif 4" w:hAnsi="source serif 4"/>
          <w:b/>
          <w:color w:val="000000"/>
        </w:rPr>
        <w:t xml:space="preserve">Layer 2 — Secure Relay and First-Aid Guidance Engine (backend):</w:t>
      </w:r>
      <w:r>
        <w:rPr>
          <w:rFonts w:eastAsia="source serif 4" w:cs="source serif 4" w:ascii="source serif 4" w:hAnsi="source serif 4"/>
          <w:color w:val="000000"/>
        </w:rPr>
        <w:t xml:space="preserve"> Receives data over HTTPS/TLS, validates and correlates it under a single Incident ID, and simultaneously serves step-by-step first-aid protocol guidance to the bystander based on declared victim symptoms — critically, this guidance layer should present itself as "general first-aid information," not medical diagnosis, since diagnosis-like outputs would create liability exposure not covered by the Article 94 immunity for good-faith volunteers. This layer also formats outgoing data into FHIR-compatible structures for eventual EHDS interoperability.[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b/>
          <w:color w:val="000000"/>
        </w:rPr>
        <w:t xml:space="preserve">Layer 3 — Responder/Dispatcher Interface (Responder Dashboard):</w:t>
      </w:r>
      <w:r>
        <w:rPr>
          <w:rFonts w:eastAsia="source serif 4" w:cs="source serif 4" w:ascii="source serif 4" w:hAnsi="source serif 4"/>
          <w:color w:val="000000"/>
        </w:rPr>
        <w:t xml:space="preserve"> A near-real-time WebSocket-fed dashboard for designated responders, showing incident status, location, victim state, timeline, and uploaded media — explicitly a ResQKit-controlled simulation environment until Layer 4 is authorized, consistent with the existing documentation's disclaimer that this dashboard is not the official SMURD/ISU interface.</w:t>
      </w:r>
    </w:p>
    <w:p>
      <w:pPr>
        <w:spacing w:line="360" w:after="210" w:lineRule="auto"/>
      </w:pPr>
      <w:r>
        <w:rPr>
          <w:rFonts w:eastAsia="source serif 4" w:cs="source serif 4" w:ascii="source serif 4" w:hAnsi="source serif 4"/>
          <w:b/>
          <w:color w:val="000000"/>
        </w:rPr>
        <w:t xml:space="preserve">Layer 4 — Authorized Emergency Gateway (STS/PEMEA/NG112 bridge):</w:t>
      </w:r>
      <w:r>
        <w:rPr>
          <w:rFonts w:eastAsia="source serif 4" w:cs="source serif 4" w:ascii="source serif 4" w:hAnsi="source serif 4"/>
          <w:color w:val="000000"/>
        </w:rPr>
        <w:t xml:space="preserve"> The only layer that touches SNUAU. This requires a formal interconnection agreement with STS defining authentication (likely OAuth 2.0/SMART Backend Services per the EU Health Data API pattern), accepted data formats (PIDF-LO for location, RFC 7852 for supplementary data), and file-exchange limits under PEMEA File Exchange. Until this layer is authorized, the app must supplement — never replace — the standard 112 voice call, in line with the Article 93 requirement that citizens notify 112 before or simultaneously with providing aid.[</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8]</w:t>
      </w:r>
    </w:p>
    <w:p>
      <w:pPr>
        <w:spacing w:line="360" w:before="315" w:after="105" w:lineRule="auto"/>
        <w:ind w:left="-30"/>
        <w:jc w:val="left"/>
      </w:pPr>
      <w:bookmarkStart w:id="5" w:name="consent_and_help_decision_flow"/>
      <w:r>
        <w:rPr>
          <w:rFonts w:eastAsia="source serif 4" w:cs="source serif 4" w:ascii="source serif 4" w:hAnsi="source serif 4"/>
          <w:b/>
          <w:color w:val="000000"/>
          <w:sz w:val="24"/>
        </w:rPr>
        <w:t xml:space="preserve">Consent-and-Help Decision Flow</w:t>
      </w:r>
      <w:bookmarkEnd w:id="5"/>
    </w:p>
    <w:p>
      <w:pPr>
        <w:spacing w:line="360" w:after="210" w:lineRule="auto"/>
      </w:pPr>
      <w:r>
        <w:rPr>
          <w:rFonts w:eastAsia="source serif 4" w:cs="source serif 4" w:ascii="source serif 4" w:hAnsi="source serif 4"/>
          <w:color w:val="000000"/>
        </w:rPr>
        <w:t xml:space="preserve">The core interaction logic that resolves both the legal duty-to-assist and the GDPR consent question can be represented as a single decision flow embedded directly in the app's incident-response screen.</w:t>
      </w:r>
    </w:p>
    <w:p>
      <w:pPr>
        <w:numPr>
          <w:ilvl w:val="0"/>
          <w:numId w:val="2"/>
        </w:numPr>
        <w:spacing w:line="360" w:before="105" w:after="105" w:lineRule="auto"/>
      </w:pPr>
      <w:r>
        <w:rPr>
          <w:rFonts w:eastAsia="source serif 4" w:cs="source serif 4" w:ascii="source serif 4" w:hAnsi="source serif 4"/>
          <w:color w:val="000000"/>
          <w:sz w:val="21"/>
        </w:rPr>
        <w:t xml:space="preserve">Bystander opens app at scene → app immediately surfaces a one-tap 112 call button, satisfying the Article 93 simultaneous-notification requirement.[^3]</w:t>
      </w:r>
    </w:p>
    <w:p>
      <w:pPr>
        <w:numPr>
          <w:ilvl w:val="0"/>
          <w:numId w:val="2"/>
        </w:numPr>
        <w:spacing w:line="360" w:before="105" w:after="105" w:lineRule="auto"/>
      </w:pPr>
      <w:r>
        <w:rPr>
          <w:rFonts w:eastAsia="source serif 4" w:cs="source serif 4" w:ascii="source serif 4" w:hAnsi="source serif 4"/>
          <w:color w:val="000000"/>
          <w:sz w:val="21"/>
        </w:rPr>
        <w:t xml:space="preserve">App asks: "Is the victim conscious and responsive?" → branches into explicit-consent flow (ask before capturing any data) or vital-interests flow (proceed directly to data capture and first-aid guidance).[^4]</w:t>
      </w:r>
    </w:p>
    <w:p>
      <w:pPr>
        <w:numPr>
          <w:ilvl w:val="0"/>
          <w:numId w:val="2"/>
        </w:numPr>
        <w:spacing w:line="360" w:before="105" w:after="105" w:lineRule="auto"/>
      </w:pPr>
      <w:r>
        <w:rPr>
          <w:rFonts w:eastAsia="source serif 4" w:cs="source serif 4" w:ascii="source serif 4" w:hAnsi="source serif 4"/>
          <w:color w:val="000000"/>
          <w:sz w:val="21"/>
        </w:rPr>
        <w:t xml:space="preserve">If conscious and refuses assistance → app logs refusal, retains only the 112 call event, discontinues data capture, consistent with the legal boundary that vital interests cannot override a competent refusal.[^4]</w:t>
      </w:r>
    </w:p>
    <w:p>
      <w:pPr>
        <w:numPr>
          <w:ilvl w:val="0"/>
          <w:numId w:val="2"/>
        </w:numPr>
        <w:spacing w:line="360" w:before="105" w:after="105" w:lineRule="auto"/>
      </w:pPr>
      <w:r>
        <w:rPr>
          <w:rFonts w:eastAsia="source serif 4" w:cs="source serif 4" w:ascii="source serif 4" w:hAnsi="source serif 4"/>
          <w:color w:val="000000"/>
          <w:sz w:val="21"/>
        </w:rPr>
        <w:t xml:space="preserve">If unconscious/unresponsive or a minor without guardian → app proceeds under vital interests, capturing location, symptoms, and photos, and displays dispatcher-aligned first-aid steps rather than independent medical judgment, preserving the good-faith immunity under Article 94.[^3]</w:t>
      </w:r>
    </w:p>
    <w:p>
      <w:pPr>
        <w:numPr>
          <w:ilvl w:val="0"/>
          <w:numId w:val="2"/>
        </w:numPr>
        <w:spacing w:line="360" w:before="105" w:after="105" w:lineRule="auto"/>
      </w:pPr>
      <w:r>
        <w:rPr>
          <w:rFonts w:eastAsia="source serif 4" w:cs="source serif 4" w:ascii="source serif 4" w:hAnsi="source serif 4"/>
          <w:color w:val="000000"/>
          <w:sz w:val="21"/>
        </w:rPr>
        <w:t xml:space="preserve">All decisions, timestamps, and data fields populate the Incident ID audit trail, which serves both technical traceability and legal defensibility if the bystander's actions are later questioned.</w:t>
      </w:r>
    </w:p>
    <w:p>
      <w:pPr>
        <w:numPr>
          <w:ilvl w:val="0"/>
          <w:numId w:val="2"/>
        </w:numPr>
        <w:spacing w:line="360" w:before="105" w:after="105" w:lineRule="auto"/>
      </w:pPr>
      <w:r>
        <w:rPr>
          <w:rFonts w:eastAsia="source serif 4" w:cs="source serif 4" w:ascii="source serif 4" w:hAnsi="source serif 4"/>
          <w:color w:val="000000"/>
          <w:sz w:val="21"/>
        </w:rPr>
        <w:t xml:space="preserve">Data is relayed toward the Responder Dashboard (Layer 3) and, once Layer 4 is authorized, onward into PEMEA/NG112 channels toward the STS-designated crew.[</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8]</w:t>
      </w:r>
    </w:p>
    <w:p>
      <w:pPr>
        <w:spacing w:line="360" w:before="315" w:after="105" w:lineRule="auto"/>
        <w:ind w:left="-30"/>
        <w:jc w:val="left"/>
      </w:pPr>
      <w:bookmarkStart w:id="6" w:name="key_design_implications"/>
      <w:r>
        <w:rPr>
          <w:rFonts w:eastAsia="source serif 4" w:cs="source serif 4" w:ascii="source serif 4" w:hAnsi="source serif 4"/>
          <w:b/>
          <w:color w:val="000000"/>
          <w:sz w:val="24"/>
        </w:rPr>
        <w:t xml:space="preserve">Key Design Implications</w:t>
      </w:r>
      <w:bookmarkEnd w:id="6"/>
    </w:p>
    <w:p>
      <w:pPr>
        <w:spacing w:line="360" w:after="210" w:lineRule="auto"/>
      </w:pPr>
      <w:r>
        <w:rPr>
          <w:rFonts w:eastAsia="source serif 4" w:cs="source serif 4" w:ascii="source serif 4" w:hAnsi="source serif 4"/>
          <w:color w:val="000000"/>
        </w:rPr>
        <w:t xml:space="preserve">The framework's legal defensibility rests on never presenting itself as a replacement for 112, always logging the consent-state determination, and structuring data for eventual — but not assumed — interoperability with PEMEA, NG112, and EHDS/FHIR standards. Positioning the platform as a "first-aid guidance and supplementary data" layer that operates alongside the mandatory 112 call, rather than as an independent emergency-response channel, keeps it aligned with both the criminal-law duty to notify authorities and the health-law framework that grants volunteers immunity only when acting on or consistent with dispatcher instructions. The GDPR vital-interests basis provides a clean, narrow legal foundation for acting without consent, but only if the incapacity determination is genuinely made and recorded, not assumed by default — building this determination as an explicit, audited step protects both the victim's data rights and the platform operator's compliance posture.[</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references"/>
      <w:r>
        <w:rPr>
          <w:rFonts w:eastAsia="source serif 4" w:cs="source serif 4" w:ascii="source serif 4" w:hAnsi="source serif 4"/>
          <w:b/>
          <w:color w:val="000000"/>
          <w:sz w:val="24"/>
        </w:rPr>
        <w:t xml:space="preserve">References</w:t>
      </w:r>
      <w:bookmarkEnd w:id="7"/>
    </w:p>
    <w:p>
      <w:pPr>
        <w:numPr>
          <w:ilvl w:val="0"/>
          <w:numId w:val="3"/>
        </w:numPr>
        <w:spacing w:line="360" w:after="210" w:lineRule="auto"/>
      </w:pPr>
      <w:hyperlink r:id="rId5">
        <w:r>
          <w:rPr>
            <w:rFonts w:eastAsia="source sans 3" w:cs="source sans 3" w:ascii="source sans 3" w:hAnsi="source sans 3"/>
            <w:color w:val="#000"/>
            <w:sz w:val="21"/>
            <w:u w:val="single"/>
          </w:rPr>
          <w:t xml:space="preserve">Titlul i - Infracţiuni contra persoanei - Codul Penal din 2009 ...</w:t>
        </w:r>
      </w:hyperlink>
      <w:r>
        <w:rPr>
          <w:rFonts w:eastAsia="source serif 4" w:cs="source serif 4" w:ascii="source serif 4" w:hAnsi="source serif 4"/>
          <w:color w:val="000000"/>
          <w:sz w:val="21"/>
        </w:rPr>
        <w:t xml:space="preserve"> - Verificați statutul juridic actual - Titlul i - Infracţiuni contra persoanei - Codul Penal din 2009 ...</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Art. 203. Lăsarea fără ajutor a unei persoane aflate în ...</w:t>
        </w:r>
      </w:hyperlink>
      <w:r>
        <w:rPr>
          <w:rFonts w:eastAsia="source serif 4" w:cs="source serif 4" w:ascii="source serif 4" w:hAnsi="source serif 4"/>
          <w:color w:val="000000"/>
          <w:sz w:val="21"/>
        </w:rPr>
        <w:t xml:space="preserve"> - Codul penal · Art. 203. Lăsarea fără ajutor a unei persoane aflate în dificultate · Navigare în arti...</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Legislatia primului ajutor în România. Pot fi tras la ...</w:t>
        </w:r>
      </w:hyperlink>
      <w:r>
        <w:rPr>
          <w:rFonts w:eastAsia="source serif 4" w:cs="source serif 4" w:ascii="source serif 4" w:hAnsi="source serif 4"/>
          <w:color w:val="000000"/>
          <w:sz w:val="21"/>
        </w:rPr>
        <w:t xml:space="preserve"> - Conform Codului Penal: „Omisiunea de a da ajutorul necesar sau de a anunţa de îndată autorităţile de...</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What are the conditions for processing? | ICO</w:t>
        </w:r>
      </w:hyperlink>
    </w:p>
    <w:p>
      <w:pPr>
        <w:numPr>
          <w:ilvl w:val="0"/>
          <w:numId w:val="3"/>
        </w:numPr>
        <w:spacing w:line="360" w:after="210" w:lineRule="auto"/>
      </w:pPr>
      <w:hyperlink r:id="rId9">
        <w:r>
          <w:rPr>
            <w:rFonts w:eastAsia="source sans 3" w:cs="source sans 3" w:ascii="source sans 3" w:hAnsi="source sans 3"/>
            <w:color w:val="#000"/>
            <w:sz w:val="21"/>
            <w:u w:val="single"/>
          </w:rPr>
          <w:t xml:space="preserve">Health Data Under Article 9 GDPR: Lawful Conditions - Legiscope</w:t>
        </w:r>
      </w:hyperlink>
      <w:r>
        <w:rPr>
          <w:rFonts w:eastAsia="source serif 4" w:cs="source serif 4" w:ascii="source serif 4" w:hAnsi="source serif 4"/>
          <w:color w:val="000000"/>
          <w:sz w:val="21"/>
        </w:rPr>
        <w:t xml:space="preserve"> - Which Art. 9(2) conditions health organisations actually rely on and how each one fails: explicit co...</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Serviciul de urgență 112</w:t>
        </w:r>
      </w:hyperlink>
      <w:r>
        <w:rPr>
          <w:rFonts w:eastAsia="source serif 4" w:cs="source serif 4" w:ascii="source serif 4" w:hAnsi="source serif 4"/>
          <w:color w:val="000000"/>
          <w:sz w:val="21"/>
        </w:rPr>
        <w:t xml:space="preserve"> - SNUAU este compus din centre unice pentru apeluri de urgență, dispecerate integrate de urgență și di...</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1/24</w:t>
        </w:r>
      </w:hyperlink>
    </w:p>
    <w:p>
      <w:pPr>
        <w:numPr>
          <w:ilvl w:val="0"/>
          <w:numId w:val="3"/>
        </w:numPr>
        <w:spacing w:line="360" w:after="210" w:lineRule="auto"/>
      </w:pPr>
      <w:hyperlink r:id="rId12">
        <w:r>
          <w:rPr>
            <w:rFonts w:eastAsia="source sans 3" w:cs="source sans 3" w:ascii="source sans 3" w:hAnsi="source sans 3"/>
            <w:color w:val="#000"/>
            <w:sz w:val="21"/>
            <w:u w:val="single"/>
          </w:rPr>
          <w:t xml:space="preserve">TC EMTEL</w:t>
        </w:r>
      </w:hyperlink>
    </w:p>
    <w:p>
      <w:pPr>
        <w:numPr>
          <w:ilvl w:val="0"/>
          <w:numId w:val="3"/>
        </w:numPr>
        <w:spacing w:line="360" w:after="210" w:lineRule="auto"/>
      </w:pPr>
      <w:hyperlink r:id="rId13">
        <w:r>
          <w:rPr>
            <w:rFonts w:eastAsia="source sans 3" w:cs="source sans 3" w:ascii="source sans 3" w:hAnsi="source sans 3"/>
            <w:color w:val="#000"/>
            <w:sz w:val="21"/>
            <w:u w:val="single"/>
          </w:rPr>
          <w:t xml:space="preserve">Emergency Communications (EMTEL); Pan-European Mobile Emergency Application</w:t>
        </w:r>
      </w:hyperlink>
      <w:r>
        <w:rPr>
          <w:rFonts w:eastAsia="source serif 4" w:cs="source serif 4" w:ascii="source serif 4" w:hAnsi="source serif 4"/>
          <w:color w:val="000000"/>
          <w:sz w:val="21"/>
        </w:rPr>
        <w:t xml:space="preserve"> - The Pan-European Mobile Emergency Application (PEMEA) architecture provides the requirements and arc...</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[PDF] TS 103 478 - V1.2.1 - Emergency Communications (EMTEL) - ETSI</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HL7 Europe has published Base and Core FHIR ...</w:t>
        </w:r>
      </w:hyperlink>
      <w:r>
        <w:rPr>
          <w:rFonts w:eastAsia="source serif 4" w:cs="source serif 4" w:ascii="source serif 4" w:hAnsi="source serif 4"/>
          <w:color w:val="000000"/>
          <w:sz w:val="21"/>
        </w:rPr>
        <w:t xml:space="preserve"> - HL7 Europe has published Base and Core FHIR Implementation Guides version 2.0.0 Brussels, 28 April 2...</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EU Health Data API - European Interoperability Specifications ...</w:t>
        </w:r>
      </w:hyperlink>
      <w:r>
        <w:rPr>
          <w:rFonts w:eastAsia="source serif 4" w:cs="source serif 4" w:ascii="source serif 4" w:hAnsi="source serif 4"/>
          <w:color w:val="000000"/>
          <w:sz w:val="21"/>
        </w:rPr>
        <w:t xml:space="preserve"> - The EU Health Data API Implementation Guide proposes how EHR systems can meet these requirements usi...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intact.ro/legislatie/monitorul-oficial/codul-penal-din-2009-legea-nr-286-2009-16901302/cz-ii-tyt-i" TargetMode="External"/><Relationship Id="rId6" Type="http://schemas.openxmlformats.org/officeDocument/2006/relationships/hyperlink" Target="https://coduri.juridice.ro/codul-penal/index.php/2019/09/17/art-203-lasarea-fara-ajutor-a-unei-persoane-aflate-in-dificultate/" TargetMode="External"/><Relationship Id="rId7" Type="http://schemas.openxmlformats.org/officeDocument/2006/relationships/hyperlink" Target="https://academiadeprimajutor.ro/legislatia-primului-ajutor-in-romania/" TargetMode="External"/><Relationship Id="rId8" Type="http://schemas.openxmlformats.org/officeDocument/2006/relationships/hyperlink" Target="https://ico.org.uk/for-organisations/uk-gdpr-guidance-and-resources/lawful-basis/special-category-data/what-are-the-conditions-for-processing/" TargetMode="External"/><Relationship Id="rId9" Type="http://schemas.openxmlformats.org/officeDocument/2006/relationships/hyperlink" Target="https://www.legiscope.com/blog/health-data-article-9-gdpr.html" TargetMode="External"/><Relationship Id="rId10" Type="http://schemas.openxmlformats.org/officeDocument/2006/relationships/hyperlink" Target="https://sts.ro/ro/servicii/despre-112/" TargetMode="External"/><Relationship Id="rId11" Type="http://schemas.openxmlformats.org/officeDocument/2006/relationships/hyperlink" Target="https://www.sts.ro/files/userfiles/112/docs/Procedura_de_inregistrare_a_persoanelor.pdf" TargetMode="External"/><Relationship Id="rId12" Type="http://schemas.openxmlformats.org/officeDocument/2006/relationships/hyperlink" Target="https://portal.etsi.org/Portals/0/TBpages/emtel/Docs/ETSI%20EMTEL%20Overview.pdf?ver=Pjfi3hNFz7PiDkdiAnX9yA==" TargetMode="External"/><Relationship Id="rId13" Type="http://schemas.openxmlformats.org/officeDocument/2006/relationships/hyperlink" Target="https://standict.eu/standards-repository/emergency-communications-emtel-pan-european-mobile-emergency-application" TargetMode="External"/><Relationship Id="rId14" Type="http://schemas.openxmlformats.org/officeDocument/2006/relationships/hyperlink" Target="https://www.etsi.org/deliver/etsi_ts/103400_103499/103478/01.02.01_60/ts_103478v010201p.pdf" TargetMode="External"/><Relationship Id="rId15" Type="http://schemas.openxmlformats.org/officeDocument/2006/relationships/hyperlink" Target="https://www.hl7europe.org/hl7-europe-has-published-base-and-core-fhir-implementation-guides-version-2-0-0/" TargetMode="External"/><Relationship Id="rId16" Type="http://schemas.openxmlformats.org/officeDocument/2006/relationships/hyperlink" Target="https://euridice.org/eu-health-data-ap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2026-08-12T11:40:12.879Z</dcterms:created>
  <dcterms:modified xsi:type="dcterms:W3CDTF">2026-08-12T11:40:12.879Z</dcterms:modified>
</cp:coreProperties>
</file>