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A330" w14:textId="77777777" w:rsidR="002B7017" w:rsidRPr="002B7017" w:rsidRDefault="002B7017" w:rsidP="002B7017">
      <w:pPr>
        <w:pStyle w:val="Titolo1"/>
      </w:pPr>
      <w:r w:rsidRPr="002B7017">
        <w:t>Analisi di Materialità e Doppia Materialità: Guida Completa </w:t>
      </w:r>
    </w:p>
    <w:p w14:paraId="0A99139A" w14:textId="77777777" w:rsidR="002B7017" w:rsidRPr="002B7017" w:rsidRDefault="002B7017" w:rsidP="002B7017">
      <w:r w:rsidRPr="002B7017">
        <w:t>L’</w:t>
      </w:r>
      <w:r w:rsidRPr="002B7017">
        <w:rPr>
          <w:b/>
          <w:bCs/>
        </w:rPr>
        <w:t>analisi di materialità</w:t>
      </w:r>
      <w:r w:rsidRPr="002B7017">
        <w:t xml:space="preserve"> è un processo strategico fondamentale per le aziende che desiderano identificare e valutare i temi ESG (</w:t>
      </w:r>
      <w:proofErr w:type="spellStart"/>
      <w:r w:rsidRPr="002B7017">
        <w:t>Environmental</w:t>
      </w:r>
      <w:proofErr w:type="spellEnd"/>
      <w:r w:rsidRPr="002B7017">
        <w:t xml:space="preserve">, Social, Governance) più rilevanti per il proprio business e per i propri stakeholder. Con l’introduzione della </w:t>
      </w:r>
      <w:r w:rsidRPr="002B7017">
        <w:rPr>
          <w:b/>
          <w:bCs/>
        </w:rPr>
        <w:t>doppia materialità</w:t>
      </w:r>
      <w:r w:rsidRPr="002B7017">
        <w:t>, il concetto si è evoluto per considerare non solo l’impatto delle tematiche ESG sull’azienda, ma anche l’effetto che l’azienda stessa ha sull’ambiente e sulla società. </w:t>
      </w:r>
    </w:p>
    <w:p w14:paraId="2D91A009" w14:textId="77777777" w:rsidR="002B7017" w:rsidRPr="002B7017" w:rsidRDefault="002B7017" w:rsidP="002B7017">
      <w:r w:rsidRPr="002B7017">
        <w:t> </w:t>
      </w:r>
    </w:p>
    <w:p w14:paraId="46B54FBD" w14:textId="77777777" w:rsidR="002B7017" w:rsidRPr="002B7017" w:rsidRDefault="002B7017" w:rsidP="002B7017">
      <w:pPr>
        <w:pStyle w:val="Titolo2"/>
      </w:pPr>
      <w:r w:rsidRPr="002B7017">
        <w:t>Cos’è l’Analisi di Materialità? </w:t>
      </w:r>
    </w:p>
    <w:p w14:paraId="34C0D0AA" w14:textId="77777777" w:rsidR="002B7017" w:rsidRPr="002B7017" w:rsidRDefault="002B7017" w:rsidP="002B7017">
      <w:r w:rsidRPr="002B7017">
        <w:t>L’</w:t>
      </w:r>
      <w:r w:rsidRPr="002B7017">
        <w:rPr>
          <w:b/>
          <w:bCs/>
        </w:rPr>
        <w:t>analisi di materialità</w:t>
      </w:r>
      <w:r w:rsidRPr="002B7017">
        <w:t xml:space="preserve"> è una metodologia utilizzata per individuare i temi di sostenibilità che hanno maggiore rilevanza per l’impresa e per i suoi stakeholder. Questo processo aiuta le organizzazioni a definire le priorità in ambito ESG, garantendo che le strategie di sostenibilità siano allineate con le aspettative del mercato e con le normative vigenti. </w:t>
      </w:r>
    </w:p>
    <w:p w14:paraId="6411DCC7" w14:textId="77777777" w:rsidR="002B7017" w:rsidRPr="002B7017" w:rsidRDefault="002B7017" w:rsidP="002B7017">
      <w:r w:rsidRPr="002B7017">
        <w:t> </w:t>
      </w:r>
    </w:p>
    <w:p w14:paraId="1C4FA206" w14:textId="77777777" w:rsidR="002B7017" w:rsidRPr="002B7017" w:rsidRDefault="002B7017" w:rsidP="002B7017">
      <w:pPr>
        <w:pStyle w:val="Titolo2"/>
      </w:pPr>
      <w:r w:rsidRPr="002B7017">
        <w:t>Doppia Materialità: Un Nuovo Approccio </w:t>
      </w:r>
    </w:p>
    <w:p w14:paraId="360790F4" w14:textId="77777777" w:rsidR="002B7017" w:rsidRPr="002B7017" w:rsidRDefault="002B7017" w:rsidP="002B7017">
      <w:r w:rsidRPr="002B7017">
        <w:t xml:space="preserve">La </w:t>
      </w:r>
      <w:r w:rsidRPr="002B7017">
        <w:rPr>
          <w:b/>
          <w:bCs/>
        </w:rPr>
        <w:t>doppia materialità</w:t>
      </w:r>
      <w:r w:rsidRPr="002B7017">
        <w:t xml:space="preserve"> amplia la prospettiva dell’analisi tradizionale, suddividendola in due dimensioni: </w:t>
      </w:r>
    </w:p>
    <w:p w14:paraId="5B50B323" w14:textId="77777777" w:rsidR="002B7017" w:rsidRPr="002B7017" w:rsidRDefault="002B7017" w:rsidP="002B7017">
      <w:pPr>
        <w:numPr>
          <w:ilvl w:val="0"/>
          <w:numId w:val="1"/>
        </w:numPr>
      </w:pPr>
      <w:r w:rsidRPr="002B7017">
        <w:rPr>
          <w:b/>
          <w:bCs/>
        </w:rPr>
        <w:t>Materialità finanziaria:</w:t>
      </w:r>
      <w:r w:rsidRPr="002B7017">
        <w:t xml:space="preserve"> riguarda l’impatto delle tematiche ESG sulla performance economica e finanziaria dell’azienda. </w:t>
      </w:r>
    </w:p>
    <w:p w14:paraId="41F51F08" w14:textId="77777777" w:rsidR="002B7017" w:rsidRPr="002B7017" w:rsidRDefault="002B7017" w:rsidP="002B7017">
      <w:pPr>
        <w:numPr>
          <w:ilvl w:val="0"/>
          <w:numId w:val="2"/>
        </w:numPr>
      </w:pPr>
      <w:r w:rsidRPr="002B7017">
        <w:rPr>
          <w:b/>
          <w:bCs/>
        </w:rPr>
        <w:t>Materialità d’impatto:</w:t>
      </w:r>
      <w:r w:rsidRPr="002B7017">
        <w:t xml:space="preserve"> si concentra sull’influenza che l’attività dell’azienda ha sull’ambiente e sulla società. </w:t>
      </w:r>
    </w:p>
    <w:p w14:paraId="73B43D29" w14:textId="77777777" w:rsidR="002B7017" w:rsidRPr="002B7017" w:rsidRDefault="002B7017" w:rsidP="002B7017">
      <w:r w:rsidRPr="002B7017">
        <w:t xml:space="preserve">Questo approccio è stato formalizzato dalla </w:t>
      </w:r>
      <w:r w:rsidRPr="002B7017">
        <w:rPr>
          <w:b/>
          <w:bCs/>
        </w:rPr>
        <w:t xml:space="preserve">Corporate </w:t>
      </w:r>
      <w:proofErr w:type="spellStart"/>
      <w:r w:rsidRPr="002B7017">
        <w:rPr>
          <w:b/>
          <w:bCs/>
        </w:rPr>
        <w:t>Sustainability</w:t>
      </w:r>
      <w:proofErr w:type="spellEnd"/>
      <w:r w:rsidRPr="002B7017">
        <w:rPr>
          <w:b/>
          <w:bCs/>
        </w:rPr>
        <w:t xml:space="preserve"> Reporting Directive (CSRD)</w:t>
      </w:r>
      <w:r w:rsidRPr="002B7017">
        <w:t xml:space="preserve"> dell’Unione Europea, che rende obbligatoria la </w:t>
      </w:r>
      <w:r w:rsidRPr="002B7017">
        <w:rPr>
          <w:b/>
          <w:bCs/>
        </w:rPr>
        <w:t>rendicontazione ESG</w:t>
      </w:r>
      <w:r w:rsidRPr="002B7017">
        <w:t xml:space="preserve"> basata sul principio della doppia materialità. </w:t>
      </w:r>
    </w:p>
    <w:p w14:paraId="649B4421" w14:textId="77777777" w:rsidR="002B7017" w:rsidRPr="002B7017" w:rsidRDefault="002B7017" w:rsidP="002B7017">
      <w:pPr>
        <w:pStyle w:val="Titolo2"/>
      </w:pPr>
      <w:r w:rsidRPr="002B7017">
        <w:t> </w:t>
      </w:r>
    </w:p>
    <w:p w14:paraId="3391981B" w14:textId="77777777" w:rsidR="002B7017" w:rsidRPr="002B7017" w:rsidRDefault="002B7017" w:rsidP="002B7017">
      <w:pPr>
        <w:pStyle w:val="Titolo2"/>
      </w:pPr>
      <w:r w:rsidRPr="002B7017">
        <w:t>Come Condurre un’Analisi di Materialità </w:t>
      </w:r>
    </w:p>
    <w:p w14:paraId="73850FC8" w14:textId="77777777" w:rsidR="002B7017" w:rsidRPr="002B7017" w:rsidRDefault="002B7017" w:rsidP="002B7017">
      <w:r w:rsidRPr="002B7017">
        <w:t>Per un’analisi efficace, è necessario seguire alcuni passaggi chiave: </w:t>
      </w:r>
    </w:p>
    <w:p w14:paraId="52BB72E7" w14:textId="77777777" w:rsidR="002B7017" w:rsidRPr="002B7017" w:rsidRDefault="002B7017" w:rsidP="002B7017">
      <w:pPr>
        <w:numPr>
          <w:ilvl w:val="0"/>
          <w:numId w:val="3"/>
        </w:numPr>
      </w:pPr>
      <w:r w:rsidRPr="002B7017">
        <w:rPr>
          <w:b/>
          <w:bCs/>
        </w:rPr>
        <w:t>Identificazione dei temi rilevanti</w:t>
      </w:r>
      <w:r w:rsidRPr="002B7017">
        <w:t xml:space="preserve"> attraverso benchmark di settore e normative ESG. </w:t>
      </w:r>
    </w:p>
    <w:p w14:paraId="7C33DC82" w14:textId="77777777" w:rsidR="002B7017" w:rsidRPr="002B7017" w:rsidRDefault="002B7017" w:rsidP="002B7017">
      <w:pPr>
        <w:numPr>
          <w:ilvl w:val="0"/>
          <w:numId w:val="4"/>
        </w:numPr>
      </w:pPr>
      <w:r w:rsidRPr="002B7017">
        <w:rPr>
          <w:b/>
          <w:bCs/>
        </w:rPr>
        <w:t>Coinvolgimento degli stakeholder</w:t>
      </w:r>
      <w:r w:rsidRPr="002B7017">
        <w:t xml:space="preserve"> per raccogliere opinioni e aspettative. </w:t>
      </w:r>
    </w:p>
    <w:p w14:paraId="6C9F6A33" w14:textId="77777777" w:rsidR="002B7017" w:rsidRPr="002B7017" w:rsidRDefault="002B7017" w:rsidP="002B7017">
      <w:pPr>
        <w:numPr>
          <w:ilvl w:val="0"/>
          <w:numId w:val="5"/>
        </w:numPr>
      </w:pPr>
      <w:r w:rsidRPr="002B7017">
        <w:rPr>
          <w:b/>
          <w:bCs/>
        </w:rPr>
        <w:t>Valutazione dell’impatto</w:t>
      </w:r>
      <w:r w:rsidRPr="002B7017">
        <w:t xml:space="preserve"> in base alla materialità finanziaria e d’impatto. </w:t>
      </w:r>
    </w:p>
    <w:p w14:paraId="3ABA13D9" w14:textId="77777777" w:rsidR="002B7017" w:rsidRPr="002B7017" w:rsidRDefault="002B7017" w:rsidP="002B7017">
      <w:pPr>
        <w:numPr>
          <w:ilvl w:val="0"/>
          <w:numId w:val="6"/>
        </w:numPr>
      </w:pPr>
      <w:r w:rsidRPr="002B7017">
        <w:rPr>
          <w:b/>
          <w:bCs/>
        </w:rPr>
        <w:t>Definizione delle priorità strategiche</w:t>
      </w:r>
      <w:r w:rsidRPr="002B7017">
        <w:t xml:space="preserve"> per integrare i temi ESG nella governance aziendale. </w:t>
      </w:r>
    </w:p>
    <w:p w14:paraId="0F984646" w14:textId="77777777" w:rsidR="002B7017" w:rsidRPr="002B7017" w:rsidRDefault="002B7017" w:rsidP="002B7017">
      <w:pPr>
        <w:numPr>
          <w:ilvl w:val="0"/>
          <w:numId w:val="7"/>
        </w:numPr>
      </w:pPr>
      <w:r w:rsidRPr="002B7017">
        <w:rPr>
          <w:b/>
          <w:bCs/>
        </w:rPr>
        <w:t>Rendicontazione e comunicazione</w:t>
      </w:r>
      <w:r w:rsidRPr="002B7017">
        <w:t xml:space="preserve"> attraverso report di sostenibilità e bilanci ESG. </w:t>
      </w:r>
    </w:p>
    <w:p w14:paraId="5FCCA81F" w14:textId="77777777" w:rsidR="002B7017" w:rsidRPr="002B7017" w:rsidRDefault="002B7017" w:rsidP="002B7017">
      <w:r w:rsidRPr="002B7017">
        <w:t> </w:t>
      </w:r>
    </w:p>
    <w:p w14:paraId="495A8C0C" w14:textId="77777777" w:rsidR="002B7017" w:rsidRPr="002B7017" w:rsidRDefault="002B7017" w:rsidP="002B7017">
      <w:pPr>
        <w:pStyle w:val="Titolo2"/>
      </w:pPr>
      <w:r w:rsidRPr="002B7017">
        <w:t>Importanza della Doppia Materialità per le Aziende </w:t>
      </w:r>
    </w:p>
    <w:p w14:paraId="31BB7995" w14:textId="77777777" w:rsidR="002B7017" w:rsidRPr="002B7017" w:rsidRDefault="002B7017" w:rsidP="002B7017">
      <w:r w:rsidRPr="002B7017">
        <w:t xml:space="preserve">Integrare la </w:t>
      </w:r>
      <w:r w:rsidRPr="002B7017">
        <w:rPr>
          <w:b/>
          <w:bCs/>
        </w:rPr>
        <w:t>doppia materialità</w:t>
      </w:r>
      <w:r w:rsidRPr="002B7017">
        <w:t xml:space="preserve"> nella gestione aziendale porta diversi vantaggi: </w:t>
      </w:r>
    </w:p>
    <w:p w14:paraId="00341F13" w14:textId="77777777" w:rsidR="002B7017" w:rsidRPr="002B7017" w:rsidRDefault="002B7017" w:rsidP="002B7017">
      <w:pPr>
        <w:numPr>
          <w:ilvl w:val="0"/>
          <w:numId w:val="8"/>
        </w:numPr>
      </w:pPr>
      <w:r w:rsidRPr="002B7017">
        <w:rPr>
          <w:b/>
          <w:bCs/>
        </w:rPr>
        <w:lastRenderedPageBreak/>
        <w:t>Migliore trasparenza e credibilità</w:t>
      </w:r>
      <w:r w:rsidRPr="002B7017">
        <w:t xml:space="preserve"> nei confronti di investitori e stakeholder. </w:t>
      </w:r>
    </w:p>
    <w:p w14:paraId="6A98DC7D" w14:textId="77777777" w:rsidR="002B7017" w:rsidRPr="002B7017" w:rsidRDefault="002B7017" w:rsidP="002B7017">
      <w:pPr>
        <w:numPr>
          <w:ilvl w:val="0"/>
          <w:numId w:val="9"/>
        </w:numPr>
      </w:pPr>
      <w:r w:rsidRPr="002B7017">
        <w:rPr>
          <w:b/>
          <w:bCs/>
        </w:rPr>
        <w:t>Allineamento con le normative ESG</w:t>
      </w:r>
      <w:r w:rsidRPr="002B7017">
        <w:t>, evitando sanzioni e migliorando la reputazione. </w:t>
      </w:r>
    </w:p>
    <w:p w14:paraId="054F9749" w14:textId="77777777" w:rsidR="002B7017" w:rsidRPr="002B7017" w:rsidRDefault="002B7017" w:rsidP="002B7017">
      <w:pPr>
        <w:numPr>
          <w:ilvl w:val="0"/>
          <w:numId w:val="10"/>
        </w:numPr>
      </w:pPr>
      <w:r w:rsidRPr="002B7017">
        <w:rPr>
          <w:b/>
          <w:bCs/>
        </w:rPr>
        <w:t>Strategie di sostenibilità più efficaci</w:t>
      </w:r>
      <w:r w:rsidRPr="002B7017">
        <w:t>, grazie a una visione completa dell’impatto aziendale. </w:t>
      </w:r>
    </w:p>
    <w:p w14:paraId="596B6E49" w14:textId="77777777" w:rsidR="002B7017" w:rsidRPr="002B7017" w:rsidRDefault="002B7017" w:rsidP="002B7017">
      <w:pPr>
        <w:numPr>
          <w:ilvl w:val="0"/>
          <w:numId w:val="11"/>
        </w:numPr>
      </w:pPr>
      <w:r w:rsidRPr="002B7017">
        <w:rPr>
          <w:b/>
          <w:bCs/>
        </w:rPr>
        <w:t>Migliore accesso a finanziamenti sostenibili</w:t>
      </w:r>
      <w:r w:rsidRPr="002B7017">
        <w:t>, essenziali per la crescita responsabile. </w:t>
      </w:r>
    </w:p>
    <w:p w14:paraId="0972CB27" w14:textId="77777777" w:rsidR="002B7017" w:rsidRPr="002B7017" w:rsidRDefault="002B7017" w:rsidP="002B7017">
      <w:r w:rsidRPr="002B7017">
        <w:t> </w:t>
      </w:r>
    </w:p>
    <w:p w14:paraId="13E84879" w14:textId="77777777" w:rsidR="002B7017" w:rsidRPr="002B7017" w:rsidRDefault="002B7017" w:rsidP="002B7017">
      <w:pPr>
        <w:pStyle w:val="Titolo2"/>
      </w:pPr>
      <w:r w:rsidRPr="002B7017">
        <w:t>Conclusioni </w:t>
      </w:r>
    </w:p>
    <w:p w14:paraId="5131115D" w14:textId="77777777" w:rsidR="002B7017" w:rsidRPr="002B7017" w:rsidRDefault="002B7017" w:rsidP="002B7017">
      <w:r w:rsidRPr="002B7017">
        <w:t>L’</w:t>
      </w:r>
      <w:r w:rsidRPr="002B7017">
        <w:rPr>
          <w:b/>
          <w:bCs/>
        </w:rPr>
        <w:t>analisi di materialità</w:t>
      </w:r>
      <w:r w:rsidRPr="002B7017">
        <w:t xml:space="preserve"> e la </w:t>
      </w:r>
      <w:r w:rsidRPr="002B7017">
        <w:rPr>
          <w:b/>
          <w:bCs/>
        </w:rPr>
        <w:t>doppia materialità</w:t>
      </w:r>
      <w:r w:rsidRPr="002B7017">
        <w:t xml:space="preserve"> rappresentano strumenti fondamentali per le imprese che vogliono affrontare le sfide ESG in modo strategico e conforme alle normative. Implementare un approccio basato su questi principi permette di creare valore sostenibile, migliorando la competitività e la responsabilità aziendale nel lungo periodo. Scopri come possiamo supportarti in questo processo, clicca </w:t>
      </w:r>
      <w:r w:rsidRPr="002B7017">
        <w:rPr>
          <w:u w:val="single"/>
        </w:rPr>
        <w:t>qui</w:t>
      </w:r>
      <w:r w:rsidRPr="002B7017">
        <w:t xml:space="preserve"> per ottenere maggiori informazioni! </w:t>
      </w:r>
    </w:p>
    <w:p w14:paraId="6273FA98" w14:textId="77777777" w:rsidR="002B7017" w:rsidRPr="002B7017" w:rsidRDefault="002B7017" w:rsidP="002B7017">
      <w:r w:rsidRPr="002B7017">
        <w:t> </w:t>
      </w:r>
    </w:p>
    <w:p w14:paraId="04CBD8C4" w14:textId="166182F2" w:rsidR="00BD5A08" w:rsidRDefault="002B7017" w:rsidP="002B7017">
      <w:r w:rsidRPr="002B7017">
        <w:br/>
      </w:r>
    </w:p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6A62"/>
    <w:multiLevelType w:val="multilevel"/>
    <w:tmpl w:val="F232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D10FD"/>
    <w:multiLevelType w:val="multilevel"/>
    <w:tmpl w:val="D20CD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D5441"/>
    <w:multiLevelType w:val="multilevel"/>
    <w:tmpl w:val="22A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E85637"/>
    <w:multiLevelType w:val="multilevel"/>
    <w:tmpl w:val="9E9C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62A1D"/>
    <w:multiLevelType w:val="multilevel"/>
    <w:tmpl w:val="86F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5E07E9"/>
    <w:multiLevelType w:val="multilevel"/>
    <w:tmpl w:val="3306D2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623CAB"/>
    <w:multiLevelType w:val="multilevel"/>
    <w:tmpl w:val="36B4E1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D13BA"/>
    <w:multiLevelType w:val="multilevel"/>
    <w:tmpl w:val="D49A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0A2399"/>
    <w:multiLevelType w:val="multilevel"/>
    <w:tmpl w:val="AF7473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871CEA"/>
    <w:multiLevelType w:val="multilevel"/>
    <w:tmpl w:val="05A4D5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2E7241"/>
    <w:multiLevelType w:val="multilevel"/>
    <w:tmpl w:val="1500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755515">
    <w:abstractNumId w:val="3"/>
  </w:num>
  <w:num w:numId="2" w16cid:durableId="1098216445">
    <w:abstractNumId w:val="1"/>
  </w:num>
  <w:num w:numId="3" w16cid:durableId="1879970165">
    <w:abstractNumId w:val="0"/>
  </w:num>
  <w:num w:numId="4" w16cid:durableId="2129816710">
    <w:abstractNumId w:val="6"/>
  </w:num>
  <w:num w:numId="5" w16cid:durableId="1681278871">
    <w:abstractNumId w:val="8"/>
  </w:num>
  <w:num w:numId="6" w16cid:durableId="807287869">
    <w:abstractNumId w:val="9"/>
  </w:num>
  <w:num w:numId="7" w16cid:durableId="110711467">
    <w:abstractNumId w:val="5"/>
  </w:num>
  <w:num w:numId="8" w16cid:durableId="33315863">
    <w:abstractNumId w:val="4"/>
  </w:num>
  <w:num w:numId="9" w16cid:durableId="1097941909">
    <w:abstractNumId w:val="7"/>
  </w:num>
  <w:num w:numId="10" w16cid:durableId="244731008">
    <w:abstractNumId w:val="2"/>
  </w:num>
  <w:num w:numId="11" w16cid:durableId="11086210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17"/>
    <w:rsid w:val="002B7017"/>
    <w:rsid w:val="0048102D"/>
    <w:rsid w:val="00523AC5"/>
    <w:rsid w:val="008044D4"/>
    <w:rsid w:val="00A97177"/>
    <w:rsid w:val="00BD5A08"/>
    <w:rsid w:val="00BE655F"/>
    <w:rsid w:val="00D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37B1"/>
  <w15:chartTrackingRefBased/>
  <w15:docId w15:val="{3CF95657-D5FC-4A44-99E3-123339DEC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B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B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B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B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B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B70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70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70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70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70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70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70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B70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70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70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B7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6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2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8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5F841D-29E1-43D6-9A8E-BB8DF25D80E3}"/>
</file>

<file path=customXml/itemProps2.xml><?xml version="1.0" encoding="utf-8"?>
<ds:datastoreItem xmlns:ds="http://schemas.openxmlformats.org/officeDocument/2006/customXml" ds:itemID="{32D6EF0E-312E-469A-B306-D5D88D5AD865}"/>
</file>

<file path=customXml/itemProps3.xml><?xml version="1.0" encoding="utf-8"?>
<ds:datastoreItem xmlns:ds="http://schemas.openxmlformats.org/officeDocument/2006/customXml" ds:itemID="{6482B984-CF86-4D00-9A30-B8403F25BC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2025-03-07T21:46:00Z</dcterms:created>
  <dcterms:modified xsi:type="dcterms:W3CDTF">2025-03-07T21:47:00Z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7300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