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02F1113" w:rsidP="2901C933" w:rsidRDefault="15467AA6" w14:paraId="5988E4B7" w14:textId="50A38E3B">
      <w:pPr>
        <w:pStyle w:val="Titolo1"/>
        <w:rPr>
          <w:rFonts w:ascii="Avenir Next LT Pro" w:hAnsi="Avenir Next LT Pro" w:eastAsia="Avenir Next LT Pro" w:cs="Avenir Next LT Pro"/>
          <w:b/>
          <w:bCs/>
          <w:sz w:val="24"/>
          <w:szCs w:val="24"/>
        </w:rPr>
      </w:pPr>
      <w:r w:rsidRPr="2901C933">
        <w:rPr>
          <w:rFonts w:ascii="Avenir Next LT Pro" w:hAnsi="Avenir Next LT Pro" w:eastAsia="Avenir Next LT Pro" w:cs="Avenir Next LT Pro"/>
        </w:rPr>
        <w:t xml:space="preserve">Bilancio di Sostenibilità: </w:t>
      </w:r>
      <w:r w:rsidRPr="2901C933" w:rsidR="4C95DE41">
        <w:rPr>
          <w:rFonts w:ascii="Avenir Next LT Pro" w:hAnsi="Avenir Next LT Pro" w:eastAsia="Avenir Next LT Pro" w:cs="Avenir Next LT Pro"/>
        </w:rPr>
        <w:t>G</w:t>
      </w:r>
      <w:r w:rsidRPr="2901C933" w:rsidR="626B8C9E">
        <w:rPr>
          <w:rFonts w:ascii="Avenir Next LT Pro" w:hAnsi="Avenir Next LT Pro" w:eastAsia="Avenir Next LT Pro" w:cs="Avenir Next LT Pro"/>
        </w:rPr>
        <w:t xml:space="preserve">uida </w:t>
      </w:r>
      <w:r w:rsidRPr="2901C933" w:rsidR="4C91AB7A">
        <w:rPr>
          <w:rFonts w:ascii="Avenir Next LT Pro" w:hAnsi="Avenir Next LT Pro" w:eastAsia="Avenir Next LT Pro" w:cs="Avenir Next LT Pro"/>
        </w:rPr>
        <w:t>C</w:t>
      </w:r>
      <w:r w:rsidRPr="2901C933" w:rsidR="626B8C9E">
        <w:rPr>
          <w:rFonts w:ascii="Avenir Next LT Pro" w:hAnsi="Avenir Next LT Pro" w:eastAsia="Avenir Next LT Pro" w:cs="Avenir Next LT Pro"/>
        </w:rPr>
        <w:t>ompleta</w:t>
      </w:r>
    </w:p>
    <w:p w:rsidR="302F1113" w:rsidP="2901C933" w:rsidRDefault="5585F25E" w14:paraId="19A882ED" w14:textId="57D7D2BC">
      <w:p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>Scopri cos'è il bilancio di sostenibilità, come redigerlo e i vantaggi per le aziende. Migliora la trasparenza e ottieni un vantaggio competitivo.</w:t>
      </w:r>
    </w:p>
    <w:p w:rsidR="302F1113" w:rsidP="09F073CE" w:rsidRDefault="5585F25E" w14:paraId="518C4662" w14:textId="677997DD">
      <w:pPr>
        <w:spacing w:before="240" w:after="240"/>
        <w:rPr>
          <w:rFonts w:ascii="Avenir Next LT Pro" w:hAnsi="Avenir Next LT Pro" w:eastAsia="Avenir Next LT Pro" w:cs="Avenir Next LT Pro"/>
        </w:rPr>
      </w:pPr>
      <w:r w:rsidRPr="09F073CE">
        <w:rPr>
          <w:rFonts w:ascii="Avenir Next LT Pro" w:hAnsi="Avenir Next LT Pro" w:eastAsia="Avenir Next LT Pro" w:cs="Avenir Next LT Pro"/>
          <w:b/>
          <w:bCs/>
        </w:rPr>
        <w:t>URL/SLUG</w:t>
      </w:r>
      <w:r w:rsidRPr="09F073CE" w:rsidR="4402E57C">
        <w:rPr>
          <w:rFonts w:ascii="Avenir Next LT Pro" w:hAnsi="Avenir Next LT Pro" w:eastAsia="Avenir Next LT Pro" w:cs="Avenir Next LT Pro"/>
          <w:b/>
          <w:bCs/>
        </w:rPr>
        <w:t xml:space="preserve"> </w:t>
      </w:r>
    </w:p>
    <w:p w:rsidR="302F1113" w:rsidP="2901C933" w:rsidRDefault="5585F25E" w14:paraId="79250A53" w14:textId="5856440D">
      <w:pPr>
        <w:spacing w:before="240" w:after="240"/>
        <w:rPr>
          <w:rFonts w:ascii="Avenir Next LT Pro" w:hAnsi="Avenir Next LT Pro" w:eastAsia="Avenir Next LT Pro" w:cs="Avenir Next LT Pro"/>
        </w:rPr>
      </w:pPr>
      <w:r w:rsidRPr="09F073CE">
        <w:rPr>
          <w:rFonts w:ascii="Avenir Next LT Pro" w:hAnsi="Avenir Next LT Pro" w:eastAsia="Avenir Next LT Pro" w:cs="Avenir Next LT Pro"/>
        </w:rPr>
        <w:t>/</w:t>
      </w:r>
      <w:proofErr w:type="spellStart"/>
      <w:r w:rsidRPr="09F073CE">
        <w:rPr>
          <w:rFonts w:ascii="Avenir Next LT Pro" w:hAnsi="Avenir Next LT Pro" w:eastAsia="Avenir Next LT Pro" w:cs="Avenir Next LT Pro"/>
        </w:rPr>
        <w:t>bilancio-sostenibilita</w:t>
      </w:r>
      <w:proofErr w:type="spellEnd"/>
      <w:r w:rsidRPr="09F073CE">
        <w:rPr>
          <w:rFonts w:ascii="Avenir Next LT Pro" w:hAnsi="Avenir Next LT Pro" w:eastAsia="Avenir Next LT Pro" w:cs="Avenir Next LT Pro"/>
        </w:rPr>
        <w:t>-guida</w:t>
      </w:r>
    </w:p>
    <w:p w:rsidR="01F8077E" w:rsidP="01F8077E" w:rsidRDefault="01F8077E" w14:paraId="2E012EAC" w14:textId="707DE5B3">
      <w:pPr>
        <w:spacing w:before="240" w:after="240"/>
        <w:rPr>
          <w:rFonts w:ascii="Avenir Next LT Pro" w:hAnsi="Avenir Next LT Pro" w:eastAsia="Avenir Next LT Pro" w:cs="Avenir Next LT Pro"/>
        </w:rPr>
      </w:pPr>
    </w:p>
    <w:p w:rsidR="302F1113" w:rsidP="2901C933" w:rsidRDefault="5585F25E" w14:paraId="338323D6" w14:textId="336192B9">
      <w:pPr>
        <w:pStyle w:val="Titolo2"/>
        <w:rPr>
          <w:rFonts w:ascii="Avenir Next LT Pro" w:hAnsi="Avenir Next LT Pro" w:eastAsia="Avenir Next LT Pro" w:cs="Avenir Next LT Pro"/>
          <w:sz w:val="24"/>
          <w:szCs w:val="24"/>
        </w:rPr>
      </w:pPr>
      <w:r w:rsidRPr="2901C933">
        <w:rPr>
          <w:rFonts w:ascii="Avenir Next LT Pro" w:hAnsi="Avenir Next LT Pro" w:eastAsia="Avenir Next LT Pro" w:cs="Avenir Next LT Pro"/>
        </w:rPr>
        <w:t xml:space="preserve">Bilancio di </w:t>
      </w:r>
      <w:r w:rsidRPr="2901C933" w:rsidR="46FA3046">
        <w:rPr>
          <w:rFonts w:ascii="Avenir Next LT Pro" w:hAnsi="Avenir Next LT Pro" w:eastAsia="Avenir Next LT Pro" w:cs="Avenir Next LT Pro"/>
        </w:rPr>
        <w:t>S</w:t>
      </w:r>
      <w:r w:rsidRPr="2901C933">
        <w:rPr>
          <w:rFonts w:ascii="Avenir Next LT Pro" w:hAnsi="Avenir Next LT Pro" w:eastAsia="Avenir Next LT Pro" w:cs="Avenir Next LT Pro"/>
        </w:rPr>
        <w:t>ostenibilità</w:t>
      </w:r>
      <w:r w:rsidRPr="2901C933" w:rsidR="28AC2D11">
        <w:rPr>
          <w:rFonts w:ascii="Avenir Next LT Pro" w:hAnsi="Avenir Next LT Pro" w:eastAsia="Avenir Next LT Pro" w:cs="Avenir Next LT Pro"/>
        </w:rPr>
        <w:t xml:space="preserve">: </w:t>
      </w:r>
      <w:r w:rsidRPr="2901C933" w:rsidR="78E82332">
        <w:rPr>
          <w:rFonts w:ascii="Avenir Next LT Pro" w:hAnsi="Avenir Next LT Pro" w:eastAsia="Avenir Next LT Pro" w:cs="Avenir Next LT Pro"/>
        </w:rPr>
        <w:t>C</w:t>
      </w:r>
      <w:r w:rsidRPr="2901C933" w:rsidR="5258669E">
        <w:rPr>
          <w:rFonts w:ascii="Avenir Next LT Pro" w:hAnsi="Avenir Next LT Pro" w:eastAsia="Avenir Next LT Pro" w:cs="Avenir Next LT Pro"/>
        </w:rPr>
        <w:t xml:space="preserve">os'è </w:t>
      </w:r>
    </w:p>
    <w:p w:rsidR="302F1113" w:rsidP="2901C933" w:rsidRDefault="302F1113" w14:paraId="0C997924" w14:textId="33F6E0C2">
      <w:p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</w:rPr>
        <w:t xml:space="preserve">Il </w:t>
      </w:r>
      <w:r w:rsidRPr="01F8077E">
        <w:rPr>
          <w:rFonts w:ascii="Avenir Next LT Pro" w:hAnsi="Avenir Next LT Pro" w:eastAsia="Avenir Next LT Pro" w:cs="Avenir Next LT Pro"/>
          <w:b/>
          <w:bCs/>
        </w:rPr>
        <w:t>bilancio di sostenibilità</w:t>
      </w:r>
      <w:r w:rsidRPr="01F8077E">
        <w:rPr>
          <w:rFonts w:ascii="Avenir Next LT Pro" w:hAnsi="Avenir Next LT Pro" w:eastAsia="Avenir Next LT Pro" w:cs="Avenir Next LT Pro"/>
        </w:rPr>
        <w:t xml:space="preserve">, detto anche </w:t>
      </w:r>
      <w:r w:rsidRPr="01F8077E">
        <w:rPr>
          <w:rFonts w:ascii="Avenir Next LT Pro" w:hAnsi="Avenir Next LT Pro" w:eastAsia="Avenir Next LT Pro" w:cs="Avenir Next LT Pro"/>
          <w:b/>
          <w:bCs/>
        </w:rPr>
        <w:t>reporting di sostenibilità</w:t>
      </w:r>
      <w:r w:rsidRPr="01F8077E">
        <w:rPr>
          <w:rFonts w:ascii="Avenir Next LT Pro" w:hAnsi="Avenir Next LT Pro" w:eastAsia="Avenir Next LT Pro" w:cs="Avenir Next LT Pro"/>
        </w:rPr>
        <w:t xml:space="preserve">, è un documento fondamentale per le aziende che desiderano comunicare in modo trasparente il proprio impatto ambientale, sociale ed economico. Redigere un bilancio </w:t>
      </w:r>
      <w:r w:rsidR="00D66D5A">
        <w:rPr>
          <w:rFonts w:ascii="Avenir Next LT Pro" w:hAnsi="Avenir Next LT Pro" w:eastAsia="Avenir Next LT Pro" w:cs="Avenir Next LT Pro"/>
        </w:rPr>
        <w:t xml:space="preserve">di </w:t>
      </w:r>
      <w:r w:rsidRPr="01F8077E">
        <w:rPr>
          <w:rFonts w:ascii="Avenir Next LT Pro" w:hAnsi="Avenir Next LT Pro" w:eastAsia="Avenir Next LT Pro" w:cs="Avenir Next LT Pro"/>
        </w:rPr>
        <w:t>sostenibil</w:t>
      </w:r>
      <w:r w:rsidR="00D66D5A">
        <w:rPr>
          <w:rFonts w:ascii="Avenir Next LT Pro" w:hAnsi="Avenir Next LT Pro" w:eastAsia="Avenir Next LT Pro" w:cs="Avenir Next LT Pro"/>
        </w:rPr>
        <w:t>ità</w:t>
      </w:r>
      <w:r w:rsidRPr="01F8077E">
        <w:rPr>
          <w:rFonts w:ascii="Avenir Next LT Pro" w:hAnsi="Avenir Next LT Pro" w:eastAsia="Avenir Next LT Pro" w:cs="Avenir Next LT Pro"/>
        </w:rPr>
        <w:t xml:space="preserve"> consente di misurare le performance ESG (</w:t>
      </w:r>
      <w:r w:rsidRPr="01F8077E">
        <w:rPr>
          <w:rFonts w:ascii="Avenir Next LT Pro" w:hAnsi="Avenir Next LT Pro" w:eastAsia="Avenir Next LT Pro" w:cs="Avenir Next LT Pro"/>
          <w:b/>
          <w:bCs/>
        </w:rPr>
        <w:t>Environmental, Social, Governance</w:t>
      </w:r>
      <w:r w:rsidRPr="01F8077E">
        <w:rPr>
          <w:rFonts w:ascii="Avenir Next LT Pro" w:hAnsi="Avenir Next LT Pro" w:eastAsia="Avenir Next LT Pro" w:cs="Avenir Next LT Pro"/>
        </w:rPr>
        <w:t>) e dimostrare l’impegno aziendale verso pratiche responsabili.</w:t>
      </w:r>
    </w:p>
    <w:p w:rsidR="01F8077E" w:rsidP="01F8077E" w:rsidRDefault="01F8077E" w14:paraId="54704E4F" w14:textId="43F256C5">
      <w:pPr>
        <w:spacing w:before="240" w:after="240"/>
        <w:rPr>
          <w:rFonts w:ascii="Avenir Next LT Pro" w:hAnsi="Avenir Next LT Pro" w:eastAsia="Avenir Next LT Pro" w:cs="Avenir Next LT Pro"/>
        </w:rPr>
      </w:pPr>
    </w:p>
    <w:p w:rsidR="39F53B4D" w:rsidP="2901C933" w:rsidRDefault="39F53B4D" w14:paraId="5642274B" w14:textId="6DC1E614">
      <w:pPr>
        <w:pStyle w:val="Titolo2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 xml:space="preserve">Bilancio di </w:t>
      </w:r>
      <w:r w:rsidR="00D66D5A">
        <w:rPr>
          <w:rFonts w:ascii="Avenir Next LT Pro" w:hAnsi="Avenir Next LT Pro" w:eastAsia="Avenir Next LT Pro" w:cs="Avenir Next LT Pro"/>
        </w:rPr>
        <w:t>s</w:t>
      </w:r>
      <w:r w:rsidRPr="2901C933">
        <w:rPr>
          <w:rFonts w:ascii="Avenir Next LT Pro" w:hAnsi="Avenir Next LT Pro" w:eastAsia="Avenir Next LT Pro" w:cs="Avenir Next LT Pro"/>
        </w:rPr>
        <w:t xml:space="preserve">ostenibilità: </w:t>
      </w:r>
      <w:r w:rsidR="002A3324">
        <w:rPr>
          <w:rFonts w:ascii="Avenir Next LT Pro" w:hAnsi="Avenir Next LT Pro" w:eastAsia="Avenir Next LT Pro" w:cs="Avenir Next LT Pro"/>
        </w:rPr>
        <w:t>c</w:t>
      </w:r>
      <w:r w:rsidRPr="2901C933">
        <w:rPr>
          <w:rFonts w:ascii="Avenir Next LT Pro" w:hAnsi="Avenir Next LT Pro" w:eastAsia="Avenir Next LT Pro" w:cs="Avenir Next LT Pro"/>
        </w:rPr>
        <w:t xml:space="preserve">ome </w:t>
      </w:r>
      <w:r w:rsidR="002A3324">
        <w:rPr>
          <w:rFonts w:ascii="Avenir Next LT Pro" w:hAnsi="Avenir Next LT Pro" w:eastAsia="Avenir Next LT Pro" w:cs="Avenir Next LT Pro"/>
        </w:rPr>
        <w:t>r</w:t>
      </w:r>
      <w:r w:rsidRPr="2901C933">
        <w:rPr>
          <w:rFonts w:ascii="Avenir Next LT Pro" w:hAnsi="Avenir Next LT Pro" w:eastAsia="Avenir Next LT Pro" w:cs="Avenir Next LT Pro"/>
        </w:rPr>
        <w:t>edigerlo</w:t>
      </w:r>
    </w:p>
    <w:p w:rsidR="39F53B4D" w:rsidP="2901C933" w:rsidRDefault="39F53B4D" w14:paraId="6D3DF4C6" w14:textId="3982530D">
      <w:p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</w:rPr>
        <w:t>Ma il bilancio di sostenibilità come si fa? Seguire un processo chiaro è essenziale per garantire affidabilità e trasparenza. Ecco le fasi principali:</w:t>
      </w:r>
    </w:p>
    <w:p w:rsidR="39F53B4D" w:rsidP="2901C933" w:rsidRDefault="39F53B4D" w14:paraId="40223F3C" w14:textId="32F6753F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Analisi dell’impatto ESG</w:t>
      </w:r>
      <w:r w:rsidRPr="2901C933">
        <w:rPr>
          <w:rFonts w:ascii="Avenir Next LT Pro" w:hAnsi="Avenir Next LT Pro" w:eastAsia="Avenir Next LT Pro" w:cs="Avenir Next LT Pro"/>
        </w:rPr>
        <w:t xml:space="preserve"> per individuare gli indicatori chiave.</w:t>
      </w:r>
    </w:p>
    <w:p w:rsidR="39F53B4D" w:rsidP="2901C933" w:rsidRDefault="39F53B4D" w14:paraId="4F3E7221" w14:textId="59CA8B26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Coinvolgimento degli stakeholder</w:t>
      </w:r>
      <w:r w:rsidRPr="2901C933">
        <w:rPr>
          <w:rFonts w:ascii="Avenir Next LT Pro" w:hAnsi="Avenir Next LT Pro" w:eastAsia="Avenir Next LT Pro" w:cs="Avenir Next LT Pro"/>
        </w:rPr>
        <w:t xml:space="preserve"> per raccogliere aspettative e feedback.</w:t>
      </w:r>
    </w:p>
    <w:p w:rsidR="39F53B4D" w:rsidP="2901C933" w:rsidRDefault="39F53B4D" w14:paraId="326AE9F1" w14:textId="79D61D0C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Definizione degli obiettivi di sostenibilità</w:t>
      </w:r>
      <w:r w:rsidRPr="2901C933">
        <w:rPr>
          <w:rFonts w:ascii="Avenir Next LT Pro" w:hAnsi="Avenir Next LT Pro" w:eastAsia="Avenir Next LT Pro" w:cs="Avenir Next LT Pro"/>
        </w:rPr>
        <w:t xml:space="preserve"> con KPI misurabili.</w:t>
      </w:r>
    </w:p>
    <w:p w:rsidR="39F53B4D" w:rsidP="2901C933" w:rsidRDefault="39F53B4D" w14:paraId="2241C910" w14:textId="0B98F108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Raccolta e verifica dei dati</w:t>
      </w:r>
      <w:r w:rsidRPr="2901C933">
        <w:rPr>
          <w:rFonts w:ascii="Avenir Next LT Pro" w:hAnsi="Avenir Next LT Pro" w:eastAsia="Avenir Next LT Pro" w:cs="Avenir Next LT Pro"/>
        </w:rPr>
        <w:t xml:space="preserve"> per garantire coerenza e precisione.</w:t>
      </w:r>
    </w:p>
    <w:p w:rsidR="39F53B4D" w:rsidP="2901C933" w:rsidRDefault="39F53B4D" w14:paraId="1505575C" w14:textId="07DF71CD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Audit ESG</w:t>
      </w:r>
      <w:r w:rsidRPr="2901C933">
        <w:rPr>
          <w:rFonts w:ascii="Avenir Next LT Pro" w:hAnsi="Avenir Next LT Pro" w:eastAsia="Avenir Next LT Pro" w:cs="Avenir Next LT Pro"/>
        </w:rPr>
        <w:t>, una revisione indipendente che certifica la veridicità delle informazioni.</w:t>
      </w:r>
    </w:p>
    <w:p w:rsidR="39F53B4D" w:rsidP="2901C933" w:rsidRDefault="39F53B4D" w14:paraId="77276EE8" w14:textId="1BE0BE8B">
      <w:pPr>
        <w:pStyle w:val="Paragrafoelenco"/>
        <w:numPr>
          <w:ilvl w:val="0"/>
          <w:numId w:val="12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Pubblicazione e comunicazione del bilancio</w:t>
      </w:r>
      <w:r w:rsidRPr="2901C933">
        <w:rPr>
          <w:rFonts w:ascii="Avenir Next LT Pro" w:hAnsi="Avenir Next LT Pro" w:eastAsia="Avenir Next LT Pro" w:cs="Avenir Next LT Pro"/>
        </w:rPr>
        <w:t xml:space="preserve"> ai vari stakeholder.</w:t>
      </w:r>
    </w:p>
    <w:p w:rsidR="302F1113" w:rsidP="2901C933" w:rsidRDefault="302F1113" w14:paraId="0C5DDD97" w14:textId="300D7625">
      <w:pPr>
        <w:pStyle w:val="Titolo2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 xml:space="preserve">Obbligo del </w:t>
      </w:r>
      <w:r w:rsidR="000A580F">
        <w:rPr>
          <w:rFonts w:ascii="Avenir Next LT Pro" w:hAnsi="Avenir Next LT Pro" w:eastAsia="Avenir Next LT Pro" w:cs="Avenir Next LT Pro"/>
        </w:rPr>
        <w:t>b</w:t>
      </w:r>
      <w:r w:rsidRPr="2901C933">
        <w:rPr>
          <w:rFonts w:ascii="Avenir Next LT Pro" w:hAnsi="Avenir Next LT Pro" w:eastAsia="Avenir Next LT Pro" w:cs="Avenir Next LT Pro"/>
        </w:rPr>
        <w:t xml:space="preserve">ilancio di </w:t>
      </w:r>
      <w:r w:rsidR="002A3324">
        <w:rPr>
          <w:rFonts w:ascii="Avenir Next LT Pro" w:hAnsi="Avenir Next LT Pro" w:eastAsia="Avenir Next LT Pro" w:cs="Avenir Next LT Pro"/>
        </w:rPr>
        <w:t>s</w:t>
      </w:r>
      <w:r w:rsidRPr="2901C933">
        <w:rPr>
          <w:rFonts w:ascii="Avenir Next LT Pro" w:hAnsi="Avenir Next LT Pro" w:eastAsia="Avenir Next LT Pro" w:cs="Avenir Next LT Pro"/>
        </w:rPr>
        <w:t xml:space="preserve">ostenibilità e </w:t>
      </w:r>
      <w:r w:rsidR="002A3324">
        <w:rPr>
          <w:rFonts w:ascii="Avenir Next LT Pro" w:hAnsi="Avenir Next LT Pro" w:eastAsia="Avenir Next LT Pro" w:cs="Avenir Next LT Pro"/>
        </w:rPr>
        <w:t>n</w:t>
      </w:r>
      <w:r w:rsidRPr="2901C933">
        <w:rPr>
          <w:rFonts w:ascii="Avenir Next LT Pro" w:hAnsi="Avenir Next LT Pro" w:eastAsia="Avenir Next LT Pro" w:cs="Avenir Next LT Pro"/>
        </w:rPr>
        <w:t>ormative</w:t>
      </w:r>
    </w:p>
    <w:p w:rsidR="302F1113" w:rsidP="2901C933" w:rsidRDefault="302F1113" w14:paraId="17779386" w14:textId="384F4597">
      <w:p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</w:rPr>
        <w:t xml:space="preserve">Con l’introduzione della </w:t>
      </w:r>
      <w:proofErr w:type="spellStart"/>
      <w:r w:rsidRPr="01F8077E">
        <w:rPr>
          <w:rFonts w:ascii="Avenir Next LT Pro" w:hAnsi="Avenir Next LT Pro" w:eastAsia="Avenir Next LT Pro" w:cs="Avenir Next LT Pro"/>
          <w:b/>
          <w:bCs/>
        </w:rPr>
        <w:t>Corporate</w:t>
      </w:r>
      <w:proofErr w:type="spellEnd"/>
      <w:r w:rsidRPr="01F8077E">
        <w:rPr>
          <w:rFonts w:ascii="Avenir Next LT Pro" w:hAnsi="Avenir Next LT Pro" w:eastAsia="Avenir Next LT Pro" w:cs="Avenir Next LT Pro"/>
          <w:b/>
          <w:bCs/>
        </w:rPr>
        <w:t xml:space="preserve"> Sustainability Reporting </w:t>
      </w:r>
      <w:proofErr w:type="spellStart"/>
      <w:r w:rsidRPr="01F8077E">
        <w:rPr>
          <w:rFonts w:ascii="Avenir Next LT Pro" w:hAnsi="Avenir Next LT Pro" w:eastAsia="Avenir Next LT Pro" w:cs="Avenir Next LT Pro"/>
          <w:b/>
          <w:bCs/>
        </w:rPr>
        <w:t>Directive</w:t>
      </w:r>
      <w:proofErr w:type="spellEnd"/>
      <w:r w:rsidRPr="01F8077E">
        <w:rPr>
          <w:rFonts w:ascii="Avenir Next LT Pro" w:hAnsi="Avenir Next LT Pro" w:eastAsia="Avenir Next LT Pro" w:cs="Avenir Next LT Pro"/>
          <w:b/>
          <w:bCs/>
        </w:rPr>
        <w:t xml:space="preserve"> (CSRD)</w:t>
      </w:r>
      <w:r w:rsidRPr="01F8077E">
        <w:rPr>
          <w:rFonts w:ascii="Avenir Next LT Pro" w:hAnsi="Avenir Next LT Pro" w:eastAsia="Avenir Next LT Pro" w:cs="Avenir Next LT Pro"/>
        </w:rPr>
        <w:t xml:space="preserve">, molte aziende sono tenute alla </w:t>
      </w:r>
      <w:r w:rsidRPr="01F8077E">
        <w:rPr>
          <w:rFonts w:ascii="Avenir Next LT Pro" w:hAnsi="Avenir Next LT Pro" w:eastAsia="Avenir Next LT Pro" w:cs="Avenir Next LT Pro"/>
          <w:b/>
          <w:bCs/>
        </w:rPr>
        <w:t>rendicontazione di sostenibilità</w:t>
      </w:r>
      <w:r w:rsidRPr="01F8077E">
        <w:rPr>
          <w:rFonts w:ascii="Avenir Next LT Pro" w:hAnsi="Avenir Next LT Pro" w:eastAsia="Avenir Next LT Pro" w:cs="Avenir Next LT Pro"/>
        </w:rPr>
        <w:t xml:space="preserve">. Il </w:t>
      </w:r>
      <w:r w:rsidRPr="01F8077E">
        <w:rPr>
          <w:rFonts w:ascii="Avenir Next LT Pro" w:hAnsi="Avenir Next LT Pro" w:eastAsia="Avenir Next LT Pro" w:cs="Avenir Next LT Pro"/>
          <w:b/>
          <w:bCs/>
        </w:rPr>
        <w:t>report di sostenibilità obbligatorio</w:t>
      </w:r>
      <w:r w:rsidRPr="01F8077E">
        <w:rPr>
          <w:rFonts w:ascii="Avenir Next LT Pro" w:hAnsi="Avenir Next LT Pro" w:eastAsia="Avenir Next LT Pro" w:cs="Avenir Next LT Pro"/>
        </w:rPr>
        <w:t xml:space="preserve"> si applica principalmente alle società quotate e di </w:t>
      </w:r>
      <w:r w:rsidRPr="01F8077E">
        <w:rPr>
          <w:rFonts w:ascii="Avenir Next LT Pro" w:hAnsi="Avenir Next LT Pro" w:eastAsia="Avenir Next LT Pro" w:cs="Avenir Next LT Pro"/>
        </w:rPr>
        <w:lastRenderedPageBreak/>
        <w:t>grandi dimensioni, con l’obiettivo di migliorare la trasparenza e la comparabilità dei dati ESG.</w:t>
      </w:r>
    </w:p>
    <w:p w:rsidR="01F8077E" w:rsidP="01F8077E" w:rsidRDefault="01F8077E" w14:paraId="789DDBA0" w14:textId="25475985">
      <w:pPr>
        <w:spacing w:before="240" w:after="240"/>
        <w:rPr>
          <w:rFonts w:ascii="Avenir Next LT Pro" w:hAnsi="Avenir Next LT Pro" w:eastAsia="Avenir Next LT Pro" w:cs="Avenir Next LT Pro"/>
        </w:rPr>
      </w:pPr>
    </w:p>
    <w:p w:rsidR="302F1113" w:rsidP="2901C933" w:rsidRDefault="302F1113" w14:paraId="249981E2" w14:textId="1CDE54AF">
      <w:pPr>
        <w:pStyle w:val="Titolo2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>Differenza tra Report e Bilancio di Sostenibilità</w:t>
      </w:r>
    </w:p>
    <w:p w:rsidR="302F1113" w:rsidP="2901C933" w:rsidRDefault="302F1113" w14:paraId="00E49451" w14:textId="356BD00E">
      <w:p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</w:rPr>
        <w:t xml:space="preserve">Spesso si parla di report di sostenibilità e bilancio di sostenibilità come sinonimi, ma esistono differenze. Il </w:t>
      </w:r>
      <w:r w:rsidRPr="01F8077E">
        <w:rPr>
          <w:rFonts w:ascii="Avenir Next LT Pro" w:hAnsi="Avenir Next LT Pro" w:eastAsia="Avenir Next LT Pro" w:cs="Avenir Next LT Pro"/>
          <w:b/>
          <w:bCs/>
        </w:rPr>
        <w:t>bilancio di sostenibilità</w:t>
      </w:r>
      <w:r w:rsidRPr="01F8077E">
        <w:rPr>
          <w:rFonts w:ascii="Avenir Next LT Pro" w:hAnsi="Avenir Next LT Pro" w:eastAsia="Avenir Next LT Pro" w:cs="Avenir Next LT Pro"/>
        </w:rPr>
        <w:t xml:space="preserve"> è un documento più strutturato e normato, mentre il </w:t>
      </w:r>
      <w:r w:rsidRPr="01F8077E">
        <w:rPr>
          <w:rFonts w:ascii="Avenir Next LT Pro" w:hAnsi="Avenir Next LT Pro" w:eastAsia="Avenir Next LT Pro" w:cs="Avenir Next LT Pro"/>
          <w:b/>
          <w:bCs/>
        </w:rPr>
        <w:t>rapporto di sostenibilità</w:t>
      </w:r>
      <w:r w:rsidRPr="01F8077E">
        <w:rPr>
          <w:rFonts w:ascii="Avenir Next LT Pro" w:hAnsi="Avenir Next LT Pro" w:eastAsia="Avenir Next LT Pro" w:cs="Avenir Next LT Pro"/>
        </w:rPr>
        <w:t xml:space="preserve"> può avere una forma più flessibile. Inoltre, il bilancio sociale e bilancio di sostenibilità hanno scopi diversi: il primo si concentra sugli aspetti sociali, mentre il secondo include anche ambiente e governance.</w:t>
      </w:r>
    </w:p>
    <w:p w:rsidR="01F8077E" w:rsidP="01F8077E" w:rsidRDefault="01F8077E" w14:paraId="07B7F5FC" w14:textId="6EE44CA6">
      <w:pPr>
        <w:spacing w:before="240" w:after="240"/>
        <w:rPr>
          <w:rFonts w:ascii="Avenir Next LT Pro" w:hAnsi="Avenir Next LT Pro" w:eastAsia="Avenir Next LT Pro" w:cs="Avenir Next LT Pro"/>
        </w:rPr>
      </w:pPr>
    </w:p>
    <w:p w:rsidR="302F1113" w:rsidP="2901C933" w:rsidRDefault="302F1113" w14:paraId="3351D765" w14:textId="6E001A96">
      <w:pPr>
        <w:pStyle w:val="Titolo2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>Vantaggi della Rendicontazione di Sostenibilità</w:t>
      </w:r>
    </w:p>
    <w:p w:rsidR="302F1113" w:rsidP="2901C933" w:rsidRDefault="302F1113" w14:paraId="2A1980BF" w14:textId="58F2D6F4">
      <w:p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 xml:space="preserve">Un corretto </w:t>
      </w:r>
      <w:r w:rsidRPr="2901C933">
        <w:rPr>
          <w:rFonts w:ascii="Avenir Next LT Pro" w:hAnsi="Avenir Next LT Pro" w:eastAsia="Avenir Next LT Pro" w:cs="Avenir Next LT Pro"/>
          <w:b/>
          <w:bCs/>
        </w:rPr>
        <w:t>reporting di sostenibilità</w:t>
      </w:r>
      <w:r w:rsidRPr="2901C933">
        <w:rPr>
          <w:rFonts w:ascii="Avenir Next LT Pro" w:hAnsi="Avenir Next LT Pro" w:eastAsia="Avenir Next LT Pro" w:cs="Avenir Next LT Pro"/>
        </w:rPr>
        <w:t xml:space="preserve"> porta numerosi benefici:</w:t>
      </w:r>
    </w:p>
    <w:p w:rsidR="302F1113" w:rsidP="2901C933" w:rsidRDefault="302F1113" w14:paraId="355C86C5" w14:textId="159DCD3D">
      <w:pPr>
        <w:pStyle w:val="Paragrafoelenco"/>
        <w:numPr>
          <w:ilvl w:val="0"/>
          <w:numId w:val="11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Conformità normativa</w:t>
      </w:r>
      <w:r w:rsidRPr="2901C933">
        <w:rPr>
          <w:rFonts w:ascii="Avenir Next LT Pro" w:hAnsi="Avenir Next LT Pro" w:eastAsia="Avenir Next LT Pro" w:cs="Avenir Next LT Pro"/>
        </w:rPr>
        <w:t xml:space="preserve"> e riduzione dei rischi legali.</w:t>
      </w:r>
    </w:p>
    <w:p w:rsidR="302F1113" w:rsidP="2901C933" w:rsidRDefault="302F1113" w14:paraId="3D22C631" w14:textId="210F8728">
      <w:pPr>
        <w:pStyle w:val="Paragrafoelenco"/>
        <w:numPr>
          <w:ilvl w:val="0"/>
          <w:numId w:val="11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Maggiore trasparenza</w:t>
      </w:r>
      <w:r w:rsidRPr="2901C933">
        <w:rPr>
          <w:rFonts w:ascii="Avenir Next LT Pro" w:hAnsi="Avenir Next LT Pro" w:eastAsia="Avenir Next LT Pro" w:cs="Avenir Next LT Pro"/>
        </w:rPr>
        <w:t xml:space="preserve"> verso investitori, clienti e partner.</w:t>
      </w:r>
    </w:p>
    <w:p w:rsidR="302F1113" w:rsidP="2901C933" w:rsidRDefault="302F1113" w14:paraId="3DC893BF" w14:textId="40C18AC4">
      <w:pPr>
        <w:pStyle w:val="Paragrafoelenco"/>
        <w:numPr>
          <w:ilvl w:val="0"/>
          <w:numId w:val="11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  <w:b/>
          <w:bCs/>
        </w:rPr>
        <w:t>Migliore accesso a finanziamenti ESG</w:t>
      </w:r>
      <w:r w:rsidRPr="2901C933">
        <w:rPr>
          <w:rFonts w:ascii="Avenir Next LT Pro" w:hAnsi="Avenir Next LT Pro" w:eastAsia="Avenir Next LT Pro" w:cs="Avenir Next LT Pro"/>
        </w:rPr>
        <w:t>.</w:t>
      </w:r>
    </w:p>
    <w:p w:rsidR="302F1113" w:rsidP="2901C933" w:rsidRDefault="302F1113" w14:paraId="23788CF9" w14:textId="654E999D">
      <w:pPr>
        <w:pStyle w:val="Paragrafoelenco"/>
        <w:numPr>
          <w:ilvl w:val="0"/>
          <w:numId w:val="11"/>
        </w:num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  <w:b/>
          <w:bCs/>
        </w:rPr>
        <w:t>Miglior reputazione aziendale</w:t>
      </w:r>
      <w:r w:rsidRPr="01F8077E">
        <w:rPr>
          <w:rFonts w:ascii="Avenir Next LT Pro" w:hAnsi="Avenir Next LT Pro" w:eastAsia="Avenir Next LT Pro" w:cs="Avenir Next LT Pro"/>
        </w:rPr>
        <w:t xml:space="preserve"> e vantaggio competitivo.</w:t>
      </w:r>
    </w:p>
    <w:p w:rsidR="01F8077E" w:rsidP="01F8077E" w:rsidRDefault="01F8077E" w14:paraId="030BD6D8" w14:textId="70580738">
      <w:pPr>
        <w:pStyle w:val="Titolo2"/>
        <w:rPr>
          <w:rFonts w:ascii="Avenir Next LT Pro" w:hAnsi="Avenir Next LT Pro" w:eastAsia="Avenir Next LT Pro" w:cs="Avenir Next LT Pro"/>
        </w:rPr>
      </w:pPr>
    </w:p>
    <w:p w:rsidR="302F1113" w:rsidP="2901C933" w:rsidRDefault="302F1113" w14:paraId="317BD5C0" w14:textId="686106C9">
      <w:pPr>
        <w:pStyle w:val="Titolo2"/>
        <w:rPr>
          <w:rFonts w:ascii="Avenir Next LT Pro" w:hAnsi="Avenir Next LT Pro" w:eastAsia="Avenir Next LT Pro" w:cs="Avenir Next LT Pro"/>
        </w:rPr>
      </w:pPr>
      <w:r w:rsidRPr="2901C933">
        <w:rPr>
          <w:rFonts w:ascii="Avenir Next LT Pro" w:hAnsi="Avenir Next LT Pro" w:eastAsia="Avenir Next LT Pro" w:cs="Avenir Next LT Pro"/>
        </w:rPr>
        <w:t>Conclusion</w:t>
      </w:r>
      <w:r w:rsidRPr="2901C933" w:rsidR="18C16573">
        <w:rPr>
          <w:rFonts w:ascii="Avenir Next LT Pro" w:hAnsi="Avenir Next LT Pro" w:eastAsia="Avenir Next LT Pro" w:cs="Avenir Next LT Pro"/>
        </w:rPr>
        <w:t>i</w:t>
      </w:r>
    </w:p>
    <w:p w:rsidR="302F1113" w:rsidP="04AFDE79" w:rsidRDefault="668893C6" w14:paraId="38755BC8" w14:textId="060702E6">
      <w:pPr>
        <w:spacing w:before="240" w:after="240"/>
        <w:rPr>
          <w:rFonts w:ascii="Avenir Next LT Pro" w:hAnsi="Avenir Next LT Pro" w:eastAsia="Avenir Next LT Pro" w:cs="Avenir Next LT Pro"/>
        </w:rPr>
      </w:pPr>
      <w:r w:rsidRPr="01F8077E">
        <w:rPr>
          <w:rFonts w:ascii="Avenir Next LT Pro" w:hAnsi="Avenir Next LT Pro" w:eastAsia="Avenir Next LT Pro" w:cs="Avenir Next LT Pro"/>
        </w:rPr>
        <w:t xml:space="preserve">Il bilancio di sostenibilità e la rendicontazione ESG sono strumenti essenziali per le imprese moderne. Grazie a un </w:t>
      </w:r>
      <w:r w:rsidRPr="01F8077E">
        <w:rPr>
          <w:rFonts w:ascii="Avenir Next LT Pro" w:hAnsi="Avenir Next LT Pro" w:eastAsia="Avenir Next LT Pro" w:cs="Avenir Next LT Pro"/>
          <w:b/>
          <w:bCs/>
        </w:rPr>
        <w:t>report di sostenibilità ben strutturato</w:t>
      </w:r>
      <w:r w:rsidRPr="01F8077E">
        <w:rPr>
          <w:rFonts w:ascii="Avenir Next LT Pro" w:hAnsi="Avenir Next LT Pro" w:eastAsia="Avenir Next LT Pro" w:cs="Avenir Next LT Pro"/>
        </w:rPr>
        <w:t xml:space="preserve">, le aziende possono dimostrare il loro impegno per uno sviluppo sostenibile, migliorare la fiducia degli stakeholder e attrarre investimenti responsabili. Affrontare il processo con una strategia chiara e un </w:t>
      </w:r>
      <w:r w:rsidRPr="01F8077E">
        <w:rPr>
          <w:rFonts w:ascii="Avenir Next LT Pro" w:hAnsi="Avenir Next LT Pro" w:eastAsia="Avenir Next LT Pro" w:cs="Avenir Next LT Pro"/>
          <w:b/>
          <w:bCs/>
        </w:rPr>
        <w:t>audit ESG</w:t>
      </w:r>
      <w:r w:rsidRPr="01F8077E">
        <w:rPr>
          <w:rFonts w:ascii="Avenir Next LT Pro" w:hAnsi="Avenir Next LT Pro" w:eastAsia="Avenir Next LT Pro" w:cs="Avenir Next LT Pro"/>
        </w:rPr>
        <w:t xml:space="preserve"> garantisce credibilità e valore nel lungo periodo.</w:t>
      </w:r>
      <w:r w:rsidRPr="01F8077E" w:rsidR="3FFAEFEB">
        <w:rPr>
          <w:rFonts w:ascii="Avenir Next LT Pro" w:hAnsi="Avenir Next LT Pro" w:eastAsia="Avenir Next LT Pro" w:cs="Avenir Next LT Pro"/>
        </w:rPr>
        <w:t xml:space="preserve"> </w:t>
      </w:r>
      <w:r w:rsidRPr="01F8077E" w:rsidR="5364D984">
        <w:rPr>
          <w:rFonts w:ascii="Avenir Next LT Pro" w:hAnsi="Avenir Next LT Pro" w:eastAsia="Avenir Next LT Pro" w:cs="Avenir Next LT Pro"/>
          <w:color w:val="000000" w:themeColor="text1"/>
        </w:rPr>
        <w:t xml:space="preserve">Scopri come possiamo supportarti in questo processo, clicca </w:t>
      </w:r>
      <w:r w:rsidRPr="01F8077E" w:rsidR="5364D984">
        <w:rPr>
          <w:rFonts w:ascii="Avenir Next LT Pro" w:hAnsi="Avenir Next LT Pro" w:eastAsia="Avenir Next LT Pro" w:cs="Avenir Next LT Pro"/>
          <w:color w:val="000000" w:themeColor="text1"/>
          <w:u w:val="single"/>
        </w:rPr>
        <w:t>qui</w:t>
      </w:r>
      <w:r w:rsidRPr="01F8077E" w:rsidR="5364D984">
        <w:rPr>
          <w:rFonts w:ascii="Avenir Next LT Pro" w:hAnsi="Avenir Next LT Pro" w:eastAsia="Avenir Next LT Pro" w:cs="Avenir Next LT Pro"/>
          <w:color w:val="000000" w:themeColor="text1"/>
        </w:rPr>
        <w:t xml:space="preserve"> per ottenere maggiori informazioni. Troveremo insieme la soluzione più adatta alla tua azienda!</w:t>
      </w:r>
    </w:p>
    <w:p w:rsidR="2901C933" w:rsidRDefault="2901C933" w14:paraId="76C5336B" w14:textId="42CD877F">
      <w:r>
        <w:br w:type="page"/>
      </w:r>
    </w:p>
    <w:p w:rsidR="2901C933" w:rsidRDefault="2901C933" w14:paraId="4C10EBD4" w14:textId="6FCCE840">
      <w:r>
        <w:br w:type="page"/>
      </w:r>
    </w:p>
    <w:p w:rsidR="2356860A" w:rsidP="4C9F5C11" w:rsidRDefault="2356860A" w14:paraId="36E3064C" w14:noSpellErr="1" w14:textId="679C08CD">
      <w:pPr>
        <w:spacing w:before="240" w:after="240"/>
      </w:pPr>
    </w:p>
    <w:p w:rsidR="2901C933" w:rsidRDefault="2901C933" w14:paraId="458D4392" w14:textId="63A320E8">
      <w:r>
        <w:br w:type="page"/>
      </w:r>
    </w:p>
    <w:p w:rsidR="4C9F5C11" w:rsidP="4C9F5C11" w:rsidRDefault="4C9F5C11" w14:paraId="14F0EE41" w14:textId="7EE4A2C7">
      <w:pPr>
        <w:rPr>
          <w:color w:val="FF0000"/>
        </w:rPr>
      </w:pPr>
    </w:p>
    <w:p w:rsidR="00457F7A" w:rsidRDefault="00457F7A" w14:paraId="2DC08235" w14:textId="2EB38B57"/>
    <w:sectPr w:rsidR="00457F7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B736"/>
    <w:multiLevelType w:val="hybridMultilevel"/>
    <w:tmpl w:val="FFFFFFFF"/>
    <w:lvl w:ilvl="0" w:tplc="CB364A3C">
      <w:start w:val="1"/>
      <w:numFmt w:val="decimal"/>
      <w:lvlText w:val="%1."/>
      <w:lvlJc w:val="left"/>
      <w:pPr>
        <w:ind w:left="720" w:hanging="360"/>
      </w:pPr>
    </w:lvl>
    <w:lvl w:ilvl="1" w:tplc="6BA0318A">
      <w:start w:val="1"/>
      <w:numFmt w:val="lowerLetter"/>
      <w:lvlText w:val="%2."/>
      <w:lvlJc w:val="left"/>
      <w:pPr>
        <w:ind w:left="1440" w:hanging="360"/>
      </w:pPr>
    </w:lvl>
    <w:lvl w:ilvl="2" w:tplc="CD90AF20">
      <w:start w:val="1"/>
      <w:numFmt w:val="lowerRoman"/>
      <w:lvlText w:val="%3."/>
      <w:lvlJc w:val="right"/>
      <w:pPr>
        <w:ind w:left="2160" w:hanging="180"/>
      </w:pPr>
    </w:lvl>
    <w:lvl w:ilvl="3" w:tplc="FCBA2612">
      <w:start w:val="1"/>
      <w:numFmt w:val="decimal"/>
      <w:lvlText w:val="%4."/>
      <w:lvlJc w:val="left"/>
      <w:pPr>
        <w:ind w:left="2880" w:hanging="360"/>
      </w:pPr>
    </w:lvl>
    <w:lvl w:ilvl="4" w:tplc="E194A3A0">
      <w:start w:val="1"/>
      <w:numFmt w:val="lowerLetter"/>
      <w:lvlText w:val="%5."/>
      <w:lvlJc w:val="left"/>
      <w:pPr>
        <w:ind w:left="3600" w:hanging="360"/>
      </w:pPr>
    </w:lvl>
    <w:lvl w:ilvl="5" w:tplc="E20C8EDC">
      <w:start w:val="1"/>
      <w:numFmt w:val="lowerRoman"/>
      <w:lvlText w:val="%6."/>
      <w:lvlJc w:val="right"/>
      <w:pPr>
        <w:ind w:left="4320" w:hanging="180"/>
      </w:pPr>
    </w:lvl>
    <w:lvl w:ilvl="6" w:tplc="30BAC282">
      <w:start w:val="1"/>
      <w:numFmt w:val="decimal"/>
      <w:lvlText w:val="%7."/>
      <w:lvlJc w:val="left"/>
      <w:pPr>
        <w:ind w:left="5040" w:hanging="360"/>
      </w:pPr>
    </w:lvl>
    <w:lvl w:ilvl="7" w:tplc="8ADEFDA4">
      <w:start w:val="1"/>
      <w:numFmt w:val="lowerLetter"/>
      <w:lvlText w:val="%8."/>
      <w:lvlJc w:val="left"/>
      <w:pPr>
        <w:ind w:left="5760" w:hanging="360"/>
      </w:pPr>
    </w:lvl>
    <w:lvl w:ilvl="8" w:tplc="24B6E6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0CF88"/>
    <w:multiLevelType w:val="hybridMultilevel"/>
    <w:tmpl w:val="FFFFFFFF"/>
    <w:lvl w:ilvl="0" w:tplc="C9D0DE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AA41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0A5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98E7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4630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09E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70B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805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C640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C69C1A"/>
    <w:multiLevelType w:val="hybridMultilevel"/>
    <w:tmpl w:val="FFFFFFFF"/>
    <w:lvl w:ilvl="0" w:tplc="A2EE21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72B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4887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F674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F88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B69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04B0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8AB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761D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9CCC1D"/>
    <w:multiLevelType w:val="hybridMultilevel"/>
    <w:tmpl w:val="FFFFFFFF"/>
    <w:lvl w:ilvl="0" w:tplc="F620ED6A">
      <w:start w:val="1"/>
      <w:numFmt w:val="decimal"/>
      <w:lvlText w:val="%1."/>
      <w:lvlJc w:val="left"/>
      <w:pPr>
        <w:ind w:left="720" w:hanging="360"/>
      </w:pPr>
    </w:lvl>
    <w:lvl w:ilvl="1" w:tplc="BBEE2D8E">
      <w:start w:val="1"/>
      <w:numFmt w:val="lowerLetter"/>
      <w:lvlText w:val="%2."/>
      <w:lvlJc w:val="left"/>
      <w:pPr>
        <w:ind w:left="1440" w:hanging="360"/>
      </w:pPr>
    </w:lvl>
    <w:lvl w:ilvl="2" w:tplc="E9FC234A">
      <w:start w:val="1"/>
      <w:numFmt w:val="lowerRoman"/>
      <w:lvlText w:val="%3."/>
      <w:lvlJc w:val="right"/>
      <w:pPr>
        <w:ind w:left="2160" w:hanging="180"/>
      </w:pPr>
    </w:lvl>
    <w:lvl w:ilvl="3" w:tplc="54326714">
      <w:start w:val="1"/>
      <w:numFmt w:val="decimal"/>
      <w:lvlText w:val="%4."/>
      <w:lvlJc w:val="left"/>
      <w:pPr>
        <w:ind w:left="2880" w:hanging="360"/>
      </w:pPr>
    </w:lvl>
    <w:lvl w:ilvl="4" w:tplc="EE4A3B80">
      <w:start w:val="1"/>
      <w:numFmt w:val="lowerLetter"/>
      <w:lvlText w:val="%5."/>
      <w:lvlJc w:val="left"/>
      <w:pPr>
        <w:ind w:left="3600" w:hanging="360"/>
      </w:pPr>
    </w:lvl>
    <w:lvl w:ilvl="5" w:tplc="12DA9A30">
      <w:start w:val="1"/>
      <w:numFmt w:val="lowerRoman"/>
      <w:lvlText w:val="%6."/>
      <w:lvlJc w:val="right"/>
      <w:pPr>
        <w:ind w:left="4320" w:hanging="180"/>
      </w:pPr>
    </w:lvl>
    <w:lvl w:ilvl="6" w:tplc="8B642016">
      <w:start w:val="1"/>
      <w:numFmt w:val="decimal"/>
      <w:lvlText w:val="%7."/>
      <w:lvlJc w:val="left"/>
      <w:pPr>
        <w:ind w:left="5040" w:hanging="360"/>
      </w:pPr>
    </w:lvl>
    <w:lvl w:ilvl="7" w:tplc="7272FD0E">
      <w:start w:val="1"/>
      <w:numFmt w:val="lowerLetter"/>
      <w:lvlText w:val="%8."/>
      <w:lvlJc w:val="left"/>
      <w:pPr>
        <w:ind w:left="5760" w:hanging="360"/>
      </w:pPr>
    </w:lvl>
    <w:lvl w:ilvl="8" w:tplc="A2F2AC0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E1137"/>
    <w:multiLevelType w:val="hybridMultilevel"/>
    <w:tmpl w:val="FFFFFFFF"/>
    <w:lvl w:ilvl="0" w:tplc="9710EB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9C5E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C693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43F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4852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96B2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202E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167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94B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7AD052"/>
    <w:multiLevelType w:val="hybridMultilevel"/>
    <w:tmpl w:val="FFFFFFFF"/>
    <w:lvl w:ilvl="0" w:tplc="6428AEAA">
      <w:start w:val="1"/>
      <w:numFmt w:val="decimal"/>
      <w:lvlText w:val="%1."/>
      <w:lvlJc w:val="left"/>
      <w:pPr>
        <w:ind w:left="720" w:hanging="360"/>
      </w:pPr>
    </w:lvl>
    <w:lvl w:ilvl="1" w:tplc="2EA4B5CA">
      <w:start w:val="1"/>
      <w:numFmt w:val="lowerLetter"/>
      <w:lvlText w:val="%2."/>
      <w:lvlJc w:val="left"/>
      <w:pPr>
        <w:ind w:left="1440" w:hanging="360"/>
      </w:pPr>
    </w:lvl>
    <w:lvl w:ilvl="2" w:tplc="8AFA2D2A">
      <w:start w:val="1"/>
      <w:numFmt w:val="lowerRoman"/>
      <w:lvlText w:val="%3."/>
      <w:lvlJc w:val="right"/>
      <w:pPr>
        <w:ind w:left="2160" w:hanging="180"/>
      </w:pPr>
    </w:lvl>
    <w:lvl w:ilvl="3" w:tplc="33F4640E">
      <w:start w:val="1"/>
      <w:numFmt w:val="decimal"/>
      <w:lvlText w:val="%4."/>
      <w:lvlJc w:val="left"/>
      <w:pPr>
        <w:ind w:left="2880" w:hanging="360"/>
      </w:pPr>
    </w:lvl>
    <w:lvl w:ilvl="4" w:tplc="E7F68492">
      <w:start w:val="1"/>
      <w:numFmt w:val="lowerLetter"/>
      <w:lvlText w:val="%5."/>
      <w:lvlJc w:val="left"/>
      <w:pPr>
        <w:ind w:left="3600" w:hanging="360"/>
      </w:pPr>
    </w:lvl>
    <w:lvl w:ilvl="5" w:tplc="50E61A68">
      <w:start w:val="1"/>
      <w:numFmt w:val="lowerRoman"/>
      <w:lvlText w:val="%6."/>
      <w:lvlJc w:val="right"/>
      <w:pPr>
        <w:ind w:left="4320" w:hanging="180"/>
      </w:pPr>
    </w:lvl>
    <w:lvl w:ilvl="6" w:tplc="46A48644">
      <w:start w:val="1"/>
      <w:numFmt w:val="decimal"/>
      <w:lvlText w:val="%7."/>
      <w:lvlJc w:val="left"/>
      <w:pPr>
        <w:ind w:left="5040" w:hanging="360"/>
      </w:pPr>
    </w:lvl>
    <w:lvl w:ilvl="7" w:tplc="4EAA4ADA">
      <w:start w:val="1"/>
      <w:numFmt w:val="lowerLetter"/>
      <w:lvlText w:val="%8."/>
      <w:lvlJc w:val="left"/>
      <w:pPr>
        <w:ind w:left="5760" w:hanging="360"/>
      </w:pPr>
    </w:lvl>
    <w:lvl w:ilvl="8" w:tplc="03B4485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F69EE"/>
    <w:multiLevelType w:val="hybridMultilevel"/>
    <w:tmpl w:val="FFFFFFFF"/>
    <w:lvl w:ilvl="0" w:tplc="F2F8B2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867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CCD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44A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5C9D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36CF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4642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24C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8CDF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823903"/>
    <w:multiLevelType w:val="hybridMultilevel"/>
    <w:tmpl w:val="FFFFFFFF"/>
    <w:lvl w:ilvl="0" w:tplc="82EAB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4689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B6F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1C92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582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DC54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7682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DAB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9811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46DE52"/>
    <w:multiLevelType w:val="hybridMultilevel"/>
    <w:tmpl w:val="FFFFFFFF"/>
    <w:lvl w:ilvl="0" w:tplc="4D28686E">
      <w:start w:val="1"/>
      <w:numFmt w:val="decimal"/>
      <w:lvlText w:val="%1."/>
      <w:lvlJc w:val="left"/>
      <w:pPr>
        <w:ind w:left="720" w:hanging="360"/>
      </w:pPr>
    </w:lvl>
    <w:lvl w:ilvl="1" w:tplc="B9FA351A">
      <w:start w:val="1"/>
      <w:numFmt w:val="lowerLetter"/>
      <w:lvlText w:val="%2."/>
      <w:lvlJc w:val="left"/>
      <w:pPr>
        <w:ind w:left="1440" w:hanging="360"/>
      </w:pPr>
    </w:lvl>
    <w:lvl w:ilvl="2" w:tplc="96000C30">
      <w:start w:val="1"/>
      <w:numFmt w:val="lowerRoman"/>
      <w:lvlText w:val="%3."/>
      <w:lvlJc w:val="right"/>
      <w:pPr>
        <w:ind w:left="2160" w:hanging="180"/>
      </w:pPr>
    </w:lvl>
    <w:lvl w:ilvl="3" w:tplc="FFE24996">
      <w:start w:val="1"/>
      <w:numFmt w:val="decimal"/>
      <w:lvlText w:val="%4."/>
      <w:lvlJc w:val="left"/>
      <w:pPr>
        <w:ind w:left="2880" w:hanging="360"/>
      </w:pPr>
    </w:lvl>
    <w:lvl w:ilvl="4" w:tplc="642A02B8">
      <w:start w:val="1"/>
      <w:numFmt w:val="lowerLetter"/>
      <w:lvlText w:val="%5."/>
      <w:lvlJc w:val="left"/>
      <w:pPr>
        <w:ind w:left="3600" w:hanging="360"/>
      </w:pPr>
    </w:lvl>
    <w:lvl w:ilvl="5" w:tplc="A4443CBC">
      <w:start w:val="1"/>
      <w:numFmt w:val="lowerRoman"/>
      <w:lvlText w:val="%6."/>
      <w:lvlJc w:val="right"/>
      <w:pPr>
        <w:ind w:left="4320" w:hanging="180"/>
      </w:pPr>
    </w:lvl>
    <w:lvl w:ilvl="6" w:tplc="7BDAE5E4">
      <w:start w:val="1"/>
      <w:numFmt w:val="decimal"/>
      <w:lvlText w:val="%7."/>
      <w:lvlJc w:val="left"/>
      <w:pPr>
        <w:ind w:left="5040" w:hanging="360"/>
      </w:pPr>
    </w:lvl>
    <w:lvl w:ilvl="7" w:tplc="E2128D22">
      <w:start w:val="1"/>
      <w:numFmt w:val="lowerLetter"/>
      <w:lvlText w:val="%8."/>
      <w:lvlJc w:val="left"/>
      <w:pPr>
        <w:ind w:left="5760" w:hanging="360"/>
      </w:pPr>
    </w:lvl>
    <w:lvl w:ilvl="8" w:tplc="C99CF4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ACA32"/>
    <w:multiLevelType w:val="hybridMultilevel"/>
    <w:tmpl w:val="FFFFFFFF"/>
    <w:lvl w:ilvl="0" w:tplc="F80EB9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400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40E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723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AC24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2B4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2C5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5864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4E7F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C7374A"/>
    <w:multiLevelType w:val="hybridMultilevel"/>
    <w:tmpl w:val="FFFFFFFF"/>
    <w:lvl w:ilvl="0" w:tplc="17DE191E">
      <w:start w:val="1"/>
      <w:numFmt w:val="decimal"/>
      <w:lvlText w:val="%1."/>
      <w:lvlJc w:val="left"/>
      <w:pPr>
        <w:ind w:left="720" w:hanging="360"/>
      </w:pPr>
    </w:lvl>
    <w:lvl w:ilvl="1" w:tplc="E500E396">
      <w:start w:val="1"/>
      <w:numFmt w:val="lowerLetter"/>
      <w:lvlText w:val="%2."/>
      <w:lvlJc w:val="left"/>
      <w:pPr>
        <w:ind w:left="1440" w:hanging="360"/>
      </w:pPr>
    </w:lvl>
    <w:lvl w:ilvl="2" w:tplc="AF945094">
      <w:start w:val="1"/>
      <w:numFmt w:val="lowerRoman"/>
      <w:lvlText w:val="%3."/>
      <w:lvlJc w:val="right"/>
      <w:pPr>
        <w:ind w:left="2160" w:hanging="180"/>
      </w:pPr>
    </w:lvl>
    <w:lvl w:ilvl="3" w:tplc="A74EE5EE">
      <w:start w:val="1"/>
      <w:numFmt w:val="decimal"/>
      <w:lvlText w:val="%4."/>
      <w:lvlJc w:val="left"/>
      <w:pPr>
        <w:ind w:left="2880" w:hanging="360"/>
      </w:pPr>
    </w:lvl>
    <w:lvl w:ilvl="4" w:tplc="8EE8E8E4">
      <w:start w:val="1"/>
      <w:numFmt w:val="lowerLetter"/>
      <w:lvlText w:val="%5."/>
      <w:lvlJc w:val="left"/>
      <w:pPr>
        <w:ind w:left="3600" w:hanging="360"/>
      </w:pPr>
    </w:lvl>
    <w:lvl w:ilvl="5" w:tplc="12A461C8">
      <w:start w:val="1"/>
      <w:numFmt w:val="lowerRoman"/>
      <w:lvlText w:val="%6."/>
      <w:lvlJc w:val="right"/>
      <w:pPr>
        <w:ind w:left="4320" w:hanging="180"/>
      </w:pPr>
    </w:lvl>
    <w:lvl w:ilvl="6" w:tplc="C9F4445C">
      <w:start w:val="1"/>
      <w:numFmt w:val="decimal"/>
      <w:lvlText w:val="%7."/>
      <w:lvlJc w:val="left"/>
      <w:pPr>
        <w:ind w:left="5040" w:hanging="360"/>
      </w:pPr>
    </w:lvl>
    <w:lvl w:ilvl="7" w:tplc="E9248E0A">
      <w:start w:val="1"/>
      <w:numFmt w:val="lowerLetter"/>
      <w:lvlText w:val="%8."/>
      <w:lvlJc w:val="left"/>
      <w:pPr>
        <w:ind w:left="5760" w:hanging="360"/>
      </w:pPr>
    </w:lvl>
    <w:lvl w:ilvl="8" w:tplc="AA20215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DC1E1"/>
    <w:multiLevelType w:val="hybridMultilevel"/>
    <w:tmpl w:val="FFFFFFFF"/>
    <w:lvl w:ilvl="0" w:tplc="97980F84">
      <w:start w:val="1"/>
      <w:numFmt w:val="decimal"/>
      <w:lvlText w:val="%1."/>
      <w:lvlJc w:val="left"/>
      <w:pPr>
        <w:ind w:left="720" w:hanging="360"/>
      </w:pPr>
    </w:lvl>
    <w:lvl w:ilvl="1" w:tplc="8110CCF8">
      <w:start w:val="1"/>
      <w:numFmt w:val="lowerLetter"/>
      <w:lvlText w:val="%2."/>
      <w:lvlJc w:val="left"/>
      <w:pPr>
        <w:ind w:left="1440" w:hanging="360"/>
      </w:pPr>
    </w:lvl>
    <w:lvl w:ilvl="2" w:tplc="04F20542">
      <w:start w:val="1"/>
      <w:numFmt w:val="lowerRoman"/>
      <w:lvlText w:val="%3."/>
      <w:lvlJc w:val="right"/>
      <w:pPr>
        <w:ind w:left="2160" w:hanging="180"/>
      </w:pPr>
    </w:lvl>
    <w:lvl w:ilvl="3" w:tplc="1C6804B4">
      <w:start w:val="1"/>
      <w:numFmt w:val="decimal"/>
      <w:lvlText w:val="%4."/>
      <w:lvlJc w:val="left"/>
      <w:pPr>
        <w:ind w:left="2880" w:hanging="360"/>
      </w:pPr>
    </w:lvl>
    <w:lvl w:ilvl="4" w:tplc="D1E49370">
      <w:start w:val="1"/>
      <w:numFmt w:val="lowerLetter"/>
      <w:lvlText w:val="%5."/>
      <w:lvlJc w:val="left"/>
      <w:pPr>
        <w:ind w:left="3600" w:hanging="360"/>
      </w:pPr>
    </w:lvl>
    <w:lvl w:ilvl="5" w:tplc="A598527C">
      <w:start w:val="1"/>
      <w:numFmt w:val="lowerRoman"/>
      <w:lvlText w:val="%6."/>
      <w:lvlJc w:val="right"/>
      <w:pPr>
        <w:ind w:left="4320" w:hanging="180"/>
      </w:pPr>
    </w:lvl>
    <w:lvl w:ilvl="6" w:tplc="E438FC38">
      <w:start w:val="1"/>
      <w:numFmt w:val="decimal"/>
      <w:lvlText w:val="%7."/>
      <w:lvlJc w:val="left"/>
      <w:pPr>
        <w:ind w:left="5040" w:hanging="360"/>
      </w:pPr>
    </w:lvl>
    <w:lvl w:ilvl="7" w:tplc="8656F2FE">
      <w:start w:val="1"/>
      <w:numFmt w:val="lowerLetter"/>
      <w:lvlText w:val="%8."/>
      <w:lvlJc w:val="left"/>
      <w:pPr>
        <w:ind w:left="5760" w:hanging="360"/>
      </w:pPr>
    </w:lvl>
    <w:lvl w:ilvl="8" w:tplc="7E3684F2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82402">
    <w:abstractNumId w:val="0"/>
  </w:num>
  <w:num w:numId="2" w16cid:durableId="635336513">
    <w:abstractNumId w:val="1"/>
  </w:num>
  <w:num w:numId="3" w16cid:durableId="1494297881">
    <w:abstractNumId w:val="9"/>
  </w:num>
  <w:num w:numId="4" w16cid:durableId="191043821">
    <w:abstractNumId w:val="10"/>
  </w:num>
  <w:num w:numId="5" w16cid:durableId="177425055">
    <w:abstractNumId w:val="6"/>
  </w:num>
  <w:num w:numId="6" w16cid:durableId="1253128978">
    <w:abstractNumId w:val="11"/>
  </w:num>
  <w:num w:numId="7" w16cid:durableId="828014438">
    <w:abstractNumId w:val="3"/>
  </w:num>
  <w:num w:numId="8" w16cid:durableId="1584290322">
    <w:abstractNumId w:val="4"/>
  </w:num>
  <w:num w:numId="9" w16cid:durableId="230700946">
    <w:abstractNumId w:val="5"/>
  </w:num>
  <w:num w:numId="10" w16cid:durableId="704408080">
    <w:abstractNumId w:val="2"/>
  </w:num>
  <w:num w:numId="11" w16cid:durableId="755319449">
    <w:abstractNumId w:val="7"/>
  </w:num>
  <w:num w:numId="12" w16cid:durableId="4368261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AF5CD0"/>
    <w:rsid w:val="000A580F"/>
    <w:rsid w:val="00152D8A"/>
    <w:rsid w:val="002A3324"/>
    <w:rsid w:val="00457F7A"/>
    <w:rsid w:val="00D66D5A"/>
    <w:rsid w:val="01CAA795"/>
    <w:rsid w:val="01CEE69E"/>
    <w:rsid w:val="01ED6C05"/>
    <w:rsid w:val="01F8077E"/>
    <w:rsid w:val="0318DF95"/>
    <w:rsid w:val="037F377D"/>
    <w:rsid w:val="0397E606"/>
    <w:rsid w:val="04AFDE79"/>
    <w:rsid w:val="04F90BFA"/>
    <w:rsid w:val="052FEDE5"/>
    <w:rsid w:val="0544D86A"/>
    <w:rsid w:val="0665A742"/>
    <w:rsid w:val="0689F0AD"/>
    <w:rsid w:val="07AE6F4A"/>
    <w:rsid w:val="08F632E2"/>
    <w:rsid w:val="09024C80"/>
    <w:rsid w:val="09F073CE"/>
    <w:rsid w:val="0B96815C"/>
    <w:rsid w:val="0BAF5CD0"/>
    <w:rsid w:val="0D2EAABD"/>
    <w:rsid w:val="0D59D193"/>
    <w:rsid w:val="0E43C0ED"/>
    <w:rsid w:val="0F17E247"/>
    <w:rsid w:val="0F6D0883"/>
    <w:rsid w:val="102AACA6"/>
    <w:rsid w:val="10ED4513"/>
    <w:rsid w:val="12533548"/>
    <w:rsid w:val="1386BA1D"/>
    <w:rsid w:val="14927E0B"/>
    <w:rsid w:val="15467AA6"/>
    <w:rsid w:val="16AE5620"/>
    <w:rsid w:val="18C16573"/>
    <w:rsid w:val="1A527A75"/>
    <w:rsid w:val="1B1BC0F3"/>
    <w:rsid w:val="1C071FF1"/>
    <w:rsid w:val="1C980AAD"/>
    <w:rsid w:val="1CD5E708"/>
    <w:rsid w:val="1D273C51"/>
    <w:rsid w:val="1D52AB5B"/>
    <w:rsid w:val="1E2C88FA"/>
    <w:rsid w:val="1F3FAC8F"/>
    <w:rsid w:val="1F65EAC1"/>
    <w:rsid w:val="20D8DD33"/>
    <w:rsid w:val="21372153"/>
    <w:rsid w:val="21C4CF40"/>
    <w:rsid w:val="23270FF7"/>
    <w:rsid w:val="2356860A"/>
    <w:rsid w:val="2464D018"/>
    <w:rsid w:val="24FB66D0"/>
    <w:rsid w:val="2509A77E"/>
    <w:rsid w:val="251997DB"/>
    <w:rsid w:val="25FDDFEB"/>
    <w:rsid w:val="26D069AA"/>
    <w:rsid w:val="272C0879"/>
    <w:rsid w:val="2758D2EB"/>
    <w:rsid w:val="2824CA22"/>
    <w:rsid w:val="287EA746"/>
    <w:rsid w:val="28AC2D11"/>
    <w:rsid w:val="2901C933"/>
    <w:rsid w:val="2934EDC7"/>
    <w:rsid w:val="29455D56"/>
    <w:rsid w:val="2A35A966"/>
    <w:rsid w:val="2AD45E07"/>
    <w:rsid w:val="2AECBE23"/>
    <w:rsid w:val="2B3BD32A"/>
    <w:rsid w:val="2BBDE96A"/>
    <w:rsid w:val="2F081A38"/>
    <w:rsid w:val="2F1E0627"/>
    <w:rsid w:val="2F5615A0"/>
    <w:rsid w:val="2F6CA4C4"/>
    <w:rsid w:val="302F1113"/>
    <w:rsid w:val="30E5256B"/>
    <w:rsid w:val="31102995"/>
    <w:rsid w:val="32B62FED"/>
    <w:rsid w:val="32D7B36A"/>
    <w:rsid w:val="32F1928B"/>
    <w:rsid w:val="33B6294F"/>
    <w:rsid w:val="352A1B79"/>
    <w:rsid w:val="37CAEA77"/>
    <w:rsid w:val="395F8664"/>
    <w:rsid w:val="39F53B4D"/>
    <w:rsid w:val="3CE39DAE"/>
    <w:rsid w:val="3D1A5C90"/>
    <w:rsid w:val="3D2E3CAD"/>
    <w:rsid w:val="3D6C861B"/>
    <w:rsid w:val="3DEE3C8F"/>
    <w:rsid w:val="3E993EF9"/>
    <w:rsid w:val="3FFAEFEB"/>
    <w:rsid w:val="403D82BB"/>
    <w:rsid w:val="4061DC4F"/>
    <w:rsid w:val="4402E57C"/>
    <w:rsid w:val="444DF173"/>
    <w:rsid w:val="44967708"/>
    <w:rsid w:val="45CA1524"/>
    <w:rsid w:val="45CE2C97"/>
    <w:rsid w:val="46FA3046"/>
    <w:rsid w:val="474E8940"/>
    <w:rsid w:val="47BD943E"/>
    <w:rsid w:val="49834F6C"/>
    <w:rsid w:val="4A8C679D"/>
    <w:rsid w:val="4C91AB7A"/>
    <w:rsid w:val="4C95DE41"/>
    <w:rsid w:val="4C9F5C11"/>
    <w:rsid w:val="4DE8CCC1"/>
    <w:rsid w:val="4DF2D081"/>
    <w:rsid w:val="4E4EDD78"/>
    <w:rsid w:val="5157DB35"/>
    <w:rsid w:val="5258669E"/>
    <w:rsid w:val="52E13482"/>
    <w:rsid w:val="53237EBA"/>
    <w:rsid w:val="5364D984"/>
    <w:rsid w:val="53FB5EEB"/>
    <w:rsid w:val="5421F34C"/>
    <w:rsid w:val="54A48CD5"/>
    <w:rsid w:val="54E5528D"/>
    <w:rsid w:val="5585F25E"/>
    <w:rsid w:val="5911E14A"/>
    <w:rsid w:val="595C34DA"/>
    <w:rsid w:val="5B50D3BE"/>
    <w:rsid w:val="5C148AD0"/>
    <w:rsid w:val="5C7557AE"/>
    <w:rsid w:val="5ED184AD"/>
    <w:rsid w:val="5EEDE53F"/>
    <w:rsid w:val="5F642B7A"/>
    <w:rsid w:val="5FC5EAEE"/>
    <w:rsid w:val="5FE39E8E"/>
    <w:rsid w:val="5FEF8BF7"/>
    <w:rsid w:val="6121A495"/>
    <w:rsid w:val="6147FE4A"/>
    <w:rsid w:val="626B8C9E"/>
    <w:rsid w:val="639FCA66"/>
    <w:rsid w:val="6588E7FD"/>
    <w:rsid w:val="668893C6"/>
    <w:rsid w:val="6766FF98"/>
    <w:rsid w:val="683A7FA9"/>
    <w:rsid w:val="69CDBE1C"/>
    <w:rsid w:val="6D26644D"/>
    <w:rsid w:val="6E84AA20"/>
    <w:rsid w:val="6FEED0E6"/>
    <w:rsid w:val="70630D45"/>
    <w:rsid w:val="70F3FD3D"/>
    <w:rsid w:val="7133DF4B"/>
    <w:rsid w:val="720E5F2F"/>
    <w:rsid w:val="7240481B"/>
    <w:rsid w:val="75E0E8E9"/>
    <w:rsid w:val="76BB386A"/>
    <w:rsid w:val="78E82332"/>
    <w:rsid w:val="7B3C9DE9"/>
    <w:rsid w:val="7BABFD66"/>
    <w:rsid w:val="7DF6AB4A"/>
    <w:rsid w:val="7E931177"/>
    <w:rsid w:val="7F0AE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5CD0"/>
  <w15:chartTrackingRefBased/>
  <w15:docId w15:val="{7E88E47F-15AC-4361-8A39-040F8C9C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rsid w:val="4C9F5C11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rsid w:val="2901C933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4C9F5C11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aragrafoelenco">
    <w:name w:val="List Paragraph"/>
    <w:basedOn w:val="Normale"/>
    <w:uiPriority w:val="34"/>
    <w:qFormat/>
    <w:rsid w:val="4C9F5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6364F-5D94-4FE8-BC70-DF2B2CF24C57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2E33B0-B8F9-4FB7-87EE-4F759BDB2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9B9786-C14C-4847-B7DA-264BA3D523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5</cp:revision>
  <dcterms:created xsi:type="dcterms:W3CDTF">2025-01-29T14:56:00Z</dcterms:created>
  <dcterms:modified xsi:type="dcterms:W3CDTF">2025-03-07T21:49:30Z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