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E451" w14:textId="77777777" w:rsidR="00566603" w:rsidRPr="00566603" w:rsidRDefault="00566603" w:rsidP="00566603">
      <w:pPr>
        <w:pStyle w:val="Titolo1"/>
      </w:pPr>
      <w:r w:rsidRPr="00566603">
        <w:t xml:space="preserve">Greenwashing </w:t>
      </w:r>
      <w:proofErr w:type="spellStart"/>
      <w:r w:rsidRPr="00566603">
        <w:t>Assessment</w:t>
      </w:r>
      <w:proofErr w:type="spellEnd"/>
      <w:r w:rsidRPr="00566603">
        <w:t>: Garantire Trasparenza e Affidabilità nelle Strategie ESG </w:t>
      </w:r>
    </w:p>
    <w:p w14:paraId="184FE0ED" w14:textId="77777777" w:rsidR="00566603" w:rsidRPr="00566603" w:rsidRDefault="00566603" w:rsidP="00566603">
      <w:r w:rsidRPr="00566603">
        <w:t xml:space="preserve">Il </w:t>
      </w:r>
      <w:r w:rsidRPr="00566603">
        <w:rPr>
          <w:b/>
          <w:bCs/>
        </w:rPr>
        <w:t xml:space="preserve">Greenwashing </w:t>
      </w:r>
      <w:proofErr w:type="spellStart"/>
      <w:r w:rsidRPr="00566603">
        <w:rPr>
          <w:b/>
          <w:bCs/>
        </w:rPr>
        <w:t>Assessment</w:t>
      </w:r>
      <w:proofErr w:type="spellEnd"/>
      <w:r w:rsidRPr="00566603">
        <w:t xml:space="preserve"> è un processo fondamentale per verificare la veridicità delle dichiarazioni ambientali di un’azienda e prevenire pratiche ingannevoli che potrebbero compromettere la sua reputazione e conformità normativa. Con l’aumento dell’attenzione verso la sostenibilità, le imprese devono assicurarsi che le proprie strategie ESG (</w:t>
      </w:r>
      <w:proofErr w:type="spellStart"/>
      <w:r w:rsidRPr="00566603">
        <w:t>Environmental</w:t>
      </w:r>
      <w:proofErr w:type="spellEnd"/>
      <w:r w:rsidRPr="00566603">
        <w:t>, Social, Governance) siano trasparenti, misurabili e in linea con gli standard internazionali. </w:t>
      </w:r>
    </w:p>
    <w:p w14:paraId="4B74B458" w14:textId="77777777" w:rsidR="00566603" w:rsidRPr="00566603" w:rsidRDefault="00566603" w:rsidP="00566603">
      <w:r w:rsidRPr="00566603">
        <w:t> </w:t>
      </w:r>
    </w:p>
    <w:p w14:paraId="57378269" w14:textId="77777777" w:rsidR="00566603" w:rsidRPr="00566603" w:rsidRDefault="00566603" w:rsidP="00566603">
      <w:pPr>
        <w:pStyle w:val="Titolo2"/>
      </w:pPr>
      <w:r w:rsidRPr="00566603">
        <w:t>Cos’è il Greenwashing? </w:t>
      </w:r>
    </w:p>
    <w:p w14:paraId="0792EC4F" w14:textId="77777777" w:rsidR="00566603" w:rsidRPr="00566603" w:rsidRDefault="00566603" w:rsidP="00566603">
      <w:r w:rsidRPr="00566603">
        <w:t xml:space="preserve">Il </w:t>
      </w:r>
      <w:r w:rsidRPr="00566603">
        <w:rPr>
          <w:b/>
          <w:bCs/>
        </w:rPr>
        <w:t>Greenwashing</w:t>
      </w:r>
      <w:r w:rsidRPr="00566603">
        <w:t xml:space="preserve"> si verifica quando un’azienda enfatizza in modo fuorviante le proprie credenziali ambientali attraverso campagne di marketing, reportistica non verificata o affermazioni vaghe e prive di basi scientifiche. Questo fenomeno può derivare da: </w:t>
      </w:r>
    </w:p>
    <w:p w14:paraId="2A805756" w14:textId="77777777" w:rsidR="00566603" w:rsidRPr="00566603" w:rsidRDefault="00566603" w:rsidP="00566603">
      <w:pPr>
        <w:numPr>
          <w:ilvl w:val="0"/>
          <w:numId w:val="1"/>
        </w:numPr>
      </w:pPr>
      <w:r w:rsidRPr="00566603">
        <w:t>Comunicazioni ambigue o esagerate sulle pratiche di sostenibilità. </w:t>
      </w:r>
    </w:p>
    <w:p w14:paraId="18A34068" w14:textId="77777777" w:rsidR="00566603" w:rsidRPr="00566603" w:rsidRDefault="00566603" w:rsidP="00566603">
      <w:pPr>
        <w:numPr>
          <w:ilvl w:val="0"/>
          <w:numId w:val="2"/>
        </w:numPr>
      </w:pPr>
      <w:r w:rsidRPr="00566603">
        <w:t>Mancanza di prove concrete e certificazioni indipendenti. </w:t>
      </w:r>
    </w:p>
    <w:p w14:paraId="49EA982B" w14:textId="77777777" w:rsidR="00566603" w:rsidRPr="00566603" w:rsidRDefault="00566603" w:rsidP="00566603">
      <w:pPr>
        <w:numPr>
          <w:ilvl w:val="0"/>
          <w:numId w:val="3"/>
        </w:numPr>
      </w:pPr>
      <w:r w:rsidRPr="00566603">
        <w:t>Uso di terminologia vaga senza riferimenti a standard riconosciuti. </w:t>
      </w:r>
    </w:p>
    <w:p w14:paraId="47DC80EA" w14:textId="77777777" w:rsidR="00566603" w:rsidRPr="00566603" w:rsidRDefault="00566603" w:rsidP="00566603">
      <w:pPr>
        <w:numPr>
          <w:ilvl w:val="0"/>
          <w:numId w:val="4"/>
        </w:numPr>
      </w:pPr>
      <w:r w:rsidRPr="00566603">
        <w:t>Strategie di sostenibilità che non si traducono in impatti ambientali reali. </w:t>
      </w:r>
    </w:p>
    <w:p w14:paraId="714A5BEF" w14:textId="77777777" w:rsidR="00566603" w:rsidRPr="00566603" w:rsidRDefault="00566603" w:rsidP="00566603">
      <w:r w:rsidRPr="00566603">
        <w:t>Le conseguenze del greenwashing possono essere gravi, tra cui danni reputazionali, perdita di fiducia da parte degli stakeholder e sanzioni normative. </w:t>
      </w:r>
    </w:p>
    <w:p w14:paraId="4CB5D23D" w14:textId="77777777" w:rsidR="00566603" w:rsidRPr="00566603" w:rsidRDefault="00566603" w:rsidP="00566603">
      <w:r w:rsidRPr="00566603">
        <w:t> </w:t>
      </w:r>
    </w:p>
    <w:p w14:paraId="764F5615" w14:textId="77777777" w:rsidR="00566603" w:rsidRPr="00566603" w:rsidRDefault="00566603" w:rsidP="00566603">
      <w:pPr>
        <w:pStyle w:val="Titolo2"/>
      </w:pPr>
      <w:r w:rsidRPr="00566603">
        <w:t xml:space="preserve">Perché è Importante il Greenwashing </w:t>
      </w:r>
      <w:proofErr w:type="spellStart"/>
      <w:r w:rsidRPr="00566603">
        <w:t>Assessment</w:t>
      </w:r>
      <w:proofErr w:type="spellEnd"/>
      <w:r w:rsidRPr="00566603">
        <w:t>? </w:t>
      </w:r>
    </w:p>
    <w:p w14:paraId="5CA6615B" w14:textId="77777777" w:rsidR="00566603" w:rsidRPr="00566603" w:rsidRDefault="00566603" w:rsidP="00566603">
      <w:r w:rsidRPr="00566603">
        <w:t>Un’analisi approfondita della veridicità delle dichiarazioni ESG consente di: </w:t>
      </w:r>
    </w:p>
    <w:p w14:paraId="75F1D877" w14:textId="77777777" w:rsidR="00566603" w:rsidRPr="00566603" w:rsidRDefault="00566603" w:rsidP="00566603"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Evitare rischi reputazionali</w:t>
      </w:r>
      <w:r w:rsidRPr="00566603">
        <w:t xml:space="preserve">, rafforzando la credibilità aziendale. </w:t>
      </w:r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Garantire la conformità alle normative</w:t>
      </w:r>
      <w:r w:rsidRPr="00566603">
        <w:t xml:space="preserve">, come la </w:t>
      </w:r>
      <w:r w:rsidRPr="00566603">
        <w:rPr>
          <w:b/>
          <w:bCs/>
        </w:rPr>
        <w:t xml:space="preserve">Corporate </w:t>
      </w:r>
      <w:proofErr w:type="spellStart"/>
      <w:r w:rsidRPr="00566603">
        <w:rPr>
          <w:b/>
          <w:bCs/>
        </w:rPr>
        <w:t>Sustainability</w:t>
      </w:r>
      <w:proofErr w:type="spellEnd"/>
      <w:r w:rsidRPr="00566603">
        <w:rPr>
          <w:b/>
          <w:bCs/>
        </w:rPr>
        <w:t xml:space="preserve"> Reporting Directive (CSRD)</w:t>
      </w:r>
      <w:r w:rsidRPr="00566603">
        <w:t xml:space="preserve"> e gli </w:t>
      </w:r>
      <w:proofErr w:type="spellStart"/>
      <w:r w:rsidRPr="00566603">
        <w:rPr>
          <w:b/>
          <w:bCs/>
        </w:rPr>
        <w:t>European</w:t>
      </w:r>
      <w:proofErr w:type="spellEnd"/>
      <w:r w:rsidRPr="00566603">
        <w:rPr>
          <w:b/>
          <w:bCs/>
        </w:rPr>
        <w:t xml:space="preserve"> </w:t>
      </w:r>
      <w:proofErr w:type="spellStart"/>
      <w:r w:rsidRPr="00566603">
        <w:rPr>
          <w:b/>
          <w:bCs/>
        </w:rPr>
        <w:t>Sustainability</w:t>
      </w:r>
      <w:proofErr w:type="spellEnd"/>
      <w:r w:rsidRPr="00566603">
        <w:rPr>
          <w:b/>
          <w:bCs/>
        </w:rPr>
        <w:t xml:space="preserve"> Reporting Standards (ESRS)</w:t>
      </w:r>
      <w:r w:rsidRPr="00566603">
        <w:t xml:space="preserve">. </w:t>
      </w:r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Migliorare la trasparenza</w:t>
      </w:r>
      <w:r w:rsidRPr="00566603">
        <w:t xml:space="preserve"> nei report ESG, rendendo le dichiarazioni ambientali affidabili e verificabili. </w:t>
      </w:r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Aumentare la fiducia di investitori e clienti</w:t>
      </w:r>
      <w:r w:rsidRPr="00566603">
        <w:t xml:space="preserve">, dimostrando un impegno reale per la sostenibilità. </w:t>
      </w:r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Prevenire azioni legali e sanzioni</w:t>
      </w:r>
      <w:r w:rsidRPr="00566603">
        <w:t>, assicurando che le comunicazioni ambientali siano in linea con le linee guida europee e internazionali. </w:t>
      </w:r>
    </w:p>
    <w:p w14:paraId="5A0A4976" w14:textId="77777777" w:rsidR="00566603" w:rsidRPr="00566603" w:rsidRDefault="00566603" w:rsidP="00566603">
      <w:r w:rsidRPr="00566603">
        <w:t> </w:t>
      </w:r>
    </w:p>
    <w:p w14:paraId="57B11400" w14:textId="77777777" w:rsidR="00566603" w:rsidRPr="00566603" w:rsidRDefault="00566603" w:rsidP="00566603">
      <w:pPr>
        <w:pStyle w:val="Titolo2"/>
      </w:pPr>
      <w:r w:rsidRPr="00566603">
        <w:t xml:space="preserve">Come Funziona il Greenwashing </w:t>
      </w:r>
      <w:proofErr w:type="spellStart"/>
      <w:r w:rsidRPr="00566603">
        <w:t>Assessment</w:t>
      </w:r>
      <w:proofErr w:type="spellEnd"/>
      <w:r w:rsidRPr="00566603">
        <w:t>? </w:t>
      </w:r>
    </w:p>
    <w:p w14:paraId="3F591F90" w14:textId="77777777" w:rsidR="00566603" w:rsidRPr="00566603" w:rsidRDefault="00566603" w:rsidP="00566603">
      <w:r w:rsidRPr="00566603">
        <w:t>Il processo di valutazione del greenwashing si articola in diverse fasi: </w:t>
      </w:r>
    </w:p>
    <w:p w14:paraId="591CAFCD" w14:textId="77777777" w:rsidR="00566603" w:rsidRPr="00566603" w:rsidRDefault="00566603" w:rsidP="00566603">
      <w:pPr>
        <w:numPr>
          <w:ilvl w:val="0"/>
          <w:numId w:val="5"/>
        </w:numPr>
      </w:pPr>
      <w:r w:rsidRPr="00566603">
        <w:rPr>
          <w:b/>
          <w:bCs/>
        </w:rPr>
        <w:t>Analisi delle Dichiarazioni ESG</w:t>
      </w:r>
      <w:r w:rsidRPr="00566603">
        <w:t> </w:t>
      </w:r>
    </w:p>
    <w:p w14:paraId="3C91392B" w14:textId="77777777" w:rsidR="00566603" w:rsidRPr="00566603" w:rsidRDefault="00566603" w:rsidP="00566603">
      <w:pPr>
        <w:numPr>
          <w:ilvl w:val="0"/>
          <w:numId w:val="6"/>
        </w:numPr>
      </w:pPr>
      <w:r w:rsidRPr="00566603">
        <w:t>Revisione delle comunicazioni aziendali per individuare eventuali affermazioni fuorvianti. </w:t>
      </w:r>
    </w:p>
    <w:p w14:paraId="2A4AFD77" w14:textId="77777777" w:rsidR="00566603" w:rsidRPr="00566603" w:rsidRDefault="00566603" w:rsidP="00566603">
      <w:pPr>
        <w:numPr>
          <w:ilvl w:val="0"/>
          <w:numId w:val="7"/>
        </w:numPr>
      </w:pPr>
      <w:r w:rsidRPr="00566603">
        <w:t>Verifica della coerenza tra dichiarazioni e azioni reali. </w:t>
      </w:r>
    </w:p>
    <w:p w14:paraId="19EA85B7" w14:textId="77777777" w:rsidR="00566603" w:rsidRPr="00566603" w:rsidRDefault="00566603" w:rsidP="00566603">
      <w:pPr>
        <w:numPr>
          <w:ilvl w:val="0"/>
          <w:numId w:val="8"/>
        </w:numPr>
      </w:pPr>
      <w:r w:rsidRPr="00566603">
        <w:rPr>
          <w:b/>
          <w:bCs/>
        </w:rPr>
        <w:t>Valutazione della Conformità Normativa</w:t>
      </w:r>
      <w:r w:rsidRPr="00566603">
        <w:t> </w:t>
      </w:r>
    </w:p>
    <w:p w14:paraId="55187BE5" w14:textId="77777777" w:rsidR="00566603" w:rsidRPr="00566603" w:rsidRDefault="00566603" w:rsidP="00566603">
      <w:pPr>
        <w:numPr>
          <w:ilvl w:val="0"/>
          <w:numId w:val="9"/>
        </w:numPr>
      </w:pPr>
      <w:r w:rsidRPr="00566603">
        <w:lastRenderedPageBreak/>
        <w:t xml:space="preserve">Controllo dell’allineamento con regolamenti come </w:t>
      </w:r>
      <w:r w:rsidRPr="00566603">
        <w:rPr>
          <w:b/>
          <w:bCs/>
        </w:rPr>
        <w:t>CSRD, ESRS, GRI, SASB e ISSB</w:t>
      </w:r>
      <w:r w:rsidRPr="00566603">
        <w:t>. </w:t>
      </w:r>
    </w:p>
    <w:p w14:paraId="2755E5CC" w14:textId="77777777" w:rsidR="00566603" w:rsidRPr="00566603" w:rsidRDefault="00566603" w:rsidP="00566603">
      <w:pPr>
        <w:numPr>
          <w:ilvl w:val="0"/>
          <w:numId w:val="10"/>
        </w:numPr>
      </w:pPr>
      <w:r w:rsidRPr="00566603">
        <w:t>Analisi delle linee guida per la trasparenza nella comunicazione ambientale. </w:t>
      </w:r>
    </w:p>
    <w:p w14:paraId="255D8247" w14:textId="77777777" w:rsidR="00566603" w:rsidRPr="00566603" w:rsidRDefault="00566603" w:rsidP="00566603">
      <w:pPr>
        <w:numPr>
          <w:ilvl w:val="0"/>
          <w:numId w:val="11"/>
        </w:numPr>
      </w:pPr>
      <w:r w:rsidRPr="00566603">
        <w:rPr>
          <w:b/>
          <w:bCs/>
        </w:rPr>
        <w:t>Verifica delle Certificazioni e Standard di Sostenibilità</w:t>
      </w:r>
      <w:r w:rsidRPr="00566603">
        <w:t> </w:t>
      </w:r>
    </w:p>
    <w:p w14:paraId="0F5B95FE" w14:textId="77777777" w:rsidR="00566603" w:rsidRPr="00566603" w:rsidRDefault="00566603" w:rsidP="00566603">
      <w:pPr>
        <w:numPr>
          <w:ilvl w:val="0"/>
          <w:numId w:val="12"/>
        </w:numPr>
      </w:pPr>
      <w:r w:rsidRPr="00566603">
        <w:t>Valutazione delle certificazioni ambientali riconosciute (</w:t>
      </w:r>
      <w:r w:rsidRPr="00566603">
        <w:rPr>
          <w:b/>
          <w:bCs/>
        </w:rPr>
        <w:t xml:space="preserve">ISO 14001, EPD, </w:t>
      </w:r>
      <w:proofErr w:type="spellStart"/>
      <w:r w:rsidRPr="00566603">
        <w:rPr>
          <w:b/>
          <w:bCs/>
        </w:rPr>
        <w:t>SBTi</w:t>
      </w:r>
      <w:proofErr w:type="spellEnd"/>
      <w:r w:rsidRPr="00566603">
        <w:t>). </w:t>
      </w:r>
    </w:p>
    <w:p w14:paraId="4795ED97" w14:textId="77777777" w:rsidR="00566603" w:rsidRPr="00566603" w:rsidRDefault="00566603" w:rsidP="00566603">
      <w:pPr>
        <w:numPr>
          <w:ilvl w:val="0"/>
          <w:numId w:val="13"/>
        </w:numPr>
      </w:pPr>
      <w:r w:rsidRPr="00566603">
        <w:t>Controllo delle metodologie adottate per la misurazione delle performance ambientali. </w:t>
      </w:r>
    </w:p>
    <w:p w14:paraId="5DC89C29" w14:textId="77777777" w:rsidR="00566603" w:rsidRPr="00566603" w:rsidRDefault="00566603" w:rsidP="00566603">
      <w:pPr>
        <w:numPr>
          <w:ilvl w:val="0"/>
          <w:numId w:val="14"/>
        </w:numPr>
      </w:pPr>
      <w:r w:rsidRPr="00566603">
        <w:rPr>
          <w:b/>
          <w:bCs/>
        </w:rPr>
        <w:t>Monitoraggio e Reporting</w:t>
      </w:r>
      <w:r w:rsidRPr="00566603">
        <w:t> </w:t>
      </w:r>
    </w:p>
    <w:p w14:paraId="741BB6B8" w14:textId="77777777" w:rsidR="00566603" w:rsidRPr="00566603" w:rsidRDefault="00566603" w:rsidP="00566603">
      <w:pPr>
        <w:numPr>
          <w:ilvl w:val="0"/>
          <w:numId w:val="15"/>
        </w:numPr>
      </w:pPr>
      <w:r w:rsidRPr="00566603">
        <w:t>Definizione di indicatori chiave di performance (</w:t>
      </w:r>
      <w:r w:rsidRPr="00566603">
        <w:rPr>
          <w:b/>
          <w:bCs/>
        </w:rPr>
        <w:t>KPI ESG</w:t>
      </w:r>
      <w:r w:rsidRPr="00566603">
        <w:t>) per misurare l’efficacia delle strategie di sostenibilità. </w:t>
      </w:r>
    </w:p>
    <w:p w14:paraId="663DAB46" w14:textId="77777777" w:rsidR="00566603" w:rsidRPr="00566603" w:rsidRDefault="00566603" w:rsidP="00566603">
      <w:pPr>
        <w:numPr>
          <w:ilvl w:val="0"/>
          <w:numId w:val="16"/>
        </w:numPr>
      </w:pPr>
      <w:r w:rsidRPr="00566603">
        <w:t>Redazione di report ESG trasparenti, verificabili e conformi agli standard internazionali. </w:t>
      </w:r>
    </w:p>
    <w:p w14:paraId="66E09523" w14:textId="77777777" w:rsidR="00566603" w:rsidRPr="00566603" w:rsidRDefault="00566603" w:rsidP="00566603">
      <w:r w:rsidRPr="00566603">
        <w:t> </w:t>
      </w:r>
    </w:p>
    <w:p w14:paraId="50C65175" w14:textId="77777777" w:rsidR="00566603" w:rsidRPr="00566603" w:rsidRDefault="00566603" w:rsidP="00566603">
      <w:pPr>
        <w:pStyle w:val="Titolo2"/>
      </w:pPr>
      <w:r w:rsidRPr="00566603">
        <w:t>Normative e Standard di Riferimento </w:t>
      </w:r>
    </w:p>
    <w:p w14:paraId="632FC500" w14:textId="77777777" w:rsidR="00566603" w:rsidRPr="00566603" w:rsidRDefault="00566603" w:rsidP="00566603">
      <w:pPr>
        <w:numPr>
          <w:ilvl w:val="0"/>
          <w:numId w:val="17"/>
        </w:numPr>
      </w:pPr>
      <w:r w:rsidRPr="00566603">
        <w:rPr>
          <w:b/>
          <w:bCs/>
        </w:rPr>
        <w:t xml:space="preserve">CSRD (Corporate </w:t>
      </w:r>
      <w:proofErr w:type="spellStart"/>
      <w:r w:rsidRPr="00566603">
        <w:rPr>
          <w:b/>
          <w:bCs/>
        </w:rPr>
        <w:t>Sustainability</w:t>
      </w:r>
      <w:proofErr w:type="spellEnd"/>
      <w:r w:rsidRPr="00566603">
        <w:rPr>
          <w:b/>
          <w:bCs/>
        </w:rPr>
        <w:t xml:space="preserve"> Reporting Directive)</w:t>
      </w:r>
      <w:r w:rsidRPr="00566603">
        <w:t>: obbligo di reportistica ESG per le imprese europee. </w:t>
      </w:r>
    </w:p>
    <w:p w14:paraId="3AA5867D" w14:textId="77777777" w:rsidR="00566603" w:rsidRPr="00566603" w:rsidRDefault="00566603" w:rsidP="00566603">
      <w:pPr>
        <w:numPr>
          <w:ilvl w:val="0"/>
          <w:numId w:val="18"/>
        </w:numPr>
      </w:pPr>
      <w:r w:rsidRPr="00566603">
        <w:rPr>
          <w:b/>
          <w:bCs/>
        </w:rPr>
        <w:t>ESRS (</w:t>
      </w:r>
      <w:proofErr w:type="spellStart"/>
      <w:r w:rsidRPr="00566603">
        <w:rPr>
          <w:b/>
          <w:bCs/>
        </w:rPr>
        <w:t>European</w:t>
      </w:r>
      <w:proofErr w:type="spellEnd"/>
      <w:r w:rsidRPr="00566603">
        <w:rPr>
          <w:b/>
          <w:bCs/>
        </w:rPr>
        <w:t xml:space="preserve"> </w:t>
      </w:r>
      <w:proofErr w:type="spellStart"/>
      <w:r w:rsidRPr="00566603">
        <w:rPr>
          <w:b/>
          <w:bCs/>
        </w:rPr>
        <w:t>Sustainability</w:t>
      </w:r>
      <w:proofErr w:type="spellEnd"/>
      <w:r w:rsidRPr="00566603">
        <w:rPr>
          <w:b/>
          <w:bCs/>
        </w:rPr>
        <w:t xml:space="preserve"> Reporting Standards)</w:t>
      </w:r>
      <w:r w:rsidRPr="00566603">
        <w:t>: linee guida per la trasparenza e la misurazione delle performance ESG. </w:t>
      </w:r>
    </w:p>
    <w:p w14:paraId="7B253C0E" w14:textId="77777777" w:rsidR="00566603" w:rsidRPr="00566603" w:rsidRDefault="00566603" w:rsidP="00566603">
      <w:pPr>
        <w:numPr>
          <w:ilvl w:val="0"/>
          <w:numId w:val="19"/>
        </w:numPr>
      </w:pPr>
      <w:r w:rsidRPr="00566603">
        <w:rPr>
          <w:b/>
          <w:bCs/>
        </w:rPr>
        <w:t xml:space="preserve">GRI (Global Reporting </w:t>
      </w:r>
      <w:proofErr w:type="spellStart"/>
      <w:r w:rsidRPr="00566603">
        <w:rPr>
          <w:b/>
          <w:bCs/>
        </w:rPr>
        <w:t>Initiative</w:t>
      </w:r>
      <w:proofErr w:type="spellEnd"/>
      <w:r w:rsidRPr="00566603">
        <w:rPr>
          <w:b/>
          <w:bCs/>
        </w:rPr>
        <w:t>)</w:t>
      </w:r>
      <w:r w:rsidRPr="00566603">
        <w:t>: standard per il reporting di sostenibilità. </w:t>
      </w:r>
    </w:p>
    <w:p w14:paraId="5E7DCC56" w14:textId="77777777" w:rsidR="00566603" w:rsidRPr="00566603" w:rsidRDefault="00566603" w:rsidP="00566603">
      <w:pPr>
        <w:numPr>
          <w:ilvl w:val="0"/>
          <w:numId w:val="20"/>
        </w:numPr>
      </w:pPr>
      <w:r w:rsidRPr="00566603">
        <w:rPr>
          <w:b/>
          <w:bCs/>
        </w:rPr>
        <w:t>SASB (</w:t>
      </w:r>
      <w:proofErr w:type="spellStart"/>
      <w:r w:rsidRPr="00566603">
        <w:rPr>
          <w:b/>
          <w:bCs/>
        </w:rPr>
        <w:t>Sustainability</w:t>
      </w:r>
      <w:proofErr w:type="spellEnd"/>
      <w:r w:rsidRPr="00566603">
        <w:rPr>
          <w:b/>
          <w:bCs/>
        </w:rPr>
        <w:t xml:space="preserve"> Accounting Standards Board)</w:t>
      </w:r>
      <w:r w:rsidRPr="00566603">
        <w:t>: framework per la misurazione degli impatti ESG. </w:t>
      </w:r>
    </w:p>
    <w:p w14:paraId="1B14E4C6" w14:textId="77777777" w:rsidR="00566603" w:rsidRPr="00566603" w:rsidRDefault="00566603" w:rsidP="00566603">
      <w:pPr>
        <w:numPr>
          <w:ilvl w:val="0"/>
          <w:numId w:val="21"/>
        </w:numPr>
      </w:pPr>
      <w:r w:rsidRPr="00566603">
        <w:rPr>
          <w:b/>
          <w:bCs/>
        </w:rPr>
        <w:t xml:space="preserve">ISSB (International </w:t>
      </w:r>
      <w:proofErr w:type="spellStart"/>
      <w:r w:rsidRPr="00566603">
        <w:rPr>
          <w:b/>
          <w:bCs/>
        </w:rPr>
        <w:t>Sustainability</w:t>
      </w:r>
      <w:proofErr w:type="spellEnd"/>
      <w:r w:rsidRPr="00566603">
        <w:rPr>
          <w:b/>
          <w:bCs/>
        </w:rPr>
        <w:t xml:space="preserve"> Standards Board)</w:t>
      </w:r>
      <w:r w:rsidRPr="00566603">
        <w:t>: standard globali per la rendicontazione ESG. </w:t>
      </w:r>
    </w:p>
    <w:p w14:paraId="0B993821" w14:textId="77777777" w:rsidR="00566603" w:rsidRPr="00566603" w:rsidRDefault="00566603" w:rsidP="00566603">
      <w:pPr>
        <w:numPr>
          <w:ilvl w:val="0"/>
          <w:numId w:val="22"/>
        </w:numPr>
      </w:pPr>
      <w:r w:rsidRPr="00566603">
        <w:rPr>
          <w:b/>
          <w:bCs/>
        </w:rPr>
        <w:t xml:space="preserve">Green </w:t>
      </w:r>
      <w:proofErr w:type="spellStart"/>
      <w:r w:rsidRPr="00566603">
        <w:rPr>
          <w:b/>
          <w:bCs/>
        </w:rPr>
        <w:t>Claims</w:t>
      </w:r>
      <w:proofErr w:type="spellEnd"/>
      <w:r w:rsidRPr="00566603">
        <w:rPr>
          <w:b/>
          <w:bCs/>
        </w:rPr>
        <w:t xml:space="preserve"> Directive</w:t>
      </w:r>
      <w:r w:rsidRPr="00566603">
        <w:t>: normativa UE per prevenire dichiarazioni ambientali ingannevoli. </w:t>
      </w:r>
    </w:p>
    <w:p w14:paraId="100B064F" w14:textId="77777777" w:rsidR="00566603" w:rsidRPr="00566603" w:rsidRDefault="00566603" w:rsidP="00566603">
      <w:r w:rsidRPr="00566603">
        <w:t> </w:t>
      </w:r>
    </w:p>
    <w:p w14:paraId="11FDC0A5" w14:textId="77777777" w:rsidR="00566603" w:rsidRPr="00566603" w:rsidRDefault="00566603" w:rsidP="00566603">
      <w:pPr>
        <w:pStyle w:val="Titolo2"/>
      </w:pPr>
      <w:r w:rsidRPr="00566603">
        <w:t>Come Evitare il Greenwashing? </w:t>
      </w:r>
    </w:p>
    <w:p w14:paraId="4ED43968" w14:textId="77777777" w:rsidR="00566603" w:rsidRPr="00566603" w:rsidRDefault="00566603" w:rsidP="00566603"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Utilizzare dati misurabili e verificabili</w:t>
      </w:r>
      <w:r w:rsidRPr="00566603">
        <w:t xml:space="preserve">, supportati da metodologie riconosciute. </w:t>
      </w:r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Adottare certificazioni ambientali affidabili</w:t>
      </w:r>
      <w:r w:rsidRPr="00566603">
        <w:t xml:space="preserve"> per garantire la credibilità delle strategie ESG. </w:t>
      </w:r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Rendere le comunicazioni trasparenti</w:t>
      </w:r>
      <w:r w:rsidRPr="00566603">
        <w:t xml:space="preserve">, evitando termini generici e affermazioni non supportate da evidenze. </w:t>
      </w:r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Coinvolgere stakeholder e terze parti indipendenti</w:t>
      </w:r>
      <w:r w:rsidRPr="00566603">
        <w:t xml:space="preserve"> nella verifica delle performance ambientali. </w:t>
      </w:r>
      <w:r w:rsidRPr="00566603">
        <w:rPr>
          <w:rFonts w:ascii="Segoe UI Symbol" w:hAnsi="Segoe UI Symbol" w:cs="Segoe UI Symbol"/>
        </w:rPr>
        <w:t>✔</w:t>
      </w:r>
      <w:r w:rsidRPr="00566603">
        <w:t xml:space="preserve"> </w:t>
      </w:r>
      <w:r w:rsidRPr="00566603">
        <w:rPr>
          <w:b/>
          <w:bCs/>
        </w:rPr>
        <w:t>Allinearsi agli standard internazionali</w:t>
      </w:r>
      <w:r w:rsidRPr="00566603">
        <w:t xml:space="preserve"> per la reportistica ESG, garantendo coerenza e tracciabilità delle informazioni. </w:t>
      </w:r>
    </w:p>
    <w:p w14:paraId="3EAB1EDA" w14:textId="77777777" w:rsidR="00566603" w:rsidRPr="00566603" w:rsidRDefault="00566603" w:rsidP="00566603">
      <w:r w:rsidRPr="00566603">
        <w:t> </w:t>
      </w:r>
    </w:p>
    <w:p w14:paraId="45CB6364" w14:textId="77777777" w:rsidR="00566603" w:rsidRPr="00566603" w:rsidRDefault="00566603" w:rsidP="00566603">
      <w:pPr>
        <w:pStyle w:val="Titolo2"/>
      </w:pPr>
      <w:r w:rsidRPr="00566603">
        <w:t>Perché Scegliere il Nostro Supporto? </w:t>
      </w:r>
    </w:p>
    <w:p w14:paraId="26B0D722" w14:textId="77777777" w:rsidR="00566603" w:rsidRPr="00566603" w:rsidRDefault="00566603" w:rsidP="00566603">
      <w:r w:rsidRPr="00566603">
        <w:t>Offriamo consulenza specializzata per la valutazione delle strategie ESG e la prevenzione del greenwashing. </w:t>
      </w:r>
    </w:p>
    <w:p w14:paraId="693A0B17" w14:textId="77777777" w:rsidR="00566603" w:rsidRPr="00566603" w:rsidRDefault="00566603" w:rsidP="00566603">
      <w:r w:rsidRPr="00566603">
        <w:rPr>
          <w:rFonts w:ascii="Segoe UI Emoji" w:hAnsi="Segoe UI Emoji" w:cs="Segoe UI Emoji"/>
        </w:rPr>
        <w:lastRenderedPageBreak/>
        <w:t>✅</w:t>
      </w:r>
      <w:r w:rsidRPr="00566603">
        <w:t xml:space="preserve"> </w:t>
      </w:r>
      <w:r w:rsidRPr="00566603">
        <w:rPr>
          <w:b/>
          <w:bCs/>
        </w:rPr>
        <w:t>Analisi approfondita delle dichiarazioni ambientali</w:t>
      </w:r>
      <w:r w:rsidRPr="00566603">
        <w:t xml:space="preserve"> </w:t>
      </w:r>
      <w:r w:rsidRPr="00566603">
        <w:rPr>
          <w:rFonts w:ascii="Segoe UI Emoji" w:hAnsi="Segoe UI Emoji" w:cs="Segoe UI Emoji"/>
        </w:rPr>
        <w:t>✅</w:t>
      </w:r>
      <w:r w:rsidRPr="00566603">
        <w:t xml:space="preserve"> </w:t>
      </w:r>
      <w:r w:rsidRPr="00566603">
        <w:rPr>
          <w:b/>
          <w:bCs/>
        </w:rPr>
        <w:t>Verifica della conformità agli standard normativi</w:t>
      </w:r>
      <w:r w:rsidRPr="00566603">
        <w:t xml:space="preserve"> </w:t>
      </w:r>
      <w:r w:rsidRPr="00566603">
        <w:rPr>
          <w:rFonts w:ascii="Segoe UI Emoji" w:hAnsi="Segoe UI Emoji" w:cs="Segoe UI Emoji"/>
        </w:rPr>
        <w:t>✅</w:t>
      </w:r>
      <w:r w:rsidRPr="00566603">
        <w:t xml:space="preserve"> </w:t>
      </w:r>
      <w:r w:rsidRPr="00566603">
        <w:rPr>
          <w:b/>
          <w:bCs/>
        </w:rPr>
        <w:t>Definizione di KPI ESG e monitoraggio delle performance</w:t>
      </w:r>
      <w:r w:rsidRPr="00566603">
        <w:t xml:space="preserve"> </w:t>
      </w:r>
      <w:r w:rsidRPr="00566603">
        <w:rPr>
          <w:rFonts w:ascii="Segoe UI Emoji" w:hAnsi="Segoe UI Emoji" w:cs="Segoe UI Emoji"/>
        </w:rPr>
        <w:t>✅</w:t>
      </w:r>
      <w:r w:rsidRPr="00566603">
        <w:t xml:space="preserve"> </w:t>
      </w:r>
      <w:r w:rsidRPr="00566603">
        <w:rPr>
          <w:b/>
          <w:bCs/>
        </w:rPr>
        <w:t>Redazione di report ESG trasparenti e verificabili</w:t>
      </w:r>
      <w:r w:rsidRPr="00566603">
        <w:t xml:space="preserve"> </w:t>
      </w:r>
      <w:r w:rsidRPr="00566603">
        <w:rPr>
          <w:rFonts w:ascii="Segoe UI Emoji" w:hAnsi="Segoe UI Emoji" w:cs="Segoe UI Emoji"/>
        </w:rPr>
        <w:t>✅</w:t>
      </w:r>
      <w:r w:rsidRPr="00566603">
        <w:t xml:space="preserve"> </w:t>
      </w:r>
      <w:r w:rsidRPr="00566603">
        <w:rPr>
          <w:b/>
          <w:bCs/>
        </w:rPr>
        <w:t>Supporto per la certificazione delle strategie di sostenibilità</w:t>
      </w:r>
      <w:r w:rsidRPr="00566603">
        <w:t> </w:t>
      </w:r>
    </w:p>
    <w:p w14:paraId="72C86617" w14:textId="77777777" w:rsidR="00566603" w:rsidRPr="00566603" w:rsidRDefault="00566603" w:rsidP="00566603">
      <w:r w:rsidRPr="00566603">
        <w:rPr>
          <w:rFonts w:ascii="Segoe UI Emoji" w:hAnsi="Segoe UI Emoji" w:cs="Segoe UI Emoji"/>
        </w:rPr>
        <w:t>📩</w:t>
      </w:r>
      <w:r w:rsidRPr="00566603">
        <w:t xml:space="preserve"> </w:t>
      </w:r>
      <w:r w:rsidRPr="00566603">
        <w:rPr>
          <w:b/>
          <w:bCs/>
        </w:rPr>
        <w:t>Contattaci oggi per una consulenza personalizzata e garantisci trasparenza e credibilità alla tua strategia ESG!</w:t>
      </w:r>
      <w:r w:rsidRPr="00566603">
        <w:t> </w:t>
      </w:r>
    </w:p>
    <w:p w14:paraId="0D018069" w14:textId="77777777" w:rsidR="00566603" w:rsidRPr="00566603" w:rsidRDefault="00566603" w:rsidP="00566603">
      <w:r w:rsidRPr="00566603">
        <w:t> </w:t>
      </w:r>
    </w:p>
    <w:p w14:paraId="6E230722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2076"/>
    <w:multiLevelType w:val="multilevel"/>
    <w:tmpl w:val="F33250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90C14"/>
    <w:multiLevelType w:val="multilevel"/>
    <w:tmpl w:val="3CEC8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40B4E"/>
    <w:multiLevelType w:val="multilevel"/>
    <w:tmpl w:val="C83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F068F"/>
    <w:multiLevelType w:val="multilevel"/>
    <w:tmpl w:val="AFAAB9C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B5A48"/>
    <w:multiLevelType w:val="multilevel"/>
    <w:tmpl w:val="A9D02DA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F6B86"/>
    <w:multiLevelType w:val="multilevel"/>
    <w:tmpl w:val="9DDC902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E1815"/>
    <w:multiLevelType w:val="multilevel"/>
    <w:tmpl w:val="14D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023F83"/>
    <w:multiLevelType w:val="multilevel"/>
    <w:tmpl w:val="9188B3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97E6C"/>
    <w:multiLevelType w:val="multilevel"/>
    <w:tmpl w:val="A4C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DB06B0"/>
    <w:multiLevelType w:val="multilevel"/>
    <w:tmpl w:val="A1FE1A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406EC"/>
    <w:multiLevelType w:val="multilevel"/>
    <w:tmpl w:val="8F7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CC63BA"/>
    <w:multiLevelType w:val="multilevel"/>
    <w:tmpl w:val="1F2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D424FA"/>
    <w:multiLevelType w:val="multilevel"/>
    <w:tmpl w:val="8A6E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71522"/>
    <w:multiLevelType w:val="multilevel"/>
    <w:tmpl w:val="B8B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AD4142"/>
    <w:multiLevelType w:val="multilevel"/>
    <w:tmpl w:val="A6967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D7AD0"/>
    <w:multiLevelType w:val="multilevel"/>
    <w:tmpl w:val="AA8429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DD045A"/>
    <w:multiLevelType w:val="multilevel"/>
    <w:tmpl w:val="2D768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A6C59"/>
    <w:multiLevelType w:val="multilevel"/>
    <w:tmpl w:val="CD08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500623"/>
    <w:multiLevelType w:val="multilevel"/>
    <w:tmpl w:val="5B2C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4471F5"/>
    <w:multiLevelType w:val="multilevel"/>
    <w:tmpl w:val="413AB27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9F0E75"/>
    <w:multiLevelType w:val="multilevel"/>
    <w:tmpl w:val="BF1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F72721"/>
    <w:multiLevelType w:val="multilevel"/>
    <w:tmpl w:val="AC7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7850356">
    <w:abstractNumId w:val="8"/>
  </w:num>
  <w:num w:numId="2" w16cid:durableId="21129043">
    <w:abstractNumId w:val="11"/>
  </w:num>
  <w:num w:numId="3" w16cid:durableId="1533230803">
    <w:abstractNumId w:val="6"/>
  </w:num>
  <w:num w:numId="4" w16cid:durableId="97064809">
    <w:abstractNumId w:val="18"/>
  </w:num>
  <w:num w:numId="5" w16cid:durableId="1389496707">
    <w:abstractNumId w:val="12"/>
  </w:num>
  <w:num w:numId="6" w16cid:durableId="1073814179">
    <w:abstractNumId w:val="0"/>
  </w:num>
  <w:num w:numId="7" w16cid:durableId="840508141">
    <w:abstractNumId w:val="19"/>
  </w:num>
  <w:num w:numId="8" w16cid:durableId="141314440">
    <w:abstractNumId w:val="14"/>
  </w:num>
  <w:num w:numId="9" w16cid:durableId="75249311">
    <w:abstractNumId w:val="9"/>
  </w:num>
  <w:num w:numId="10" w16cid:durableId="1248609999">
    <w:abstractNumId w:val="4"/>
  </w:num>
  <w:num w:numId="11" w16cid:durableId="1001783610">
    <w:abstractNumId w:val="1"/>
  </w:num>
  <w:num w:numId="12" w16cid:durableId="939219821">
    <w:abstractNumId w:val="7"/>
  </w:num>
  <w:num w:numId="13" w16cid:durableId="951520304">
    <w:abstractNumId w:val="5"/>
  </w:num>
  <w:num w:numId="14" w16cid:durableId="200168130">
    <w:abstractNumId w:val="16"/>
  </w:num>
  <w:num w:numId="15" w16cid:durableId="1972906829">
    <w:abstractNumId w:val="15"/>
  </w:num>
  <w:num w:numId="16" w16cid:durableId="1502307734">
    <w:abstractNumId w:val="3"/>
  </w:num>
  <w:num w:numId="17" w16cid:durableId="1427380451">
    <w:abstractNumId w:val="17"/>
  </w:num>
  <w:num w:numId="18" w16cid:durableId="361827100">
    <w:abstractNumId w:val="21"/>
  </w:num>
  <w:num w:numId="19" w16cid:durableId="2073310637">
    <w:abstractNumId w:val="20"/>
  </w:num>
  <w:num w:numId="20" w16cid:durableId="561450128">
    <w:abstractNumId w:val="13"/>
  </w:num>
  <w:num w:numId="21" w16cid:durableId="1922594184">
    <w:abstractNumId w:val="2"/>
  </w:num>
  <w:num w:numId="22" w16cid:durableId="1933200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03"/>
    <w:rsid w:val="0048102D"/>
    <w:rsid w:val="00523AC5"/>
    <w:rsid w:val="00566603"/>
    <w:rsid w:val="00593578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D8B48"/>
  <w15:chartTrackingRefBased/>
  <w15:docId w15:val="{68DF0CFF-61B6-4234-9FFD-6DE41925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6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66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6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6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6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6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6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6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6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6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66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6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66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66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66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66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66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66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66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66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66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66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6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50BD30-5873-4AE5-AFF0-07676AA32593}"/>
</file>

<file path=customXml/itemProps2.xml><?xml version="1.0" encoding="utf-8"?>
<ds:datastoreItem xmlns:ds="http://schemas.openxmlformats.org/officeDocument/2006/customXml" ds:itemID="{D50F7701-2BB7-4607-A192-631B71C7EC5F}"/>
</file>

<file path=customXml/itemProps3.xml><?xml version="1.0" encoding="utf-8"?>
<ds:datastoreItem xmlns:ds="http://schemas.openxmlformats.org/officeDocument/2006/customXml" ds:itemID="{652F2221-91E2-4A8E-8E5B-56BA960285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2025-03-07T18:33:00Z</dcterms:created>
  <dcterms:modified xsi:type="dcterms:W3CDTF">2025-03-07T18:34:00Z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