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ADA039" wp14:paraId="716CE859" wp14:textId="3E472D71">
      <w:pPr>
        <w:spacing w:before="240" w:beforeAutospacing="off" w:after="240" w:afterAutospacing="off"/>
      </w:pPr>
      <w:r w:rsidRPr="42ADA039" w:rsidR="5D7C1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Title:</w:t>
      </w:r>
    </w:p>
    <w:p xmlns:wp14="http://schemas.microsoft.com/office/word/2010/wordml" w:rsidP="42ADA039" wp14:paraId="6BEB9EF6" wp14:textId="56515D23">
      <w:pPr>
        <w:spacing w:before="240" w:beforeAutospacing="off" w:after="240" w:afterAutospacing="off"/>
      </w:pPr>
      <w:r w:rsidRPr="42ADA039" w:rsidR="5D7C1F7A">
        <w:rPr>
          <w:rFonts w:ascii="Aptos" w:hAnsi="Aptos" w:eastAsia="Aptos" w:cs="Aptos"/>
          <w:noProof w:val="0"/>
          <w:sz w:val="24"/>
          <w:szCs w:val="24"/>
          <w:lang w:val="it-IT"/>
        </w:rPr>
        <w:t>Dynamic Energy Modeling &amp; Carbon Digital Twin – Soluzioni per la decarbonizzazione</w:t>
      </w:r>
    </w:p>
    <w:p xmlns:wp14="http://schemas.microsoft.com/office/word/2010/wordml" w:rsidP="42ADA039" wp14:paraId="7AD36E0D" wp14:textId="47BB07B3">
      <w:pPr>
        <w:spacing w:before="240" w:beforeAutospacing="off" w:after="240" w:afterAutospacing="off"/>
      </w:pPr>
      <w:r w:rsidRPr="42ADA039" w:rsidR="5D7C1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Meta Description:</w:t>
      </w:r>
    </w:p>
    <w:p xmlns:wp14="http://schemas.microsoft.com/office/word/2010/wordml" w:rsidP="42ADA039" wp14:paraId="2A0A77C5" wp14:textId="63EC83B9">
      <w:pPr>
        <w:spacing w:before="240" w:beforeAutospacing="off" w:after="240" w:afterAutospacing="off"/>
      </w:pPr>
      <w:r w:rsidRPr="42ADA039" w:rsidR="5D7C1F7A">
        <w:rPr>
          <w:rFonts w:ascii="Aptos" w:hAnsi="Aptos" w:eastAsia="Aptos" w:cs="Aptos"/>
          <w:noProof w:val="0"/>
          <w:sz w:val="24"/>
          <w:szCs w:val="24"/>
          <w:lang w:val="it-IT"/>
        </w:rPr>
        <w:t>EETRA srl SB utilizza Dynamic Energy Modeling e Carbon Digital Twin per ottimizzare l’efficienza energetica e ridurre le emissioni di carbonio nel Real Estate e nelle Infrastrutture.</w:t>
      </w:r>
    </w:p>
    <w:p xmlns:wp14="http://schemas.microsoft.com/office/word/2010/wordml" w:rsidP="42ADA039" wp14:paraId="3986E5B1" wp14:textId="34A78CDA">
      <w:pPr>
        <w:spacing w:before="240" w:beforeAutospacing="off" w:after="240" w:afterAutospacing="off"/>
      </w:pPr>
      <w:r w:rsidRPr="42ADA039" w:rsidR="5D7C1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URL/Slug:</w:t>
      </w:r>
    </w:p>
    <w:p xmlns:wp14="http://schemas.microsoft.com/office/word/2010/wordml" w:rsidP="42ADA039" wp14:paraId="5D11BBBE" wp14:textId="4CE4A5C5">
      <w:pPr>
        <w:spacing w:before="240" w:beforeAutospacing="off" w:after="240" w:afterAutospacing="off"/>
      </w:pPr>
      <w:r w:rsidRPr="42ADA039" w:rsidR="5D7C1F7A">
        <w:rPr>
          <w:rFonts w:ascii="Aptos" w:hAnsi="Aptos" w:eastAsia="Aptos" w:cs="Aptos"/>
          <w:noProof w:val="0"/>
          <w:sz w:val="24"/>
          <w:szCs w:val="24"/>
          <w:lang w:val="it-IT"/>
        </w:rPr>
        <w:t>/dynamic-energy-modeling-carbon-digital-twin</w:t>
      </w:r>
    </w:p>
    <w:p xmlns:wp14="http://schemas.microsoft.com/office/word/2010/wordml" w:rsidP="42ADA039" wp14:paraId="163E0DFA" wp14:textId="3D3BA73E">
      <w:pPr>
        <w:spacing w:before="240" w:beforeAutospacing="off" w:after="240" w:afterAutospacing="off"/>
      </w:pPr>
      <w:r w:rsidRPr="42ADA039" w:rsidR="5D7C1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H1:</w:t>
      </w:r>
    </w:p>
    <w:p xmlns:wp14="http://schemas.microsoft.com/office/word/2010/wordml" w:rsidP="42ADA039" wp14:paraId="048E19D8" wp14:textId="259E9DF4">
      <w:pPr>
        <w:spacing w:before="240" w:beforeAutospacing="off" w:after="240" w:afterAutospacing="off"/>
      </w:pPr>
      <w:r w:rsidRPr="42ADA039" w:rsidR="5D7C1F7A">
        <w:rPr>
          <w:rFonts w:ascii="Aptos" w:hAnsi="Aptos" w:eastAsia="Aptos" w:cs="Aptos"/>
          <w:noProof w:val="0"/>
          <w:sz w:val="24"/>
          <w:szCs w:val="24"/>
          <w:lang w:val="it-IT"/>
        </w:rPr>
        <w:t>Dynamic Energy Modeling e Carbon Digital Twin: innovazione per la sostenibilità</w:t>
      </w:r>
    </w:p>
    <w:p xmlns:wp14="http://schemas.microsoft.com/office/word/2010/wordml" w:rsidP="42ADA039" wp14:paraId="039E995E" wp14:textId="6770B620">
      <w:pPr>
        <w:spacing w:before="240" w:beforeAutospacing="off" w:after="240" w:afterAutospacing="off"/>
      </w:pPr>
      <w:r w:rsidRPr="42ADA039" w:rsidR="5D7C1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Introduzione (Paragrafo iniziale):</w:t>
      </w:r>
    </w:p>
    <w:p xmlns:wp14="http://schemas.microsoft.com/office/word/2010/wordml" w:rsidP="42ADA039" wp14:paraId="640A4AA6" wp14:textId="5358A878">
      <w:pPr>
        <w:spacing w:before="240" w:beforeAutospacing="off" w:after="240" w:afterAutospacing="off"/>
      </w:pPr>
      <w:r w:rsidRPr="42ADA039" w:rsidR="5D7C1F7A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Il </w:t>
      </w:r>
      <w:r w:rsidRPr="42ADA039" w:rsidR="5D7C1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Dynamic Energy Modeling</w:t>
      </w:r>
      <w:r w:rsidRPr="42ADA039" w:rsidR="5D7C1F7A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 il </w:t>
      </w:r>
      <w:r w:rsidRPr="42ADA039" w:rsidR="5D7C1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Carbon Digital Twin</w:t>
      </w:r>
      <w:r w:rsidRPr="42ADA039" w:rsidR="5D7C1F7A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rappresentano strumenti avanzati per la gestione e la decarbonizzazione degli asset immobiliari e infrastrutturali. Grazie a simulazioni dinamiche e modelli digitali, EETRA srl SB ti aiuta a ottimizzare l’efficienza energetica, monitorare le emissioni di carbonio e definire strategie concrete per ridurre l’impatto ambientale.</w:t>
      </w:r>
    </w:p>
    <w:p xmlns:wp14="http://schemas.microsoft.com/office/word/2010/wordml" w:rsidP="42ADA039" wp14:paraId="54F6FB83" wp14:textId="06BC3B2D">
      <w:pPr>
        <w:spacing w:before="240" w:beforeAutospacing="off" w:after="240" w:afterAutospacing="off"/>
      </w:pPr>
      <w:r w:rsidRPr="42ADA039" w:rsidR="5D7C1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H2:</w:t>
      </w:r>
    </w:p>
    <w:p xmlns:wp14="http://schemas.microsoft.com/office/word/2010/wordml" w:rsidP="42ADA039" wp14:paraId="7CF3DCB5" wp14:textId="2D9B0C6F">
      <w:pPr>
        <w:spacing w:before="240" w:beforeAutospacing="off" w:after="240" w:afterAutospacing="off"/>
      </w:pPr>
      <w:r w:rsidRPr="42ADA039" w:rsidR="5D7C1F7A">
        <w:rPr>
          <w:rFonts w:ascii="Aptos" w:hAnsi="Aptos" w:eastAsia="Aptos" w:cs="Aptos"/>
          <w:noProof w:val="0"/>
          <w:sz w:val="24"/>
          <w:szCs w:val="24"/>
          <w:lang w:val="it-IT"/>
        </w:rPr>
        <w:t>Cos’è il Dynamic Energy Modeling?</w:t>
      </w:r>
    </w:p>
    <w:p xmlns:wp14="http://schemas.microsoft.com/office/word/2010/wordml" w:rsidP="42ADA039" wp14:paraId="4D40C2F8" wp14:textId="063088F7">
      <w:pPr>
        <w:spacing w:before="240" w:beforeAutospacing="off" w:after="240" w:afterAutospacing="off"/>
      </w:pPr>
      <w:r w:rsidRPr="42ADA039" w:rsidR="5D7C1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Paragrafo:</w:t>
      </w:r>
    </w:p>
    <w:p xmlns:wp14="http://schemas.microsoft.com/office/word/2010/wordml" w:rsidP="42ADA039" wp14:paraId="4D7DE0E0" wp14:textId="107DBF80">
      <w:pPr>
        <w:spacing w:before="240" w:beforeAutospacing="off" w:after="240" w:afterAutospacing="off"/>
      </w:pPr>
      <w:r w:rsidRPr="42ADA039" w:rsidR="5D7C1F7A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Il </w:t>
      </w:r>
      <w:r w:rsidRPr="42ADA039" w:rsidR="5D7C1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Dynamic Energy Modeling</w:t>
      </w:r>
      <w:r w:rsidRPr="42ADA039" w:rsidR="5D7C1F7A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è un metodo di simulazione che consente di analizzare il comportamento energetico di edifici e infrastrutture in condizioni reali. Attraverso modelli matematici avanzati, è possibile identificare inefficienze, testare scenari di miglioramento e implementare soluzioni personalizzate per ridurre il consumo energetico.</w:t>
      </w:r>
    </w:p>
    <w:p xmlns:wp14="http://schemas.microsoft.com/office/word/2010/wordml" w:rsidP="42ADA039" wp14:paraId="240E26B8" wp14:textId="4097165A">
      <w:pPr>
        <w:spacing w:before="240" w:beforeAutospacing="off" w:after="240" w:afterAutospacing="off"/>
      </w:pPr>
      <w:r w:rsidRPr="42ADA039" w:rsidR="5D7C1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H2:</w:t>
      </w:r>
    </w:p>
    <w:p xmlns:wp14="http://schemas.microsoft.com/office/word/2010/wordml" w:rsidP="42ADA039" wp14:paraId="42A37167" wp14:textId="26661B35">
      <w:pPr>
        <w:spacing w:before="240" w:beforeAutospacing="off" w:after="240" w:afterAutospacing="off"/>
      </w:pPr>
      <w:r w:rsidRPr="42ADA039" w:rsidR="5D7C1F7A">
        <w:rPr>
          <w:rFonts w:ascii="Aptos" w:hAnsi="Aptos" w:eastAsia="Aptos" w:cs="Aptos"/>
          <w:noProof w:val="0"/>
          <w:sz w:val="24"/>
          <w:szCs w:val="24"/>
          <w:lang w:val="it-IT"/>
        </w:rPr>
        <w:t>Cos’è il Carbon Digital Twin?</w:t>
      </w:r>
    </w:p>
    <w:p xmlns:wp14="http://schemas.microsoft.com/office/word/2010/wordml" w:rsidP="42ADA039" wp14:paraId="02D09439" wp14:textId="6BE5C586">
      <w:pPr>
        <w:spacing w:before="240" w:beforeAutospacing="off" w:after="240" w:afterAutospacing="off"/>
      </w:pPr>
      <w:r w:rsidRPr="42ADA039" w:rsidR="5D7C1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Paragrafo:</w:t>
      </w:r>
    </w:p>
    <w:p xmlns:wp14="http://schemas.microsoft.com/office/word/2010/wordml" w:rsidP="42ADA039" wp14:paraId="3F594DF7" wp14:textId="16336A54">
      <w:pPr>
        <w:spacing w:before="240" w:beforeAutospacing="off" w:after="240" w:afterAutospacing="off"/>
      </w:pPr>
      <w:r w:rsidRPr="42ADA039" w:rsidR="5D7C1F7A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Il </w:t>
      </w:r>
      <w:r w:rsidRPr="42ADA039" w:rsidR="5D7C1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Carbon Digital Twin</w:t>
      </w:r>
      <w:r w:rsidRPr="42ADA039" w:rsidR="5D7C1F7A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è una replica virtuale di un asset fisico che consente di monitorare e analizzare le emissioni di carbonio in tempo reale. Questo strumento combina dati storici e attuali per prevedere l’impatto delle operazioni sull’ambiente, aiutando a sviluppare strategie di decarbonizzazione basate su dati concreti e affidabili.</w:t>
      </w:r>
    </w:p>
    <w:p xmlns:wp14="http://schemas.microsoft.com/office/word/2010/wordml" w:rsidP="42ADA039" wp14:paraId="62720401" wp14:textId="5CA00F98">
      <w:pPr>
        <w:spacing w:before="240" w:beforeAutospacing="off" w:after="240" w:afterAutospacing="off"/>
      </w:pPr>
      <w:r w:rsidRPr="42ADA039" w:rsidR="5D7C1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H2:</w:t>
      </w:r>
    </w:p>
    <w:p xmlns:wp14="http://schemas.microsoft.com/office/word/2010/wordml" w:rsidP="42ADA039" wp14:paraId="143C5198" wp14:textId="30E6FDA7">
      <w:pPr>
        <w:spacing w:before="240" w:beforeAutospacing="off" w:after="240" w:afterAutospacing="off"/>
      </w:pPr>
      <w:r w:rsidRPr="42ADA039" w:rsidR="5D7C1F7A">
        <w:rPr>
          <w:rFonts w:ascii="Aptos" w:hAnsi="Aptos" w:eastAsia="Aptos" w:cs="Aptos"/>
          <w:noProof w:val="0"/>
          <w:sz w:val="24"/>
          <w:szCs w:val="24"/>
          <w:lang w:val="it-IT"/>
        </w:rPr>
        <w:t>I vantaggi dei nostri servizi di Dynamic Energy Modeling e Carbon Digital Twin</w:t>
      </w:r>
    </w:p>
    <w:p xmlns:wp14="http://schemas.microsoft.com/office/word/2010/wordml" w:rsidP="42ADA039" wp14:paraId="41D9C00E" wp14:textId="1D0C9A05">
      <w:pPr>
        <w:spacing w:before="240" w:beforeAutospacing="off" w:after="240" w:afterAutospacing="off"/>
      </w:pPr>
      <w:r w:rsidRPr="42ADA039" w:rsidR="5D7C1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Elenco puntato:</w:t>
      </w:r>
    </w:p>
    <w:p xmlns:wp14="http://schemas.microsoft.com/office/word/2010/wordml" w:rsidP="42ADA039" wp14:paraId="4D2EA7BD" wp14:textId="2E38C5C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2ADA039" w:rsidR="5D7C1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Efficienza energetica ottimizzata</w:t>
      </w:r>
      <w:r w:rsidRPr="42ADA039" w:rsidR="5D7C1F7A">
        <w:rPr>
          <w:rFonts w:ascii="Aptos" w:hAnsi="Aptos" w:eastAsia="Aptos" w:cs="Aptos"/>
          <w:noProof w:val="0"/>
          <w:sz w:val="24"/>
          <w:szCs w:val="24"/>
          <w:lang w:val="it-IT"/>
        </w:rPr>
        <w:t>: analisi dettagliata per ridurre i consumi e migliorare le prestazioni.</w:t>
      </w:r>
    </w:p>
    <w:p xmlns:wp14="http://schemas.microsoft.com/office/word/2010/wordml" w:rsidP="42ADA039" wp14:paraId="3812674D" wp14:textId="362B856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2ADA039" w:rsidR="5D7C1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Riduzione delle emissioni di carbonio</w:t>
      </w:r>
      <w:r w:rsidRPr="42ADA039" w:rsidR="5D7C1F7A">
        <w:rPr>
          <w:rFonts w:ascii="Aptos" w:hAnsi="Aptos" w:eastAsia="Aptos" w:cs="Aptos"/>
          <w:noProof w:val="0"/>
          <w:sz w:val="24"/>
          <w:szCs w:val="24"/>
          <w:lang w:val="it-IT"/>
        </w:rPr>
        <w:t>: monitoraggio e strategie mirate per raggiungere obiettivi di decarbonizzazione.</w:t>
      </w:r>
    </w:p>
    <w:p xmlns:wp14="http://schemas.microsoft.com/office/word/2010/wordml" w:rsidP="42ADA039" wp14:paraId="371F9405" wp14:textId="04C276A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2ADA039" w:rsidR="5D7C1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Decisioni basate sui dati</w:t>
      </w:r>
      <w:r w:rsidRPr="42ADA039" w:rsidR="5D7C1F7A">
        <w:rPr>
          <w:rFonts w:ascii="Aptos" w:hAnsi="Aptos" w:eastAsia="Aptos" w:cs="Aptos"/>
          <w:noProof w:val="0"/>
          <w:sz w:val="24"/>
          <w:szCs w:val="24"/>
          <w:lang w:val="it-IT"/>
        </w:rPr>
        <w:t>: supporto per investimenti sostenibili attraverso informazioni precise e personalizzate.</w:t>
      </w:r>
    </w:p>
    <w:p xmlns:wp14="http://schemas.microsoft.com/office/word/2010/wordml" w:rsidP="42ADA039" wp14:paraId="134ED0B4" wp14:textId="77239D8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2ADA039" w:rsidR="5D7C1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Simulazioni predittive</w:t>
      </w:r>
      <w:r w:rsidRPr="42ADA039" w:rsidR="5D7C1F7A">
        <w:rPr>
          <w:rFonts w:ascii="Aptos" w:hAnsi="Aptos" w:eastAsia="Aptos" w:cs="Aptos"/>
          <w:noProof w:val="0"/>
          <w:sz w:val="24"/>
          <w:szCs w:val="24"/>
          <w:lang w:val="it-IT"/>
        </w:rPr>
        <w:t>: valutazione di scenari futuri per pianificare interventi efficaci.</w:t>
      </w:r>
    </w:p>
    <w:p xmlns:wp14="http://schemas.microsoft.com/office/word/2010/wordml" w:rsidP="42ADA039" wp14:paraId="335B04E4" wp14:textId="3AFDFF9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2ADA039" w:rsidR="5D7C1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Conformità normativa</w:t>
      </w:r>
      <w:r w:rsidRPr="42ADA039" w:rsidR="5D7C1F7A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: strumenti utili per adeguarsi a regolamenti come la </w:t>
      </w:r>
      <w:r w:rsidRPr="42ADA039" w:rsidR="5D7C1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Tassonomia UE</w:t>
      </w:r>
      <w:r w:rsidRPr="42ADA039" w:rsidR="5D7C1F7A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 gli obiettivi </w:t>
      </w:r>
      <w:r w:rsidRPr="42ADA039" w:rsidR="5D7C1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Net Zero</w:t>
      </w:r>
      <w:r w:rsidRPr="42ADA039" w:rsidR="5D7C1F7A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xmlns:wp14="http://schemas.microsoft.com/office/word/2010/wordml" w:rsidP="42ADA039" wp14:paraId="55799E61" wp14:textId="200A116A">
      <w:pPr>
        <w:spacing w:before="240" w:beforeAutospacing="off" w:after="240" w:afterAutospacing="off"/>
      </w:pPr>
      <w:r w:rsidRPr="42ADA039" w:rsidR="5D7C1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H2:</w:t>
      </w:r>
    </w:p>
    <w:p xmlns:wp14="http://schemas.microsoft.com/office/word/2010/wordml" w:rsidP="42ADA039" wp14:paraId="1786A831" wp14:textId="7ED16F07">
      <w:pPr>
        <w:spacing w:before="240" w:beforeAutospacing="off" w:after="240" w:afterAutospacing="off"/>
      </w:pPr>
      <w:r w:rsidRPr="42ADA039" w:rsidR="5D7C1F7A">
        <w:rPr>
          <w:rFonts w:ascii="Aptos" w:hAnsi="Aptos" w:eastAsia="Aptos" w:cs="Aptos"/>
          <w:noProof w:val="0"/>
          <w:sz w:val="24"/>
          <w:szCs w:val="24"/>
          <w:lang w:val="it-IT"/>
        </w:rPr>
        <w:t>Come lavoriamo: il metodo EETRA</w:t>
      </w:r>
    </w:p>
    <w:p xmlns:wp14="http://schemas.microsoft.com/office/word/2010/wordml" w:rsidP="42ADA039" wp14:paraId="51A32FE7" wp14:textId="6D7D3DFC">
      <w:pPr>
        <w:spacing w:before="240" w:beforeAutospacing="off" w:after="240" w:afterAutospacing="off"/>
      </w:pPr>
      <w:r w:rsidRPr="42ADA039" w:rsidR="5D7C1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Paragrafo:</w:t>
      </w:r>
    </w:p>
    <w:p xmlns:wp14="http://schemas.microsoft.com/office/word/2010/wordml" w:rsidP="42ADA039" wp14:paraId="54F20590" wp14:textId="2C0B90F0">
      <w:pPr>
        <w:spacing w:before="240" w:beforeAutospacing="off" w:after="240" w:afterAutospacing="off"/>
      </w:pPr>
      <w:r w:rsidRPr="245CF352" w:rsidR="5D7C1F7A">
        <w:rPr>
          <w:rFonts w:ascii="Aptos" w:hAnsi="Aptos" w:eastAsia="Aptos" w:cs="Aptos"/>
          <w:noProof w:val="0"/>
          <w:sz w:val="24"/>
          <w:szCs w:val="24"/>
          <w:lang w:val="it-IT"/>
        </w:rPr>
        <w:t>Attraverso un approccio integrato, EETRA srl SB combina l’uso di tecnologie avanzate e competenze specialistiche per offrire soluzioni su misura. Dal modello energetico dinamico alla replica digitale dell’asset, ti forniamo gli strumenti necessari per misurare e migliorare le prestazioni ambientali in modo continuo e preciso.</w:t>
      </w:r>
    </w:p>
    <w:p xmlns:wp14="http://schemas.microsoft.com/office/word/2010/wordml" w:rsidP="42ADA039" wp14:paraId="4BD6D1DD" wp14:textId="5BFA3A25">
      <w:pPr>
        <w:spacing w:before="240" w:beforeAutospacing="off" w:after="240" w:afterAutospacing="off"/>
      </w:pPr>
      <w:r w:rsidRPr="42ADA039" w:rsidR="5D7C1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H2:</w:t>
      </w:r>
    </w:p>
    <w:p xmlns:wp14="http://schemas.microsoft.com/office/word/2010/wordml" w:rsidP="42ADA039" wp14:paraId="1BF4C819" wp14:textId="702C3209">
      <w:pPr>
        <w:spacing w:before="240" w:beforeAutospacing="off" w:after="240" w:afterAutospacing="off"/>
      </w:pPr>
      <w:r w:rsidRPr="42ADA039" w:rsidR="5D7C1F7A">
        <w:rPr>
          <w:rFonts w:ascii="Aptos" w:hAnsi="Aptos" w:eastAsia="Aptos" w:cs="Aptos"/>
          <w:noProof w:val="0"/>
          <w:sz w:val="24"/>
          <w:szCs w:val="24"/>
          <w:lang w:val="it-IT"/>
        </w:rPr>
        <w:t>Contattaci per innovare i tuoi progetti con Dynamic Energy Modeling e Carbon Digital Twin</w:t>
      </w:r>
    </w:p>
    <w:p xmlns:wp14="http://schemas.microsoft.com/office/word/2010/wordml" w:rsidP="42ADA039" wp14:paraId="3F534755" wp14:textId="5C17D678">
      <w:pPr>
        <w:spacing w:before="240" w:beforeAutospacing="off" w:after="240" w:afterAutospacing="off"/>
      </w:pPr>
      <w:r w:rsidRPr="42ADA039" w:rsidR="5D7C1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Paragrafo:</w:t>
      </w:r>
    </w:p>
    <w:p xmlns:wp14="http://schemas.microsoft.com/office/word/2010/wordml" w:rsidP="42ADA039" wp14:paraId="4045B93D" wp14:textId="2BD48985">
      <w:pPr>
        <w:spacing w:before="240" w:beforeAutospacing="off" w:after="240" w:afterAutospacing="off"/>
      </w:pPr>
      <w:r w:rsidRPr="42ADA039" w:rsidR="5D7C1F7A">
        <w:rPr>
          <w:rFonts w:ascii="Aptos" w:hAnsi="Aptos" w:eastAsia="Aptos" w:cs="Aptos"/>
          <w:noProof w:val="0"/>
          <w:sz w:val="24"/>
          <w:szCs w:val="24"/>
          <w:lang w:val="it-IT"/>
        </w:rPr>
        <w:t>Scopri come Dynamic Energy Modeling e Carbon Digital Twin possono rivoluzionare il tuo approccio alla sostenibilità. EETRA srl SB è il partner ideale per trasformare i tuoi asset immobiliari e infrastrutturali in progetti efficienti e a basso impatto ambientale.</w:t>
      </w:r>
    </w:p>
    <w:p xmlns:wp14="http://schemas.microsoft.com/office/word/2010/wordml" w:rsidP="42ADA039" wp14:paraId="0B1C60E1" wp14:textId="7E1DE55A">
      <w:pPr>
        <w:spacing w:before="240" w:beforeAutospacing="off" w:after="240" w:afterAutospacing="off"/>
      </w:pPr>
      <w:r w:rsidRPr="42ADA039" w:rsidR="5D7C1F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CTA (Call to Action):</w:t>
      </w:r>
    </w:p>
    <w:p xmlns:wp14="http://schemas.microsoft.com/office/word/2010/wordml" w:rsidP="42ADA039" wp14:paraId="79ABBB88" wp14:textId="04AE3A15">
      <w:pPr>
        <w:spacing w:before="240" w:beforeAutospacing="off" w:after="240" w:afterAutospacing="off"/>
      </w:pPr>
      <w:r w:rsidRPr="42ADA039" w:rsidR="5D7C1F7A">
        <w:rPr>
          <w:rFonts w:ascii="Aptos" w:hAnsi="Aptos" w:eastAsia="Aptos" w:cs="Aptos"/>
          <w:noProof w:val="0"/>
          <w:sz w:val="24"/>
          <w:szCs w:val="24"/>
          <w:lang w:val="it-IT"/>
        </w:rPr>
        <w:t>[Richiedi una consulenza tecnica]</w:t>
      </w:r>
    </w:p>
    <w:p xmlns:wp14="http://schemas.microsoft.com/office/word/2010/wordml" wp14:paraId="2DC08235" wp14:textId="0B992CF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d5429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1D96B2"/>
    <w:rsid w:val="245CF352"/>
    <w:rsid w:val="42ADA039"/>
    <w:rsid w:val="5D7C1F7A"/>
    <w:rsid w:val="781D9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D96B2"/>
  <w15:chartTrackingRefBased/>
  <w15:docId w15:val="{A84621EA-876B-4077-A933-E4E9FC4AB8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2ADA03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a3fcabae8f7435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59730DE-B645-4DF0-8180-B9F1D9EFBE19}"/>
</file>

<file path=customXml/itemProps2.xml><?xml version="1.0" encoding="utf-8"?>
<ds:datastoreItem xmlns:ds="http://schemas.openxmlformats.org/officeDocument/2006/customXml" ds:itemID="{5E4A474D-E3A3-428B-90EA-BBCB8CF9C997}"/>
</file>

<file path=customXml/itemProps3.xml><?xml version="1.0" encoding="utf-8"?>
<ds:datastoreItem xmlns:ds="http://schemas.openxmlformats.org/officeDocument/2006/customXml" ds:itemID="{AA4013E8-B887-45BA-AE05-30DA202E0E5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Rossini</dc:creator>
  <cp:keywords/>
  <dc:description/>
  <cp:lastModifiedBy>Guido Rossini</cp:lastModifiedBy>
  <dcterms:created xsi:type="dcterms:W3CDTF">2025-01-30T08:38:12Z</dcterms:created>
  <dcterms:modified xsi:type="dcterms:W3CDTF">2025-03-14T11:00:38Z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