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A7789" w:rsidR="00F72905" w:rsidP="000A7789" w:rsidRDefault="2E2893F4" w14:paraId="0609D0B3" w14:textId="3CA35BF3">
      <w:pPr>
        <w:pStyle w:val="Heading1"/>
        <w:rPr>
          <w:b/>
          <w:bCs/>
        </w:rPr>
      </w:pPr>
      <w:r w:rsidRPr="000A7789">
        <w:rPr>
          <w:rFonts w:eastAsia="Aptos"/>
          <w:b/>
          <w:bCs/>
          <w:noProof/>
        </w:rPr>
        <w:t>Title:</w:t>
      </w:r>
      <w:r w:rsidRPr="000A7789" w:rsidR="000A7789">
        <w:rPr>
          <w:rFonts w:eastAsia="Aptos"/>
          <w:b/>
          <w:bCs/>
          <w:noProof/>
        </w:rPr>
        <w:t xml:space="preserve"> </w:t>
      </w:r>
      <w:r w:rsidRPr="000A7789">
        <w:rPr>
          <w:rFonts w:eastAsia="Aptos"/>
          <w:b/>
          <w:bCs/>
          <w:noProof/>
        </w:rPr>
        <w:t>CRREM – Percorsi di decarbonizzazione per il Real Estate</w:t>
      </w:r>
    </w:p>
    <w:p w:rsidR="00F72905" w:rsidP="0A5A38E5" w:rsidRDefault="2E2893F4" w14:paraId="4A115117" w14:textId="1C7B096C">
      <w:pPr>
        <w:spacing w:before="240" w:after="240"/>
      </w:pPr>
      <w:r w:rsidRPr="7362A2B8">
        <w:rPr>
          <w:rFonts w:ascii="Aptos" w:hAnsi="Aptos" w:eastAsia="Aptos" w:cs="Aptos"/>
          <w:b/>
          <w:bCs/>
          <w:noProof/>
        </w:rPr>
        <w:t>Meta Description:</w:t>
      </w:r>
      <w:r w:rsidR="00F72905">
        <w:br/>
      </w:r>
      <w:r w:rsidRPr="7362A2B8">
        <w:rPr>
          <w:rFonts w:ascii="Aptos" w:hAnsi="Aptos" w:eastAsia="Aptos" w:cs="Aptos"/>
          <w:noProof/>
        </w:rPr>
        <w:t xml:space="preserve">EETRA srl SB </w:t>
      </w:r>
      <w:r w:rsidRPr="7362A2B8" w:rsidR="5E386BBD">
        <w:rPr>
          <w:rFonts w:ascii="Aptos" w:hAnsi="Aptos" w:eastAsia="Aptos" w:cs="Aptos"/>
          <w:noProof/>
        </w:rPr>
        <w:t xml:space="preserve"> come CRREM provider </w:t>
      </w:r>
      <w:r w:rsidRPr="7362A2B8">
        <w:rPr>
          <w:rFonts w:ascii="Aptos" w:hAnsi="Aptos" w:eastAsia="Aptos" w:cs="Aptos"/>
          <w:noProof/>
        </w:rPr>
        <w:t>supporta asset e portafogli immobiliari nell’adeguamento agli standard CRREM per la riduzione delle emissioni di carbonio e la gestione del rischio di stranded asset.</w:t>
      </w:r>
    </w:p>
    <w:p w:rsidR="00F72905" w:rsidP="0A5A38E5" w:rsidRDefault="2E2893F4" w14:paraId="590163C3" w14:textId="58AC65AF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URL/Slug:</w:t>
      </w:r>
      <w:r w:rsidR="00F72905">
        <w:br/>
      </w:r>
      <w:r w:rsidRPr="0A5A38E5">
        <w:rPr>
          <w:rFonts w:ascii="Aptos" w:hAnsi="Aptos" w:eastAsia="Aptos" w:cs="Aptos"/>
          <w:noProof/>
        </w:rPr>
        <w:t>/crrem-decarbonizzazione-real-estate</w:t>
      </w:r>
    </w:p>
    <w:p w:rsidR="00F72905" w:rsidP="00520391" w:rsidRDefault="2E2893F4" w14:paraId="4490F393" w14:textId="36FD5276">
      <w:pPr>
        <w:pStyle w:val="Heading2"/>
      </w:pPr>
      <w:r w:rsidRPr="0A5A38E5">
        <w:rPr>
          <w:rFonts w:eastAsia="Aptos"/>
          <w:b/>
          <w:bCs/>
          <w:noProof/>
        </w:rPr>
        <w:t>H1:</w:t>
      </w:r>
      <w:r w:rsidR="00A163F2">
        <w:rPr>
          <w:rFonts w:eastAsia="Aptos"/>
          <w:b/>
          <w:bCs/>
          <w:noProof/>
        </w:rPr>
        <w:t xml:space="preserve"> </w:t>
      </w:r>
      <w:r w:rsidRPr="0A5A38E5">
        <w:rPr>
          <w:rFonts w:eastAsia="Aptos"/>
          <w:noProof/>
        </w:rPr>
        <w:t>CRREM: la roadmap per la decarbonizzazione degli asset immobiliari</w:t>
      </w:r>
    </w:p>
    <w:p w:rsidR="00F72905" w:rsidP="0A5A38E5" w:rsidRDefault="2E2893F4" w14:paraId="0BDF72DB" w14:textId="1586B9B5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Introduzione (Paragrafo iniziale):</w:t>
      </w:r>
      <w:r w:rsidR="00F72905">
        <w:br/>
      </w:r>
      <w:r w:rsidRPr="0A5A38E5">
        <w:rPr>
          <w:rFonts w:ascii="Aptos" w:hAnsi="Aptos" w:eastAsia="Aptos" w:cs="Aptos"/>
          <w:noProof/>
        </w:rPr>
        <w:t xml:space="preserve">Il </w:t>
      </w:r>
      <w:r w:rsidRPr="0A5A38E5">
        <w:rPr>
          <w:rFonts w:ascii="Aptos" w:hAnsi="Aptos" w:eastAsia="Aptos" w:cs="Aptos"/>
          <w:b/>
          <w:bCs/>
          <w:noProof/>
        </w:rPr>
        <w:t>Carbon Risk Real Estate Monitor (CRREM)</w:t>
      </w:r>
      <w:r w:rsidRPr="0A5A38E5">
        <w:rPr>
          <w:rFonts w:ascii="Aptos" w:hAnsi="Aptos" w:eastAsia="Aptos" w:cs="Aptos"/>
          <w:noProof/>
        </w:rPr>
        <w:t xml:space="preserve"> è lo strumento di riferimento per guidare il settore immobiliare verso la decarbonizzazione. Con EETRA srl SB, ottieni un supporto strategico per allineare i tuoi asset agli obiettivi CRREM, riducendo il rischio di </w:t>
      </w:r>
      <w:r w:rsidRPr="0A5A38E5">
        <w:rPr>
          <w:rFonts w:ascii="Aptos" w:hAnsi="Aptos" w:eastAsia="Aptos" w:cs="Aptos"/>
          <w:b/>
          <w:bCs/>
          <w:noProof/>
        </w:rPr>
        <w:t>stranded asset</w:t>
      </w:r>
      <w:r w:rsidRPr="0A5A38E5">
        <w:rPr>
          <w:rFonts w:ascii="Aptos" w:hAnsi="Aptos" w:eastAsia="Aptos" w:cs="Aptos"/>
          <w:noProof/>
        </w:rPr>
        <w:t xml:space="preserve"> e migliorando la competitività sul mercato.</w:t>
      </w:r>
    </w:p>
    <w:p w:rsidR="00F72905" w:rsidP="009443C0" w:rsidRDefault="2E2893F4" w14:paraId="32BDB7E9" w14:textId="2CB948CE">
      <w:pPr>
        <w:pStyle w:val="Heading2"/>
      </w:pPr>
      <w:r w:rsidRPr="0A5A38E5">
        <w:rPr>
          <w:rFonts w:eastAsia="Aptos"/>
          <w:b/>
          <w:bCs/>
          <w:noProof/>
        </w:rPr>
        <w:t>H2:</w:t>
      </w:r>
      <w:r w:rsidR="009443C0">
        <w:rPr>
          <w:rFonts w:eastAsia="Aptos"/>
          <w:b/>
          <w:bCs/>
          <w:noProof/>
        </w:rPr>
        <w:t xml:space="preserve"> </w:t>
      </w:r>
      <w:r w:rsidRPr="0A5A38E5">
        <w:rPr>
          <w:rFonts w:eastAsia="Aptos"/>
          <w:noProof/>
        </w:rPr>
        <w:t>Cos’è il CRREM e perché è fondamentale?</w:t>
      </w:r>
    </w:p>
    <w:p w:rsidR="00F72905" w:rsidP="0A5A38E5" w:rsidRDefault="2E2893F4" w14:paraId="606BC571" w14:textId="1618B523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Paragrafo:</w:t>
      </w:r>
      <w:r w:rsidR="00F72905">
        <w:br/>
      </w:r>
      <w:r w:rsidRPr="0A5A38E5">
        <w:rPr>
          <w:rFonts w:ascii="Aptos" w:hAnsi="Aptos" w:eastAsia="Aptos" w:cs="Aptos"/>
          <w:noProof/>
        </w:rPr>
        <w:t xml:space="preserve">Il </w:t>
      </w:r>
      <w:r w:rsidRPr="0A5A38E5">
        <w:rPr>
          <w:rFonts w:ascii="Aptos" w:hAnsi="Aptos" w:eastAsia="Aptos" w:cs="Aptos"/>
          <w:b/>
          <w:bCs/>
          <w:noProof/>
        </w:rPr>
        <w:t>CRREM</w:t>
      </w:r>
      <w:r w:rsidRPr="0A5A38E5">
        <w:rPr>
          <w:rFonts w:ascii="Aptos" w:hAnsi="Aptos" w:eastAsia="Aptos" w:cs="Aptos"/>
          <w:noProof/>
        </w:rPr>
        <w:t xml:space="preserve"> è una metodologia sviluppata per aiutare investitori e proprietari immobiliari a ridurre le emissioni di carbonio degli asset, in linea con gli obiettivi climatici dell’Accordo di Parigi e della Tassonomia UE. Lo strumento fornisce percorsi di decarbonizzazione specifici per diverse tipologie di edifici, valutando il rischio che un asset diventi non conforme alle future normative climatiche (</w:t>
      </w:r>
      <w:r w:rsidRPr="0A5A38E5">
        <w:rPr>
          <w:rFonts w:ascii="Aptos" w:hAnsi="Aptos" w:eastAsia="Aptos" w:cs="Aptos"/>
          <w:b/>
          <w:bCs/>
          <w:noProof/>
        </w:rPr>
        <w:t>stranded asset risk</w:t>
      </w:r>
      <w:r w:rsidRPr="0A5A38E5">
        <w:rPr>
          <w:rFonts w:ascii="Aptos" w:hAnsi="Aptos" w:eastAsia="Aptos" w:cs="Aptos"/>
          <w:noProof/>
        </w:rPr>
        <w:t>).</w:t>
      </w:r>
    </w:p>
    <w:p w:rsidR="00F72905" w:rsidP="009443C0" w:rsidRDefault="2E2893F4" w14:paraId="599F84CE" w14:textId="1FD83CB1">
      <w:pPr>
        <w:pStyle w:val="Heading2"/>
      </w:pPr>
      <w:r w:rsidRPr="0A5A38E5">
        <w:rPr>
          <w:rFonts w:eastAsia="Aptos"/>
          <w:b/>
          <w:bCs/>
          <w:noProof/>
        </w:rPr>
        <w:t>H2:</w:t>
      </w:r>
      <w:r w:rsidR="009443C0">
        <w:rPr>
          <w:rFonts w:eastAsia="Aptos"/>
          <w:b/>
          <w:bCs/>
          <w:noProof/>
        </w:rPr>
        <w:t xml:space="preserve"> </w:t>
      </w:r>
      <w:r w:rsidRPr="0A5A38E5">
        <w:rPr>
          <w:rFonts w:eastAsia="Aptos"/>
          <w:noProof/>
        </w:rPr>
        <w:t>I benefici dell’adeguamento agli standard CRREM</w:t>
      </w:r>
    </w:p>
    <w:p w:rsidR="00F72905" w:rsidP="0A5A38E5" w:rsidRDefault="2E2893F4" w14:paraId="0D394EE2" w14:textId="15B16893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Elenco puntato:</w:t>
      </w:r>
    </w:p>
    <w:p w:rsidR="00F72905" w:rsidP="0A5A38E5" w:rsidRDefault="2E2893F4" w14:paraId="6B5E01B6" w14:textId="734CC989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Riduzione del rischio di stranded asset</w:t>
      </w:r>
      <w:r w:rsidRPr="0A5A38E5">
        <w:rPr>
          <w:rFonts w:ascii="Aptos" w:hAnsi="Aptos" w:eastAsia="Aptos" w:cs="Aptos"/>
          <w:noProof/>
        </w:rPr>
        <w:t>: allineamento agli standard futuri per evitare svalutazioni.</w:t>
      </w:r>
    </w:p>
    <w:p w:rsidR="00F72905" w:rsidP="0A5A38E5" w:rsidRDefault="2E2893F4" w14:paraId="5300DA5D" w14:textId="7D1F50FE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Migliore accesso a finanziamenti ESG</w:t>
      </w:r>
      <w:r w:rsidRPr="0A5A38E5">
        <w:rPr>
          <w:rFonts w:ascii="Aptos" w:hAnsi="Aptos" w:eastAsia="Aptos" w:cs="Aptos"/>
          <w:noProof/>
        </w:rPr>
        <w:t>: attrattività per investitori attenti alla sostenibilità.</w:t>
      </w:r>
    </w:p>
    <w:p w:rsidR="00F72905" w:rsidP="0A5A38E5" w:rsidRDefault="2E2893F4" w14:paraId="2D651E30" w14:textId="63671674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Conformità con regolamenti e Tassonomia UE</w:t>
      </w:r>
      <w:r w:rsidRPr="0A5A38E5">
        <w:rPr>
          <w:rFonts w:ascii="Aptos" w:hAnsi="Aptos" w:eastAsia="Aptos" w:cs="Aptos"/>
          <w:noProof/>
        </w:rPr>
        <w:t>: rispetto delle normative europee sul clima e l’energia.</w:t>
      </w:r>
    </w:p>
    <w:p w:rsidR="00F72905" w:rsidP="0A5A38E5" w:rsidRDefault="2E2893F4" w14:paraId="17B6F501" w14:textId="12F0488D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Ottimizzazione delle performance energetiche</w:t>
      </w:r>
      <w:r w:rsidRPr="0A5A38E5">
        <w:rPr>
          <w:rFonts w:ascii="Aptos" w:hAnsi="Aptos" w:eastAsia="Aptos" w:cs="Aptos"/>
          <w:noProof/>
        </w:rPr>
        <w:t>: riduzione delle emissioni e dei costi operativi.</w:t>
      </w:r>
    </w:p>
    <w:p w:rsidR="00F72905" w:rsidP="0A5A38E5" w:rsidRDefault="2E2893F4" w14:paraId="0F74B5D0" w14:textId="32E7D8D3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Potenziamento della strategia ESG aziendale</w:t>
      </w:r>
      <w:r w:rsidRPr="0A5A38E5">
        <w:rPr>
          <w:rFonts w:ascii="Aptos" w:hAnsi="Aptos" w:eastAsia="Aptos" w:cs="Aptos"/>
          <w:noProof/>
        </w:rPr>
        <w:t>: integrazione del CRREM nei piani di sostenibilità e reporting.</w:t>
      </w:r>
    </w:p>
    <w:p w:rsidRPr="000A7789" w:rsidR="00F72905" w:rsidP="009443C0" w:rsidRDefault="2E2893F4" w14:paraId="5FCCD3CC" w14:textId="5DF77C71">
      <w:pPr>
        <w:pStyle w:val="Heading2"/>
        <w:rPr>
          <w:rFonts w:eastAsia="Aptos"/>
          <w:noProof/>
          <w:lang w:val="en-GB"/>
        </w:rPr>
      </w:pPr>
      <w:r w:rsidRPr="000A7789">
        <w:rPr>
          <w:rFonts w:eastAsia="Aptos"/>
          <w:b/>
          <w:bCs/>
          <w:noProof/>
          <w:lang w:val="en-GB"/>
        </w:rPr>
        <w:lastRenderedPageBreak/>
        <w:t>H2:</w:t>
      </w:r>
      <w:r w:rsidR="009443C0">
        <w:rPr>
          <w:rFonts w:eastAsia="Aptos"/>
          <w:b/>
          <w:bCs/>
          <w:noProof/>
          <w:lang w:val="en-GB"/>
        </w:rPr>
        <w:t xml:space="preserve"> </w:t>
      </w:r>
      <w:r w:rsidRPr="000A7789">
        <w:rPr>
          <w:rFonts w:eastAsia="Aptos"/>
          <w:noProof/>
          <w:lang w:val="en-GB"/>
        </w:rPr>
        <w:t>EETRA srl SB CRREM</w:t>
      </w:r>
      <w:r w:rsidRPr="000A7789" w:rsidR="6C628DF2">
        <w:rPr>
          <w:rFonts w:eastAsia="Aptos"/>
          <w:noProof/>
          <w:lang w:val="en-GB"/>
        </w:rPr>
        <w:t xml:space="preserve"> service provider</w:t>
      </w:r>
    </w:p>
    <w:p w:rsidR="00F72905" w:rsidP="0A5A38E5" w:rsidRDefault="2E2893F4" w14:paraId="6F49B22C" w14:textId="0A26A119">
      <w:pPr>
        <w:spacing w:before="240" w:after="24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Paragrafo:</w:t>
      </w:r>
      <w:r w:rsidR="00F72905">
        <w:br/>
      </w:r>
      <w:r w:rsidRPr="0A5A38E5">
        <w:rPr>
          <w:rFonts w:ascii="Aptos" w:hAnsi="Aptos" w:eastAsia="Aptos" w:cs="Aptos"/>
          <w:noProof/>
        </w:rPr>
        <w:t>EETRA srl SB offre un supporto completo per la valutazione e l’applicazione della metodologia CRREM nei tuoi asset immobiliari, garantendo soluzioni su misura per ogni portafoglio.</w:t>
      </w:r>
    </w:p>
    <w:p w:rsidR="00B65D67" w:rsidP="0A5A38E5" w:rsidRDefault="00B65D67" w14:paraId="6A34ABD4" w14:textId="77777777">
      <w:pPr>
        <w:spacing w:before="240" w:after="240"/>
      </w:pPr>
    </w:p>
    <w:p w:rsidR="00F72905" w:rsidP="0A5A38E5" w:rsidRDefault="2E2893F4" w14:paraId="2DF38D37" w14:textId="105D7348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Elenco puntato:</w:t>
      </w:r>
    </w:p>
    <w:p w:rsidR="00F72905" w:rsidP="0A5A38E5" w:rsidRDefault="2E2893F4" w14:paraId="141A0082" w14:textId="566F15D0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Analisi del rischio di stranded asset</w:t>
      </w:r>
      <w:r w:rsidRPr="0A5A38E5">
        <w:rPr>
          <w:rFonts w:ascii="Aptos" w:hAnsi="Aptos" w:eastAsia="Aptos" w:cs="Aptos"/>
          <w:noProof/>
        </w:rPr>
        <w:t>: valutazione della traiettoria di decarbonizzazione e impatti finanziari.</w:t>
      </w:r>
    </w:p>
    <w:p w:rsidR="00F72905" w:rsidP="0A5A38E5" w:rsidRDefault="2E2893F4" w14:paraId="2E850EF2" w14:textId="7C00A520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Benchmarking CRREM</w:t>
      </w:r>
      <w:r w:rsidRPr="0A5A38E5">
        <w:rPr>
          <w:rFonts w:ascii="Aptos" w:hAnsi="Aptos" w:eastAsia="Aptos" w:cs="Aptos"/>
          <w:noProof/>
        </w:rPr>
        <w:t>: confronto con gli standard di mercato e definizione di strategie di miglioramento.</w:t>
      </w:r>
    </w:p>
    <w:p w:rsidR="00F72905" w:rsidP="0A5A38E5" w:rsidRDefault="2E2893F4" w14:paraId="6E96BF25" w14:textId="11CDC16F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Ottimizzazione delle strategie di retrofit</w:t>
      </w:r>
      <w:r w:rsidRPr="0A5A38E5">
        <w:rPr>
          <w:rFonts w:ascii="Aptos" w:hAnsi="Aptos" w:eastAsia="Aptos" w:cs="Aptos"/>
          <w:noProof/>
        </w:rPr>
        <w:t>: identificazione di interventi per migliorare l’efficienza energetica degli asset.</w:t>
      </w:r>
    </w:p>
    <w:p w:rsidR="00F72905" w:rsidP="0A5A38E5" w:rsidRDefault="2E2893F4" w14:paraId="1D8C177E" w14:textId="028B369A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noProof/>
        </w:rPr>
      </w:pPr>
      <w:r w:rsidRPr="0A5A38E5">
        <w:rPr>
          <w:rFonts w:ascii="Aptos" w:hAnsi="Aptos" w:eastAsia="Aptos" w:cs="Aptos"/>
          <w:b/>
          <w:bCs/>
          <w:noProof/>
        </w:rPr>
        <w:t>Integrazione con strumenti ESG e reporting</w:t>
      </w:r>
      <w:r w:rsidRPr="0A5A38E5">
        <w:rPr>
          <w:rFonts w:ascii="Aptos" w:hAnsi="Aptos" w:eastAsia="Aptos" w:cs="Aptos"/>
          <w:noProof/>
        </w:rPr>
        <w:t>: supporto per il GRESB, la Tassonomia UE e altre certificazioni.</w:t>
      </w:r>
    </w:p>
    <w:p w:rsidR="00F72905" w:rsidP="0A5A38E5" w:rsidRDefault="2E2893F4" w14:paraId="63863081" w14:textId="1D1E202B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noProof/>
        </w:rPr>
      </w:pPr>
      <w:r w:rsidRPr="2235CFD2" w:rsidR="2E2893F4">
        <w:rPr>
          <w:rFonts w:ascii="Aptos" w:hAnsi="Aptos" w:eastAsia="Aptos" w:cs="Aptos"/>
          <w:b w:val="1"/>
          <w:bCs w:val="1"/>
          <w:noProof/>
        </w:rPr>
        <w:t>Monitoraggio e aggiornamento continuo</w:t>
      </w:r>
      <w:r w:rsidRPr="2235CFD2" w:rsidR="2E2893F4">
        <w:rPr>
          <w:rFonts w:ascii="Aptos" w:hAnsi="Aptos" w:eastAsia="Aptos" w:cs="Aptos"/>
          <w:noProof/>
        </w:rPr>
        <w:t>: verifica periodica delle performance rispetto agli obiettivi CRREM.</w:t>
      </w:r>
    </w:p>
    <w:p w:rsidR="00F72905" w:rsidP="00520391" w:rsidRDefault="2E2893F4" w14:paraId="641C42E0" w14:textId="086F7CF0">
      <w:pPr>
        <w:pStyle w:val="Heading2"/>
      </w:pPr>
      <w:r w:rsidRPr="0A5A38E5">
        <w:rPr>
          <w:rFonts w:eastAsia="Aptos"/>
          <w:b/>
          <w:bCs/>
          <w:noProof/>
        </w:rPr>
        <w:t>H2:</w:t>
      </w:r>
      <w:r w:rsidR="00520391">
        <w:rPr>
          <w:rFonts w:eastAsia="Aptos"/>
          <w:b/>
          <w:bCs/>
          <w:noProof/>
        </w:rPr>
        <w:t xml:space="preserve"> </w:t>
      </w:r>
      <w:r w:rsidRPr="0A5A38E5">
        <w:rPr>
          <w:rFonts w:eastAsia="Aptos"/>
          <w:noProof/>
        </w:rPr>
        <w:t>Contattaci per allineare i tuoi asset agli standard CRREM</w:t>
      </w:r>
    </w:p>
    <w:p w:rsidR="00F72905" w:rsidP="0A5A38E5" w:rsidRDefault="2E2893F4" w14:paraId="387E113C" w14:textId="2395F4AF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Paragrafo:</w:t>
      </w:r>
      <w:r w:rsidR="00F72905">
        <w:br/>
      </w:r>
      <w:r w:rsidRPr="0A5A38E5">
        <w:rPr>
          <w:rFonts w:ascii="Aptos" w:hAnsi="Aptos" w:eastAsia="Aptos" w:cs="Aptos"/>
          <w:noProof/>
        </w:rPr>
        <w:t>Vuoi ridurre il rischio di stranded asset e allinearti alle traiettorie di decarbonizzazione? Con EETRA srl SB, puoi adottare strategie efficaci per garantire la sostenibilità e la competitività del tuo portafoglio immobiliare.</w:t>
      </w:r>
    </w:p>
    <w:p w:rsidR="00F72905" w:rsidP="0A5A38E5" w:rsidRDefault="2E2893F4" w14:paraId="310CAEC9" w14:textId="71139102">
      <w:pPr>
        <w:spacing w:before="240" w:after="240"/>
      </w:pPr>
      <w:r w:rsidRPr="0A5A38E5">
        <w:rPr>
          <w:rFonts w:ascii="Aptos" w:hAnsi="Aptos" w:eastAsia="Aptos" w:cs="Aptos"/>
          <w:b/>
          <w:bCs/>
          <w:noProof/>
        </w:rPr>
        <w:t>CTA (Call to Action):</w:t>
      </w:r>
      <w:r w:rsidR="00F72905">
        <w:br/>
      </w:r>
      <w:r w:rsidRPr="0A5A38E5">
        <w:rPr>
          <w:rFonts w:ascii="Aptos" w:hAnsi="Aptos" w:eastAsia="Aptos" w:cs="Aptos"/>
          <w:noProof/>
        </w:rPr>
        <w:t>[Richiedi una consulenza CRREM]</w:t>
      </w:r>
    </w:p>
    <w:p w:rsidR="00F72905" w:rsidRDefault="00F72905" w14:paraId="7FE5909B" w14:textId="3021E307">
      <w:pPr>
        <w:rPr>
          <w:noProof/>
        </w:rPr>
      </w:pPr>
    </w:p>
    <w:p w:rsidR="00412B38" w:rsidP="009443C0" w:rsidRDefault="00412B38" w14:paraId="2DC08235" w14:textId="3AC56D46">
      <w:pPr>
        <w:rPr>
          <w:noProof/>
        </w:rPr>
      </w:pPr>
    </w:p>
    <w:sectPr w:rsidR="00412B38" w:rsidSect="00F72905">
      <w:pgSz w:w="11906" w:h="16838" w:orient="portrait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C60B"/>
    <w:multiLevelType w:val="hybridMultilevel"/>
    <w:tmpl w:val="873EEF1A"/>
    <w:lvl w:ilvl="0" w:tplc="6BAE71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4AB0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4CB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E670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DC47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B890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A00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C6DA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29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E3C5C2F"/>
    <w:multiLevelType w:val="hybridMultilevel"/>
    <w:tmpl w:val="F2A09232"/>
    <w:lvl w:ilvl="0" w:tplc="27BCC5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A601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4473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5CCA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8ABC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2035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2877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A857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66D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9936552">
    <w:abstractNumId w:val="1"/>
  </w:num>
  <w:num w:numId="2" w16cid:durableId="100436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98E379"/>
    <w:rsid w:val="000A7789"/>
    <w:rsid w:val="002B29FE"/>
    <w:rsid w:val="00412B38"/>
    <w:rsid w:val="00520391"/>
    <w:rsid w:val="009443C0"/>
    <w:rsid w:val="00A107FA"/>
    <w:rsid w:val="00A163F2"/>
    <w:rsid w:val="00B65D67"/>
    <w:rsid w:val="00F72905"/>
    <w:rsid w:val="0461B249"/>
    <w:rsid w:val="0A5A38E5"/>
    <w:rsid w:val="116F5E3E"/>
    <w:rsid w:val="148DE576"/>
    <w:rsid w:val="15439E7A"/>
    <w:rsid w:val="2235CFD2"/>
    <w:rsid w:val="2898E379"/>
    <w:rsid w:val="2E2893F4"/>
    <w:rsid w:val="5E386BBD"/>
    <w:rsid w:val="6C628DF2"/>
    <w:rsid w:val="7362A2B8"/>
    <w:rsid w:val="7830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E379"/>
  <w15:chartTrackingRefBased/>
  <w15:docId w15:val="{90DB075B-B2D9-4540-93FD-E41058E3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8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3C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5A38E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0A77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443C0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F74A63-072D-4649-9163-473AD236AF58}"/>
</file>

<file path=customXml/itemProps2.xml><?xml version="1.0" encoding="utf-8"?>
<ds:datastoreItem xmlns:ds="http://schemas.openxmlformats.org/officeDocument/2006/customXml" ds:itemID="{1F44CF9B-FDA2-4858-954A-B706F3D6B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588454-F5C4-4F18-85EC-4D003D2D18B2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cp:revision>10</cp:revision>
  <dcterms:created xsi:type="dcterms:W3CDTF">2025-01-30T08:38:00Z</dcterms:created>
  <dcterms:modified xsi:type="dcterms:W3CDTF">2025-03-14T11:00:53Z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