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0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61195" w:rsidRPr="00161195" w14:paraId="3EFE2561" w14:textId="77777777" w:rsidTr="00161195">
        <w:trPr>
          <w:tblCellSpacing w:w="0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161195" w:rsidRPr="00161195" w14:paraId="382B5A4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4"/>
                  </w:tblGrid>
                  <w:tr w:rsidR="00161195" w:rsidRPr="00161195" w14:paraId="4C9BEFD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BFD6B0" w14:textId="77777777" w:rsidR="00161195" w:rsidRPr="00161195" w:rsidRDefault="00161195" w:rsidP="00161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  <w:tr w:rsidR="00161195" w:rsidRPr="00161195" w14:paraId="32217C0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000" w:type="dxa"/>
                          <w:jc w:val="center"/>
                          <w:tblCellSpacing w:w="0" w:type="dxa"/>
                          <w:shd w:val="clear" w:color="auto" w:fill="FFE600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161195" w:rsidRPr="00161195" w14:paraId="39892AB6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E600"/>
                              <w:tcMar>
                                <w:top w:w="120" w:type="dxa"/>
                                <w:left w:w="360" w:type="dxa"/>
                                <w:bottom w:w="120" w:type="dxa"/>
                                <w:right w:w="360" w:type="dxa"/>
                              </w:tcMar>
                              <w:vAlign w:val="center"/>
                              <w:hideMark/>
                            </w:tcPr>
                            <w:p w14:paraId="154CACAD" w14:textId="3E726A7E" w:rsidR="00161195" w:rsidRPr="00161195" w:rsidRDefault="00161195" w:rsidP="00161195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  <w:r w:rsidRPr="00161195">
                                <w:rPr>
                                  <w:rFonts w:ascii="Helvetica" w:eastAsia="Times New Roman" w:hAnsi="Helvetica" w:cs="Helvetica"/>
                                  <w:noProof/>
                                  <w:color w:val="1155CC"/>
                                  <w:sz w:val="24"/>
                                  <w:szCs w:val="24"/>
                                  <w:lang w:eastAsia="pt-BR"/>
                                </w:rPr>
                                <mc:AlternateContent>
                                  <mc:Choice Requires="wps">
                                    <w:drawing>
                                      <wp:inline distT="0" distB="0" distL="0" distR="0" wp14:anchorId="39CA237A" wp14:editId="74F38CEE">
                                        <wp:extent cx="1066800" cy="279400"/>
                                        <wp:effectExtent l="0" t="0" r="0" b="0"/>
                                        <wp:docPr id="1" name="Retângulo 1" descr="Mercado Livre">
                                          <a:hlinkClick xmlns:a="http://schemas.openxmlformats.org/drawingml/2006/main" r:id="rId5" tgtFrame="&quot;_blank&quot;" tooltip="&quot;Mercado Livre&quot;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>
                                                <a:spLocks noChangeAspect="1" noChangeArrowheads="1"/>
                                              </wps:cNvSpPr>
                                              <wps:spPr bwMode="auto">
                                                <a:xfrm>
                                                  <a:off x="0" y="0"/>
                                                  <a:ext cx="1066800" cy="279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</wp:inline>
                                    </w:drawing>
                                  </mc:Choice>
                                  <mc:Fallback>
                                    <w:pict>
                                      <v:rect w14:anchorId="4E0488B2" id="Retângulo 1" o:spid="_x0000_s1026" alt="Mercado Livre" href="http://pmstrk.mercadolivre.com.br/jm/PmsTrk?tool=4575&amp;word=fc856c38-2340-4feb-8ba1-6d5b346be924_1.0.0_HEADER-1_MLB_2020-04-09_sendgrid_default&amp;utm_medium=email&amp;utm_source=promotional_emails&amp;utm_content=default&amp;utm_campaign=Carta%20CEO%202&amp;go=http://www.mercadolivre.com.br/" target="&quot;_blank&quot;" title="&quot;Mercado Livre&quot;" style="width:8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" o:button="t" filled="f" stroked="f">
                                        <v:fill o:detectmouseclick="t"/>
                                        <o:lock v:ext="edit" aspectratio="t"/>
                                        <w10:anchorlock/>
                                      </v:rect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14:paraId="5E3854FE" w14:textId="77777777" w:rsidR="00161195" w:rsidRPr="00161195" w:rsidRDefault="00161195" w:rsidP="00161195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14:paraId="49A0C827" w14:textId="77777777" w:rsidR="00161195" w:rsidRPr="00161195" w:rsidRDefault="00161195" w:rsidP="00161195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2344FE1" w14:textId="77777777" w:rsidR="00161195" w:rsidRPr="00161195" w:rsidRDefault="00161195" w:rsidP="00161195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222222"/>
                <w:sz w:val="2"/>
                <w:szCs w:val="2"/>
                <w:lang w:eastAsia="pt-B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161195" w:rsidRPr="00161195" w14:paraId="2112B62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4"/>
                  </w:tblGrid>
                  <w:tr w:rsidR="00161195" w:rsidRPr="00161195" w14:paraId="5C0E00D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tbl>
                        <w:tblPr>
                          <w:tblW w:w="90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161195" w:rsidRPr="00161195" w14:paraId="266723CE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tbl>
                              <w:tblPr>
                                <w:tblW w:w="5000" w:type="pct"/>
                                <w:jc w:val="center"/>
                                <w:tblCellSpacing w:w="0" w:type="dxa"/>
                                <w:shd w:val="clear" w:color="auto" w:fill="FFE600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161195" w:rsidRPr="00161195" w14:paraId="5C279893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E600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</w:tblGrid>
                                    <w:tr w:rsidR="00161195" w:rsidRPr="00161195" w14:paraId="72D3365F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hideMark/>
                                        </w:tcPr>
                                        <w:tbl>
                                          <w:tblPr>
                                            <w:tblW w:w="7230" w:type="dxa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7230"/>
                                          </w:tblGrid>
                                          <w:tr w:rsidR="00161195" w:rsidRPr="00161195" w14:paraId="222ECE87" w14:textId="77777777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720" w:type="dxa"/>
                                                  <w:left w:w="300" w:type="dxa"/>
                                                  <w:bottom w:w="720" w:type="dxa"/>
                                                  <w:right w:w="300" w:type="dxa"/>
                                                </w:tcMar>
                                                <w:vAlign w:val="center"/>
                                                <w:hideMark/>
                                              </w:tcPr>
                                              <w:p w14:paraId="5BE95A01" w14:textId="77777777" w:rsidR="00161195" w:rsidRPr="00161195" w:rsidRDefault="00161195" w:rsidP="00161195">
                                                <w:pPr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Helvetica" w:eastAsia="Times New Roman" w:hAnsi="Helvetica" w:cs="Helvetica"/>
                                                    <w:sz w:val="24"/>
                                                    <w:szCs w:val="24"/>
                                                    <w:lang w:eastAsia="pt-BR"/>
                                                  </w:rPr>
                                                </w:pPr>
                                                <w:r w:rsidRPr="00161195">
                                                  <w:rPr>
                                                    <w:rFonts w:ascii="Helvetica" w:eastAsia="Times New Roman" w:hAnsi="Helvetica" w:cs="Helvetica"/>
                                                    <w:b/>
                                                    <w:bCs/>
                                                    <w:color w:val="333333"/>
                                                    <w:sz w:val="39"/>
                                                    <w:szCs w:val="39"/>
                                                    <w:lang w:eastAsia="pt-BR"/>
                                                  </w:rPr>
                                                  <w:t>Queridos usuários do Mercado Livre e do Mercado Pago,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14:paraId="78B5D5AD" w14:textId="77777777" w:rsidR="00161195" w:rsidRPr="00161195" w:rsidRDefault="00161195" w:rsidP="00161195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Helvetica" w:eastAsia="Times New Roman" w:hAnsi="Helvetica" w:cs="Helvetica"/>
                                              <w:sz w:val="2"/>
                                              <w:szCs w:val="2"/>
                                              <w:lang w:eastAsia="pt-BR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2BD9C357" w14:textId="77777777" w:rsidR="00161195" w:rsidRPr="00161195" w:rsidRDefault="00161195" w:rsidP="0016119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"/>
                                        <w:szCs w:val="2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615338A" w14:textId="77777777" w:rsidR="00161195" w:rsidRPr="00161195" w:rsidRDefault="00161195" w:rsidP="00161195">
                              <w:pPr>
                                <w:spacing w:after="0" w:line="240" w:lineRule="auto"/>
                                <w:jc w:val="center"/>
                                <w:rPr>
                                  <w:rFonts w:ascii="Helvetica" w:eastAsia="Times New Roman" w:hAnsi="Helvetica" w:cs="Helvetica"/>
                                  <w:sz w:val="2"/>
                                  <w:szCs w:val="2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5DD55440" w14:textId="77777777" w:rsidR="00161195" w:rsidRPr="00161195" w:rsidRDefault="00161195" w:rsidP="00161195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pt-BR"/>
                          </w:rPr>
                        </w:pPr>
                      </w:p>
                    </w:tc>
                  </w:tr>
                  <w:tr w:rsidR="00161195" w:rsidRPr="00161195" w14:paraId="5F273C3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hideMark/>
                      </w:tcPr>
                      <w:tbl>
                        <w:tblPr>
                          <w:tblW w:w="90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04"/>
                        </w:tblGrid>
                        <w:tr w:rsidR="00161195" w:rsidRPr="00161195" w14:paraId="24FF7FBE" w14:textId="77777777">
                          <w:trPr>
                            <w:trHeight w:val="408"/>
                            <w:tblCellSpacing w:w="0" w:type="dxa"/>
                            <w:jc w:val="center"/>
                          </w:trPr>
                          <w:tc>
                            <w:tcPr>
                              <w:tcW w:w="6630" w:type="dxa"/>
                              <w:vMerge w:val="restart"/>
                              <w:vAlign w:val="center"/>
                              <w:hideMark/>
                            </w:tcPr>
                            <w:tbl>
                              <w:tblPr>
                                <w:tblW w:w="900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161195" w:rsidRPr="00161195" w14:paraId="4C59BC68" w14:textId="7777777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tbl>
                                    <w:tblPr>
                                      <w:tblW w:w="8400" w:type="dxa"/>
                                      <w:jc w:val="center"/>
                                      <w:tblCellSpacing w:w="0" w:type="dxa"/>
                                      <w:shd w:val="clear" w:color="auto" w:fill="FFFFFF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400"/>
                                    </w:tblGrid>
                                    <w:tr w:rsidR="00161195" w:rsidRPr="00161195" w14:paraId="5B13E7C4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tcMar>
                                            <w:top w:w="675" w:type="dxa"/>
                                            <w:left w:w="510" w:type="dxa"/>
                                            <w:bottom w:w="675" w:type="dxa"/>
                                            <w:right w:w="51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204390BA" w14:textId="77777777" w:rsidR="00161195" w:rsidRPr="00161195" w:rsidRDefault="00161195" w:rsidP="00161195">
                                          <w:pPr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outlineLvl w:val="1"/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</w:pP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estamos todos vivendo momentos de grande incerteza e angústia diante de uma crise econômica e de saúde mundial sem precedentes. Essa crise testa a nossa capacidade de adaptação, nossa resiliência e nossa capacidade de trabalhar juntos, em equipe.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Eu gostaria de contar o que estamos fazendo para colaborar com nossos funcionários, usuários e com as comunidades onde operamos, tentando contribuir para que todos possamos lidar com esta pandemia.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O comércio eletrônico e os serviços financeiros digitais são mais úteis do que nunca, pois permitem que as pessoas em quarentena continuem tendo acesso aos produtos que precisam, que as pequenas e médias empresas possam manter sua receita, pelo menos parcialmente, e que todos possam ter um meio de pagamento conveniente e que diminua os riscos de contágio do vírus.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É por isso que implementamos um protocolo inédito na América Latina, permitindo que mais de 9000 colaboradores do Mercado Livre em 8 países e 20 escritórios continuem trabalhando remotamente e que permaneçam oferecendo nossos serviços e apoiando nossos usuários. Os colaboradores que precisam estar fisicamente presentes no trabalho contam com as mais altas medidas de segurança disponíveis para proteger o bem-estar de todos. É por isso que, até agora, nossos serviços de armazenagem e logística continuam operando normalmente, de forma eficiente e, acima de tudo, com segurança e higiene em todos os países onde os oferecemos.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Também tomamos muitas outras medidas, incluindo: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 xml:space="preserve">1. Eliminamos a tarifa de venda de diversos produtos de necessidades básicas como fraldas, material de limpeza e alimentos 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lastRenderedPageBreak/>
                                            <w:t>não perecíveis.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2. Adiamos os juros e vencimentos de mais de 2 milhões de empréstimos para compradores.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3. Moderamos dezenas de milhares de anúncios de produtos de necessidade básica cujos preços foram aumentados de forma abusiva.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4. Moderamos outras dezenas de milhares de anúncios cujas descrições prometem curas não comprovadas.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5. Alteramos as políticas para que os vendedores que estão com atraso nas suas operações possam continuar vendendo sem afetar sua reputação.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6. Mudamos o nosso logotipo para destacar a importância de evitar o contato físico e enfatizar a importância de evitar a propagação do vírus.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7. Fizemos parcerias, promovemos e contribuímos com a Cruz Vermelha e o Banco de Alimentos em toda a América Latina, levantando fundos para colaborar com alimentos e higiene em mais de 3.400 cozinhas e organizações comunitárias de todo o país.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8. Lançamos campanhas de conscientização para nossos usuários e para a população geral para tentar diminuir o avanço da pandemia.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9. Promovemos as carteiras digitais e pagamentos via código QR para diminuir as situações de contato e lançamos campanhas de descontos para compras com código QR em farmácias e outros pontos de venda de produtos de necessidades básicas.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10. Estamos colaborando com os governos de toda a América Latina para combater esta pandemia juntos.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Estas são algumas das medidas que estamos tomando. Certamente vamos adicionar outras. Enquanto isso, continuamos focados em oferecer o melhor serviço para os compradores e vendedores do Mercado Livre e para os consumidores e vendedores usuários do Mercado Pago.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Vamos continuar trabalhando para todos vocês, com todo o nosso comprometimento e energia, enquanto colaboramos para superar esta pandemia.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Confiamos que o esforço coletivo nos fortalecerá como sociedade. Juntos, de mãos dadas ou não, vamos trabalhar com esperança e comprometimento até que o melhor chegue.</w:t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</w:r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 xml:space="preserve">Marcos </w:t>
                                          </w:r>
                                          <w:proofErr w:type="spellStart"/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t>Galperin</w:t>
                                          </w:r>
                                          <w:proofErr w:type="spellEnd"/>
                                          <w:r w:rsidRPr="00161195">
                                            <w:rPr>
                                              <w:rFonts w:ascii="Helvetica" w:eastAsia="Times New Roman" w:hAnsi="Helvetica" w:cs="Helvetica"/>
                                              <w:color w:val="333333"/>
                                              <w:kern w:val="36"/>
                                              <w:sz w:val="24"/>
                                              <w:szCs w:val="24"/>
                                              <w:lang w:eastAsia="pt-BR"/>
                                            </w:rPr>
                                            <w:br/>
                                            <w:t>Fundador e CEO do Mercado Livre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5AF2CE3" w14:textId="77777777" w:rsidR="00161195" w:rsidRPr="00161195" w:rsidRDefault="00161195" w:rsidP="0016119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2"/>
                                        <w:szCs w:val="2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99DC79C" w14:textId="77777777" w:rsidR="00161195" w:rsidRPr="00161195" w:rsidRDefault="00161195" w:rsidP="00161195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  <w:tr w:rsidR="00161195" w:rsidRPr="00161195" w14:paraId="08953E27" w14:textId="77777777">
                          <w:trPr>
                            <w:trHeight w:val="40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78D46E37" w14:textId="77777777" w:rsidR="00161195" w:rsidRPr="00161195" w:rsidRDefault="00161195" w:rsidP="00161195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14:paraId="607E0F8B" w14:textId="77777777" w:rsidR="00161195" w:rsidRPr="00161195" w:rsidRDefault="00161195" w:rsidP="00161195">
                        <w:pPr>
                          <w:spacing w:after="0" w:line="240" w:lineRule="auto"/>
                          <w:jc w:val="center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lang w:eastAsia="pt-BR"/>
                          </w:rPr>
                        </w:pPr>
                      </w:p>
                    </w:tc>
                  </w:tr>
                </w:tbl>
                <w:p w14:paraId="7F3EA37C" w14:textId="77777777" w:rsidR="00161195" w:rsidRPr="00161195" w:rsidRDefault="00161195" w:rsidP="00161195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Helvetica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5E28B12" w14:textId="77777777" w:rsidR="00161195" w:rsidRPr="00161195" w:rsidRDefault="00161195" w:rsidP="0016119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"/>
                <w:szCs w:val="2"/>
                <w:lang w:eastAsia="pt-BR"/>
              </w:rPr>
            </w:pPr>
          </w:p>
        </w:tc>
      </w:tr>
    </w:tbl>
    <w:p w14:paraId="68AE3677" w14:textId="3333CAAC" w:rsidR="00161195" w:rsidRDefault="00161195" w:rsidP="00161195">
      <w:pPr>
        <w:pStyle w:val="PargrafodaLista"/>
        <w:numPr>
          <w:ilvl w:val="0"/>
          <w:numId w:val="1"/>
        </w:numPr>
      </w:pPr>
      <w:r>
        <w:lastRenderedPageBreak/>
        <w:t>Acesse o site</w:t>
      </w:r>
    </w:p>
    <w:p w14:paraId="64F2F49C" w14:textId="56BB5616" w:rsidR="00161195" w:rsidRDefault="00161195" w:rsidP="00161195"/>
    <w:p w14:paraId="6BE25E49" w14:textId="2C96A53F" w:rsidR="00161195" w:rsidRDefault="00161195" w:rsidP="00161195">
      <w:proofErr w:type="spellStart"/>
      <w:r>
        <w:lastRenderedPageBreak/>
        <w:t>Aqu</w:t>
      </w:r>
      <w:proofErr w:type="spellEnd"/>
      <w:r>
        <w:t xml:space="preserve"> ele </w:t>
      </w:r>
      <w:proofErr w:type="spellStart"/>
      <w:r>
        <w:t>da</w:t>
      </w:r>
      <w:proofErr w:type="spellEnd"/>
      <w:r>
        <w:t xml:space="preserve"> várias informações que se </w:t>
      </w:r>
      <w:proofErr w:type="spellStart"/>
      <w:r>
        <w:t>voçe</w:t>
      </w:r>
      <w:proofErr w:type="spellEnd"/>
      <w:r>
        <w:t xml:space="preserve"> não ficar esperto cai em cilada, esse link leva pra uma página muito idêntica ao mercado livre, porém pede todos os dados novamente, desde dados do cartão que é bem suspeito.</w:t>
      </w:r>
    </w:p>
    <w:sectPr w:rsidR="00161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CEE"/>
    <w:multiLevelType w:val="hybridMultilevel"/>
    <w:tmpl w:val="7644A404"/>
    <w:lvl w:ilvl="0" w:tplc="80ACE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Helvetica" w:hint="default"/>
        <w:b/>
        <w:color w:val="007C89"/>
        <w:u w:val="singl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95"/>
    <w:rsid w:val="00161195"/>
    <w:rsid w:val="009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2ECC"/>
  <w15:chartTrackingRefBased/>
  <w15:docId w15:val="{5C05F43B-BF6E-4512-9F2C-0EB97026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195"/>
    <w:rPr>
      <w:b/>
      <w:bCs/>
    </w:rPr>
  </w:style>
  <w:style w:type="paragraph" w:styleId="PargrafodaLista">
    <w:name w:val="List Paragraph"/>
    <w:basedOn w:val="Normal"/>
    <w:uiPriority w:val="34"/>
    <w:qFormat/>
    <w:rsid w:val="00161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mstrk.mercadolivre.com.br/jm/PmsTrk?tool=4575&amp;word=fc856c38-2340-4feb-8ba1-6d5b346be924_1.0.0_HEADER-1_MLB_2020-04-09_sendgrid_default&amp;utm_medium=email&amp;utm_source=promotional_emails&amp;utm_content=default&amp;utm_campaign=Carta%20CEO%202&amp;go=http://www.mercadolivre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606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De Oliveira</dc:creator>
  <cp:keywords/>
  <dc:description/>
  <cp:lastModifiedBy>Bruno Ferreira De Oliveira</cp:lastModifiedBy>
  <cp:revision>1</cp:revision>
  <dcterms:created xsi:type="dcterms:W3CDTF">2020-04-27T23:07:00Z</dcterms:created>
  <dcterms:modified xsi:type="dcterms:W3CDTF">2020-04-27T23:11:00Z</dcterms:modified>
</cp:coreProperties>
</file>