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Arial" w:cs="Arial" w:eastAsia="Arial" w:hAnsi="Arial"/>
          <w:b/>
          <w:bCs/>
          <w:color w:val="FF5A1F"/>
          <w:sz w:val="80"/>
          <w:szCs w:val="80"/>
        </w:rPr>
        <w:t xml:space="preserve">Piano di Marketing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64"/>
          <w:szCs w:val="64"/>
        </w:rPr>
        <w:t xml:space="preserve">CardBrix.com</w:t>
      </w:r>
    </w:p>
    <w:p>
      <w:pPr>
        <w:pBdr>
          <w:bottom w:val="single" w:color="FF5A1F" w:sz="12" w:space="6"/>
        </w:pBdr>
        <w:spacing w:after="300"/>
      </w:pPr>
    </w:p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color w:val="6B7280"/>
          <w:sz w:val="28"/>
          <w:szCs w:val="28"/>
        </w:rPr>
        <w:t xml:space="preserve">Marketplace di carte e collezionismo con annunci, aste, catalogo multi-TCG e Skill Zone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Struttura: matrice a 9 caselle — Prima (Prospect), Durante (Lead), Dopo (Customer)</w:t>
      </w:r>
    </w:p>
    <w:p>
      <w:pPr>
        <w:spacing w:after="800" w:before="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Data: 2 ottobre 2026 · Versione 1.0 · Documento di lavoro da validare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Contenuto</w:t>
      </w:r>
    </w:p>
    <w:p>
      <w:p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Sintesi e obiettivi</w:t>
      </w:r>
    </w:p>
    <w:p>
      <w:p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2. La mappa del piano (matrice a 9 caselle)</w:t>
      </w:r>
    </w:p>
    <w:p>
      <w:p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3. Dettaglio delle 9 caselle: obiettivo, azioni, KPI</w:t>
      </w:r>
    </w:p>
    <w:p>
      <w:p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4. Roadmap dei primi 90 giorni</w:t>
      </w:r>
    </w:p>
    <w:p>
      <w:p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5. KPI e cruscotto di controllo</w:t>
      </w:r>
    </w:p>
    <w:p>
      <w:p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6. Budget: ripartizione proposta</w:t>
      </w:r>
    </w:p>
    <w:p>
      <w:p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7. Regole di prodotto e conformità da rispettare</w:t>
      </w:r>
    </w:p>
    <w:p>
      <w:p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8. Prossimi passi</w:t>
      </w:r>
    </w:p>
    <w:p>
      <w:r>
        <w:br w:type="pag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FF5A1F"/>
          <w:sz w:val="32"/>
          <w:szCs w:val="32"/>
        </w:rPr>
        <w:t xml:space="preserve">1. Sintesi e obiettivi</w:t>
      </w:r>
    </w:p>
    <w:p>
      <w:pPr>
        <w:spacing w:after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CardBrix.com è un marketplace dedicato a carte e collezionismo (LEGO, Pokémon, Magic, Yu-Gi-Oh, Lorcana, One Piece, Dragon Ball, Funko) che unisce quattro pilastri: Annunci, Aste, Catalogo e Skill Zone, dove si partecipa a puzzle con i crediti guadagnati sulla piattaforma. I pagamenti avvengono dentro CardBrix, con una commissione trasparente.</w:t>
      </w:r>
    </w:p>
    <w:p>
      <w:pPr>
        <w:spacing w:after="1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Il piano segue la matrice a 9 caselle del modello di riferimento: tre fasi della relazione col cliente (prima, durante, dopo) per tre leve ciascuna.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Obiettivi dei primi 90 giorni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Creare massa critica nelle due nicchie di lancio (proposta: Pokémon e LEGO): catalogo di annunci e aste sufficiente a rendere utile ogni visita.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Portare registrazioni verificate e primi ordini completati, misurando il tempo dalla registrazione alla prima azione.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Accendere il passaparola: referral e community come canale principale a basso costo.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Stabilire la baseline dei KPI. I valori numerici di obiettivo vanno fissati dopo le prime 2-4 settimane di misurazione, non prima.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Principio guida</w:t>
      </w:r>
    </w:p>
    <w:p>
      <w:pPr>
        <w:spacing w:after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 marketplace a due lati cresce dove offerta e domanda si incontrano: per questo si parte stretti (poche categorie, pochi canali) e si allarga solo quando le metriche lo giustificano.</w:t>
      </w:r>
    </w:p>
    <w:p>
      <w:pPr>
        <w:sectPr>
          <w:footerReference w:type="default" r:id="rId6"/>
          <w:pgSz w:w="11906" w:h="16838" w:orient="portrait"/>
          <w:pgMar w:top="1200" w:right="1300" w:bottom="1200" w:left="1300" w:header="708" w:footer="708" w:gutter="0"/>
          <w:pgNumType/>
          <w:docGrid w:linePitch="360"/>
        </w:sectPr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FF5A1F"/>
          <w:sz w:val="28"/>
          <w:szCs w:val="28"/>
        </w:rPr>
        <w:t xml:space="preserve">2. La mappa del piano — Esempio di Piano Marketing CardBrix</w:t>
      </w:r>
    </w:p>
    <w:tbl>
      <w:tblPr>
        <w:tblW w:type="dxa" w:w="154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12"/>
        <w:gridCol w:w="4912"/>
        <w:gridCol w:w="4912"/>
      </w:tblGrid>
      <w:tr>
        <w:trPr>
          <w:trHeight w:val="2900" w:hRule="atLeast"/>
        </w:trPr>
        <w:tc>
          <w:tcPr>
            <w:tcW w:type="dxa" w:w="7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A4262C" w:val="clear"/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Prima (Prospect)</w:t>
            </w:r>
          </w:p>
        </w:tc>
        <w:tc>
          <w:tcPr>
            <w:tcW w:type="dxa" w:w="491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6DEDA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4262C"/>
                <w:sz w:val="20"/>
                <w:szCs w:val="20"/>
              </w:rPr>
              <w:t xml:space="preserve">1. Il mercato di riferimento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Collezionisti e giocatori TCG 18-45 (Pokémon, Magic, Yu-Gi-Oh, Lorcana, One Piece, Dragon Ball)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Costruttori LEGO adulti e collezionisti Funko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Venditori privati e piccoli hobby shop che vogliono pagamenti protetti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Partenza focalizzata su 2 nicchie: Pokémon + LEGO</w:t>
            </w:r>
          </w:p>
        </w:tc>
        <w:tc>
          <w:tcPr>
            <w:tcW w:type="dxa" w:w="491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6DEDA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4262C"/>
                <w:sz w:val="20"/>
                <w:szCs w:val="20"/>
              </w:rPr>
              <w:t xml:space="preserve">2. Il mio messaggio al mercato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Promessa: “Compra, vendi e colleziona in sicurezza. Metti alla prova la tua abilità e vinci pezzi rari.”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Pagamenti dentro CardBrix, commissione trasparente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Annunci, Aste, Catalogo e Skill Zone in un’unica casa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Tono appassionato, da collezionista a collezionista</w:t>
            </w:r>
          </w:p>
        </w:tc>
        <w:tc>
          <w:tcPr>
            <w:tcW w:type="dxa" w:w="491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6DEDA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4262C"/>
                <w:sz w:val="20"/>
                <w:szCs w:val="20"/>
              </w:rPr>
              <w:t xml:space="preserve">3. Media usati per raggiungere il mercato di rif.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SEO: pagine catalogo set/carte (già multi-TCG)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Video brevi: TikTok / Reels / Shorts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Community: Discord, gruppi FB, Reddit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Micro-influencer e canali YouTube TCG/LEGO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Eventi e negozi partner; email</w:t>
            </w:r>
          </w:p>
        </w:tc>
      </w:tr>
      <w:tr>
        <w:trPr>
          <w:trHeight w:val="2900" w:hRule="atLeast"/>
        </w:trPr>
        <w:tc>
          <w:tcPr>
            <w:tcW w:type="dxa" w:w="7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8A92B" w:val="clear"/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Durante (Lead)</w:t>
            </w:r>
          </w:p>
        </w:tc>
        <w:tc>
          <w:tcPr>
            <w:tcW w:type="dxa" w:w="491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DF4DE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A92B"/>
                <w:sz w:val="20"/>
                <w:szCs w:val="20"/>
              </w:rPr>
              <w:t xml:space="preserve">4. Sistema di cattura dei lead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Landing dedicate per pilastro e per nicchia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Registrazione con verifica email (+5 crediti)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Wishlist e avvisi prezzo / asta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Newsletter “Prezzi della settimana”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Link referral ?ref=CODICE</w:t>
            </w:r>
          </w:p>
        </w:tc>
        <w:tc>
          <w:tcPr>
            <w:tcW w:type="dxa" w:w="491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DF4DE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A92B"/>
                <w:sz w:val="20"/>
                <w:szCs w:val="20"/>
              </w:rPr>
              <w:t xml:space="preserve">5. Sistema per coltivare i lead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Sequenza email di benvenuto (giorni 0, 2, 5, 10, 21)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Digest settimanale per gioco/collezione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Notifiche aste in scadenza e nuovi annunci da wishlist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Promemoria Skill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Segmentazione per interesse</w:t>
            </w:r>
          </w:p>
        </w:tc>
        <w:tc>
          <w:tcPr>
            <w:tcW w:type="dxa" w:w="491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DF4DE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A92B"/>
                <w:sz w:val="20"/>
                <w:szCs w:val="20"/>
              </w:rPr>
              <w:t xml:space="preserve">6. Conversione delle vendite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Checklist “primo annuncio” e “prima offerta”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Trust: pagamento protetto, recensioni,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Aste con urgenza (countdown, rilanci)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Venditori fondatori per riempire il catalogo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Bonus acquisto/vendita in crediti dopo il periodo di maturazione</w:t>
            </w:r>
          </w:p>
        </w:tc>
      </w:tr>
      <w:tr>
        <w:trPr>
          <w:trHeight w:val="2900" w:hRule="atLeast"/>
        </w:trPr>
        <w:tc>
          <w:tcPr>
            <w:tcW w:type="dxa" w:w="7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5BA145" w:val="clear"/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Dopo (Customer)</w:t>
            </w:r>
          </w:p>
        </w:tc>
        <w:tc>
          <w:tcPr>
            <w:tcW w:type="dxa" w:w="491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4EFDD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A145"/>
                <w:sz w:val="20"/>
                <w:szCs w:val="20"/>
              </w:rPr>
              <w:t xml:space="preserve">7. Come offrire un’esperienza di altissimo livello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Spedizione tracciata e linee guida di imballaggio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Supporto rapido e assistente integrato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Notifiche di stato ordine chiare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Foto/descrizioni di qualità negli annunci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Consegna premi Skill Zone curata</w:t>
            </w:r>
          </w:p>
        </w:tc>
        <w:tc>
          <w:tcPr>
            <w:tcW w:type="dxa" w:w="491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4EFDD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A145"/>
                <w:sz w:val="20"/>
                <w:szCs w:val="20"/>
              </w:rPr>
              <w:t xml:space="preserve">8. Come aumentare il valore globale del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Cross-pillar: acquirente → venditore → giocatore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Collezioni e wishlist personali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Skill Zone ricorrente (puzzle settimanali/mensili)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Badge e livelli di fedeltà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Strumenti per venditori frequenti</w:t>
            </w:r>
          </w:p>
        </w:tc>
        <w:tc>
          <w:tcPr>
            <w:tcW w:type="dxa" w:w="491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4EFDD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A145"/>
                <w:sz w:val="20"/>
                <w:szCs w:val="20"/>
              </w:rPr>
              <w:t xml:space="preserve">9. Come organizzare e stimolare i referral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Link ?ref=CODICE e codice in registrazione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Crediti a chi invita, quando l’invitato verifica l’email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Pagina “Invita un amico” con copia-link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Condivisione annunci e aste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Ambassador: community e negozi</w:t>
            </w:r>
          </w:p>
        </w:tc>
      </w:tr>
    </w:tbl>
    <w:p>
      <w:pPr>
        <w:sectPr>
          <w:footerReference w:type="default" r:id="rId7"/>
          <w:type w:val="nextPage"/>
          <w:pgSz w:w="16838" w:h="11906" w:orient="landscape"/>
          <w:pgMar w:top="450" w:right="700" w:bottom="600" w:left="700" w:header="708" w:footer="250" w:gutter="0"/>
          <w:pgNumType/>
          <w:docGrid w:linePitch="360"/>
        </w:sectPr>
      </w:pP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FF5A1F"/>
          <w:sz w:val="32"/>
          <w:szCs w:val="32"/>
        </w:rPr>
        <w:t xml:space="preserve">3. Dettaglio delle 9 caselle</w:t>
      </w:r>
    </w:p>
    <w:p>
      <w:pPr>
        <w:pStyle w:val="Heading2"/>
        <w:keepNext/>
        <w:spacing w:after="80" w:before="260"/>
      </w:pPr>
      <w:r>
        <w:rPr>
          <w:rFonts w:ascii="Arial" w:cs="Arial" w:eastAsia="Arial" w:hAnsi="Arial"/>
          <w:b/>
          <w:bCs/>
          <w:color w:val="A4262C"/>
          <w:sz w:val="26"/>
          <w:szCs w:val="26"/>
        </w:rPr>
        <w:t xml:space="preserve">1. Il mercato di riferimento</w:t>
      </w:r>
    </w:p>
    <w:p>
      <w:pPr>
        <w:keepNext/>
        <w:spacing w:after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Prima (Prospect)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Obiettivo: Concentrare gli sforzi dove si crea massa critica (offerta + domanda) prima di allargare a tutte le categorie.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Azioni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Segmentare in 3 profili: Collezionista-acquirente, Venditore occasionale/hobby seller, Giocatore Skill Zone.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Scegliere 2 nicchie di lancio (proposta: Pokémon e LEGO) e comunicare le altre come già presenti nel catalogo.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Mappare 30-50 community italiane (gruppi Facebook, server Discord, subreddit, canali Telegram) e 20 negozi/club locali.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Costruire 3 buyer persona con motivazioni, obiezioni e canali (una pagina ciascuna).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KPI: Dimensione stimata del segmento, n. community mappate, % traffico dalle 2 nicchie target.</w:t>
      </w:r>
    </w:p>
    <w:p>
      <w:pPr>
        <w:pStyle w:val="Heading2"/>
        <w:keepNext/>
        <w:spacing w:after="80" w:before="260"/>
      </w:pPr>
      <w:r>
        <w:rPr>
          <w:rFonts w:ascii="Arial" w:cs="Arial" w:eastAsia="Arial" w:hAnsi="Arial"/>
          <w:b/>
          <w:bCs/>
          <w:color w:val="A4262C"/>
          <w:sz w:val="26"/>
          <w:szCs w:val="26"/>
        </w:rPr>
        <w:t xml:space="preserve">2. Il mio messaggio al mercato</w:t>
      </w:r>
    </w:p>
    <w:p>
      <w:pPr>
        <w:keepNext/>
        <w:spacing w:after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Prima (Prospect)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Obiettivo: Un messaggio unico e riconoscibile, declinato per pilastro e coerente col sistema colori del sito.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Azioni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Value proposition di marca in una frase + 4 sotto-messaggi, uno per pilastro (Annunci lime, Aste arancio, Skill Zone viola, Catalogo blu).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Prova concreta dietro ogni promessa: pagamento protetto, commissione visibile prima della pubblicazione, tracking spedizioni, recensioni.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Messaggio crediti, sempre uguale: si guadagnano usando la piattaforma, hanno valore solo dentro CardBrix e servono per partecipare ai puzzle. Mai riferimenti a un rapporto con l’euro.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Glossario di tono: “periodo di maturazione” (mai “diritto di recesso”), “premi offerti da CardBrix.com, spedizione a carico del vincitore”.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KPI: Tasso di rimbalzo landing, CTR annunci per messaggio, test A/B headline, brand recall (survey mensile).</w:t>
      </w:r>
    </w:p>
    <w:p>
      <w:pPr>
        <w:pStyle w:val="Heading2"/>
        <w:keepNext/>
        <w:spacing w:after="80" w:before="260"/>
      </w:pPr>
      <w:r>
        <w:rPr>
          <w:rFonts w:ascii="Arial" w:cs="Arial" w:eastAsia="Arial" w:hAnsi="Arial"/>
          <w:b/>
          <w:bCs/>
          <w:color w:val="A4262C"/>
          <w:sz w:val="26"/>
          <w:szCs w:val="26"/>
        </w:rPr>
        <w:t xml:space="preserve">3. Media usati per raggiungere il mercato di rif.</w:t>
      </w:r>
    </w:p>
    <w:p>
      <w:pPr>
        <w:keepNext/>
        <w:spacing w:after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Prima (Prospect)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Obiettivo: Presidiare pochi canali bene: prima organico e community (costo basso), poi paid per amplificare ciò che funziona.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Azioni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SEO: ogni scheda catalogo (set LEGO, carte, Funko) come pagina indicizzabile con dati strutturati, prezzo di riferimento e CTA “vedi annunci / avvisami”. Guide “quanto vale…” e “come vendere le tue carte”.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Social: 3 format ricorrenti — “asta della settimana”, “pezzo raro in arrivo come premio”, “errori comuni da evitare quando compri carte online”.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Community: server Discord CardBrix + presenza utile (non spam) nei gruppi mappati.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Micro-influencer (5-30k follower): scambio visibilità/premio, codice referral personale.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Eventi: fiere e giornate torneo, accordi con negozi per volantino/QR.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Paid: test a piccolo budget su Meta, TikTok e Google solo dopo aver validato messaggi e landing.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KPI: Sessioni per canale, costo per registrazione verificata, n. pagine catalogo indicizzate, crescita follower/membri Discord.</w:t>
      </w:r>
    </w:p>
    <w:p>
      <w:pPr>
        <w:pStyle w:val="Heading2"/>
        <w:keepNext/>
        <w:spacing w:after="80" w:before="260"/>
      </w:pPr>
      <w:r>
        <w:rPr>
          <w:rFonts w:ascii="Arial" w:cs="Arial" w:eastAsia="Arial" w:hAnsi="Arial"/>
          <w:b/>
          <w:bCs/>
          <w:color w:val="E8A92B"/>
          <w:sz w:val="26"/>
          <w:szCs w:val="26"/>
        </w:rPr>
        <w:t xml:space="preserve">4. Sistema di cattura dei lead</w:t>
      </w:r>
    </w:p>
    <w:p>
      <w:pPr>
        <w:keepNext/>
        <w:spacing w:after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Durante (Lead)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Obiettivo: Trasformare ogni visita in un contatto con consenso, offrendo valore immediato.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Azioni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Landing per Pokémon, LEGO, Aste, Skill Zone con un’unica CTA (Registrati) e prova sociale.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Lead magnet: “Guida al valore delle tue carte/set” + avvisi gratuiti su wishlist e aste in scadenza.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Banner/exit-intent leggeri, sempre conformi a cookie e consenso GDPR (opt-in separato per marketing).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Tracciamento sorgente (UTM + codice referral) salvato alla registrazione.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Ottimizzare il funnel registrazione → verifica email, riducendo i passaggi e l’attrito.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KPI: Conversione visita→registrazione, % verifica email, costo per lead, % consensi marketing.</w:t>
      </w:r>
    </w:p>
    <w:p>
      <w:pPr>
        <w:pStyle w:val="Heading2"/>
        <w:keepNext/>
        <w:spacing w:after="80" w:before="260"/>
      </w:pPr>
      <w:r>
        <w:rPr>
          <w:rFonts w:ascii="Arial" w:cs="Arial" w:eastAsia="Arial" w:hAnsi="Arial"/>
          <w:b/>
          <w:bCs/>
          <w:color w:val="E8A92B"/>
          <w:sz w:val="26"/>
          <w:szCs w:val="26"/>
        </w:rPr>
        <w:t xml:space="preserve">5. Sistema per coltivare i lead</w:t>
      </w:r>
    </w:p>
    <w:p>
      <w:pPr>
        <w:keepNext/>
        <w:spacing w:after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Durante (Lead)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Obiettivo: Portare l’iscritto alla prima azione di valore (primo acquisto, primo annuncio o prima partecipazione) entro 7-14 giorni.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Azioni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Onboarding in 5 email: benvenuto + crediti di registrazione, come funziona il catalogo, come pubblicare un annuncio, come funziona un’asta, come si usano i crediti nella Skill Zone.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Segmenti: compratore, venditore, giocatore; contenuti diversi per ciascuno.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Notifiche in-app e push per eventi rilevanti (rilancio asta, annuncio in wishlist, nuovo puzzle).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Retargeting dei registrati non attivi a 14 e 30 giorni.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Contenuto educativo ricorrente: guide, confronti prezzi, novità dai set.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KPI: Open/click rate, % attivazione a 7 e 14 giorni, tempo alla prima azione, tasso di disiscrizione.</w:t>
      </w:r>
    </w:p>
    <w:p>
      <w:pPr>
        <w:pStyle w:val="Heading2"/>
        <w:keepNext/>
        <w:spacing w:after="80" w:before="260"/>
      </w:pPr>
      <w:r>
        <w:rPr>
          <w:rFonts w:ascii="Arial" w:cs="Arial" w:eastAsia="Arial" w:hAnsi="Arial"/>
          <w:b/>
          <w:bCs/>
          <w:color w:val="E8A92B"/>
          <w:sz w:val="26"/>
          <w:szCs w:val="26"/>
        </w:rPr>
        <w:t xml:space="preserve">6. Conversione delle vendite</w:t>
      </w:r>
    </w:p>
    <w:p>
      <w:pPr>
        <w:keepNext/>
        <w:spacing w:after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Durante (Lead)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Obiettivo: Rendere facile e rassicurante completare il primo ordine, da entrambi i lati del marketplace.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Azioni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Seeding dell’offerta: reclutare 20-30 venditori fondatori con supporto alla pubblicazione e visibilità in homepage.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Ridurre le obiezioni: pagina “Come funziona la protezione acquirente”, politica resi/contestazioni chiara, commissione mostrata prima della pubblicazione.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Meccaniche d’asta: countdown, notifica “stai perdendo l’asta”, aste a tema nella settimana evento.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Bonus crediti comunicati correttamente: maturano dopo il periodo di maturazione dalla consegna confermata, con ordine minimo e senza contestazioni aperte.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Eventuali promozioni sulla commissione per i venditori nuovi: decisione da prendere valutando l’impatto sui margini.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KPI: % registrati con primo ordine in 30 gg, ordini completati, GMV, take rate, rapporto annunci/acquirenti.</w:t>
      </w:r>
    </w:p>
    <w:p>
      <w:pPr>
        <w:pStyle w:val="Heading2"/>
        <w:keepNext/>
        <w:spacing w:after="80" w:before="260"/>
      </w:pPr>
      <w:r>
        <w:rPr>
          <w:rFonts w:ascii="Arial" w:cs="Arial" w:eastAsia="Arial" w:hAnsi="Arial"/>
          <w:b/>
          <w:bCs/>
          <w:color w:val="5BA145"/>
          <w:sz w:val="26"/>
          <w:szCs w:val="26"/>
        </w:rPr>
        <w:t xml:space="preserve">7. Come offrire un’esperienza di altissimo livello</w:t>
      </w:r>
    </w:p>
    <w:p>
      <w:pPr>
        <w:keepNext/>
        <w:spacing w:after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Dopo (Customer)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Obiettivo: Ogni transazione deve lasciare fiducia: è ciò che alimenta recensioni, ripetizione d’acquisto e passaparola.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Azioni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Guida per venditori: foto standard, descrizione condizioni delle carte, imballaggio protettivo.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Tempi di risposta interni al supporto e modelli per i casi frequenti (spedizione, contestazione, resi).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Richiesta recensione dopo la consegna confermata; badge venditore affidabile.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Skill Zone: regole, tempi e costi di spedizione del premio comunicati prima della partecipazione.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Revisione mensile dei ticket per individuare i punti di attrito.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KPI: NPS/CSAT, rating medio venditori, tempo medio di risposta, % contestazioni, % ordini consegnati nei tempi.</w:t>
      </w:r>
    </w:p>
    <w:p>
      <w:pPr>
        <w:pStyle w:val="Heading2"/>
        <w:keepNext/>
        <w:spacing w:after="80" w:before="260"/>
      </w:pPr>
      <w:r>
        <w:rPr>
          <w:rFonts w:ascii="Arial" w:cs="Arial" w:eastAsia="Arial" w:hAnsi="Arial"/>
          <w:b/>
          <w:bCs/>
          <w:color w:val="5BA145"/>
          <w:sz w:val="26"/>
          <w:szCs w:val="26"/>
        </w:rPr>
        <w:t xml:space="preserve">8. Come aumentare il valore globale del cliente</w:t>
      </w:r>
    </w:p>
    <w:p>
      <w:pPr>
        <w:keepNext/>
        <w:spacing w:after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Dopo (Customer)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Obiettivo: Far usare più pilastri allo stesso utente: chi li usa tutti ha più transazioni e più probabilità di restare.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Azioni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Percorsi di cross-sell: dopo un acquisto proporre di vendere i doppioni; dopo una vendita proporre la Skill Zone con i crediti guadagnati.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Calendario Skill Zone con eventi tematici legati a uscite di set e novità.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Collezione pubblica e badge: motivi per tornare anche senza comprare.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Strumenti per venditori ricorrenti (inserzioni multiple, statistiche).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Rispetto dei tetti anti-abuso sui bonus (giornalieri/mensili, per coppia venditore-compratore): l’obiettivo è l’engagement, non il farming.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KPI: N. pilastri usati per utente, frequenza d’acquisto, utenti attivi mensili, retention a 30/90 giorni, partecipazioni Skill Zone per utente.</w:t>
      </w:r>
    </w:p>
    <w:p>
      <w:pPr>
        <w:pStyle w:val="Heading2"/>
        <w:keepNext/>
        <w:spacing w:after="80" w:before="260"/>
      </w:pPr>
      <w:r>
        <w:rPr>
          <w:rFonts w:ascii="Arial" w:cs="Arial" w:eastAsia="Arial" w:hAnsi="Arial"/>
          <w:b/>
          <w:bCs/>
          <w:color w:val="5BA145"/>
          <w:sz w:val="26"/>
          <w:szCs w:val="26"/>
        </w:rPr>
        <w:t xml:space="preserve">9. Come organizzare e stimolare i referral</w:t>
      </w:r>
    </w:p>
    <w:p>
      <w:pPr>
        <w:keepNext/>
        <w:spacing w:after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Dopo (Customer)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Obiettivo: Fare del passaparola il canale più economico, nel rispetto delle regole anti-abuso.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Azioni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Spingere la pagina “Invita un amico” con prompt nei momenti di soddisfazione (asta vinta, vendita completata, premio ricevuto).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Pulsanti di condivisione social su annunci, aste e risultati Skill Zone con codice referral incorporato.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Programma ambassador per community e negozi: codice dedicato, materiali, riconoscimenti non monetari.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Messaggi chiari: il bonus arriva dopo la verifica email dell’invitato; nessun valore in euro associato ai crediti.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Monitoraggio anti-frode su pattern sospetti (stesso IP/dispositivo, account multipli).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KPI: % nuovi utenti da referral, invitati per utente, K-factor, tasso di verifica degli invitati, segnalazioni di abuso.</w:t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FF5A1F"/>
          <w:sz w:val="32"/>
          <w:szCs w:val="32"/>
        </w:rPr>
        <w:t xml:space="preserve">4. Roadmap dei primi 90 giorni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5A1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5A1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Azioni principali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5A1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Risultato atteso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Settimane 1-4: Fondamenta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Analytics e tracciamento UTM/referral; landing per le 2 nicchie; sequenza email di benvenuto; reclutamento venditori fondatori; mappatura community; primi contenuti SEO e video.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Funnel misurabile end-to-end; catalogo iniziale di annunci/aste; baseline KPI.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Settimane 5-8: Lancio community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Apertura Discord; campagna social con format ricorrenti; 3-5 micro-influencer; spinta alla pagina “Invita un amico”; primo evento Skill Zone a tema.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Prime registrazioni da community e referral; primi ordini; feedback qualitativo.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Settimane 9-12: Scalare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 paid a piccolo budget sui messaggi migliori; accordi con negozi/eventi; ottimizzazione conversione registrazione e primo ordine; apertura di una terza categoria se la liquidità lo consente.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Costo per registrazione verificata noto; canali vincenti individuati; piano per il trimestre successivo.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FF5A1F"/>
          <w:sz w:val="32"/>
          <w:szCs w:val="32"/>
        </w:rPr>
        <w:t xml:space="preserve">5. KPI e cruscotto di controllo</w:t>
      </w:r>
    </w:p>
    <w:p>
      <w:pPr>
        <w:spacing w:after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Revisione settimanale (acquisizione e attivazione) e mensile (ricavi, retention, qualità del servizio). Gli obiettivi numerici si definiscono dopo la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5A1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5A1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5A1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Come misurarlo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Acquisizione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Sessioni per canale; registrazioni; costo per registrazione verificata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Analytics + UTM + sorgente salvata alla registrazione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Attivazione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% verifica email; % con prima azione entro 7/14 gg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Eventi di prodotto (annuncio pubblicato, offerta, ordine, partecipazione puzzle)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Transazioni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Ordini completati; GMV; take rate; rapporto annunci/acquirenti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Dati ordini e commissioni da database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Retention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Ritorno a 30/90 giorni; utenti attivi mensili; pilastri usati per utente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Coorti per mese di registrazione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Referral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% nuovi utenti da referral; K-factor; tasso di verifica invitati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Tabella referral e codici ?ref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Qualità servizio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CSAT/NPS; rating venditori; tempo di risposta; % contestazioni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Survey post-consegna, ticket di supporto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Skill Zone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Partecipanti; partecipazioni per utente; premi consegnati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Dati contest e wallet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FF5A1F"/>
          <w:sz w:val="32"/>
          <w:szCs w:val="32"/>
        </w:rPr>
        <w:t xml:space="preserve">6. Budget: ripartizione proposta</w:t>
      </w:r>
    </w:p>
    <w:p>
      <w:pPr>
        <w:spacing w:after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L’importo complessivo va deciso dalla direzione. Si propone la seguente ripartizione percentuale, da rivedere dopo i primi 30 giorni in base ai risultati.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5A1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5A1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Quota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5A1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Contenuti e video (SEO, social, guide)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30%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Il canale a costo più basso nel lungo periodo; riusa i dati del catalogo.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Community e micro-influencer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25%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Premi, collaborazioni, moderazione Discord.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Paid (Meta, TikTok, Google)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20%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Solo test controllati, dopo validazione di messaggi e landing.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Eventi e negozi partner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15%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Fiere, materiali, QR, tornei.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Strumenti (email, analytics, A/B test)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10%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Email automation, dashboard, survey.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FF5A1F"/>
          <w:sz w:val="32"/>
          <w:szCs w:val="32"/>
        </w:rPr>
        <w:t xml:space="preserve">7. Regole di prodotto e conformità da rispettare</w:t>
      </w:r>
    </w:p>
    <w:p>
      <w:pPr>
        <w:spacing w:after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Ogni attività di marketing deve essere coerente con le regole definitive del prodotto: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Crediti: valore solo interno. Non acquistabili con denaro, non convertibili in denaro, non trasferibili tra utenti. Nessun riferimento a un rapporto credito/euro in testi, email, social o creatività.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Si guadagnano solo con: registrazione (dopo verifica email), referral, vendita completata, acquisto completato. Nessun credito per la pubblicazione di annunci. I valori sono configurabili da admin: nelle comunicazioni esterne usare i valori in vigore al momento.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Bonus vendita/acquisto: maturano dopo il “periodo di maturazione” dalla consegna confermata, se non ci sono contestazioni, resi o rimborsi aperti e se l’ordine supera l’importo minimo. Mai usare “diritto di recesso”.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Anti-abuso: nessun bonus se venditore e compratore condividono IP, dispositivo, metodo di pagamento o indirizzo di spedizione; tetti per utente e per coppia; clawback su rimborso/reso/contestazione. Le promozioni non devono incentivare comportamenti che aggirano queste regole.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Skill Zone: i premi sono messi da CardBrix.com, spedizione a carico del vincitore. Da comunicare in modo evidente prima della partecipazione.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Verifiche legali consigliate prima dei lanci promozionali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Valutare con un consulente se i puzzle con premi rientrino nella disciplina italiana su concorsi e operazioni a premio, e se servano regolamento o adempimenti specifici.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Email marketing e retargeting: consensi GDPR separati, informativa aggiornata, cookie banner coerente.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Uso di nomi e immagini di marchi (Pokémon, LEGO, Magic, ecc.): evitare qualsiasi insinuazione di affiliazione o sponsorizzazione.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Collaborazioni con influencer: indicare chiaramente la natura promozionale dei contenuti.</w:t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FF5A1F"/>
          <w:sz w:val="32"/>
          <w:szCs w:val="32"/>
        </w:rPr>
        <w:t xml:space="preserve">8. Prossimi passi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Confermare le due nicchie di lancio e il budget complessivo.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Definire la baseline analytics e verificare che registrazione, primo annuncio, offerta, ordine e referral siano tracciati.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Preparare materiali: 2 landing, sequenza email di benvenuto (5 messaggi), 10 contenuti video iniziali, kit venditore.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Reclutare i venditori fondatori e mappare le community prioritarie.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Fissare la prima revisione KPI a 4 settimane dal via.</w:t>
      </w:r>
    </w:p>
    <w:sectPr>
      <w:footerReference w:type="default" r:id="rId8"/>
      <w:type w:val="nextPage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Piano di Marketing CardBrix.com · pag.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Piano di Marketing CardBrix.com · pag.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Piano di Marketing CardBrix.com · pag.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2026-10-02T05:53:15.046Z</dcterms:created>
  <dcterms:modified xsi:type="dcterms:W3CDTF">2026-10-02T05:53:15.047Z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