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B967" w14:textId="77777777" w:rsidR="00A03AE0" w:rsidRDefault="00A03AE0" w:rsidP="00A03AE0">
      <w:pPr>
        <w:spacing w:line="360" w:lineRule="auto"/>
        <w:ind w:firstLine="720"/>
        <w:jc w:val="both"/>
        <w:rPr>
          <w:rFonts w:ascii="Times New Roman" w:eastAsia="Times New Roman" w:hAnsi="Times New Roman" w:cs="Times New Roman"/>
          <w:kern w:val="0"/>
          <w14:ligatures w14:val="none"/>
        </w:rPr>
      </w:pPr>
      <w:r w:rsidRPr="00A03AE0">
        <w:rPr>
          <w:rFonts w:ascii="Times New Roman" w:eastAsia="Times New Roman" w:hAnsi="Times New Roman" w:cs="Times New Roman"/>
          <w:kern w:val="0"/>
          <w14:ligatures w14:val="none"/>
        </w:rPr>
        <w:t>Analiza pieței muncii europene în perioada 2015–prezent reprezintă o temă de actualitate deosebită, marcată de transformări structurale profunde generate de digitalizare, pandemia de COVID-19, migrația forței de muncă și emergența noilor forme de angajare. Înțelegerea acestor fenomene complexe necesită o abordare multidimensională, care să integreze perspective economice, sociale, politice și tehnologice. Prezenta recenzie a literaturii de specialitate urmărește să sintetizeze principalele contribuții teoretice și empirice relevante pentru tema cercetării, identificând totodată tendințele dominante și lacunele existente în literatura de profil.</w:t>
      </w:r>
    </w:p>
    <w:p w14:paraId="188E3E3A" w14:textId="116A5E91" w:rsidR="00EC374D" w:rsidRDefault="00EC374D" w:rsidP="00A03AE0">
      <w:pPr>
        <w:spacing w:line="360" w:lineRule="auto"/>
        <w:ind w:firstLine="720"/>
        <w:jc w:val="both"/>
        <w:rPr>
          <w:rFonts w:ascii="Times New Roman" w:eastAsia="Times New Roman" w:hAnsi="Times New Roman" w:cs="Times New Roman"/>
          <w:kern w:val="0"/>
          <w14:ligatures w14:val="none"/>
        </w:rPr>
      </w:pPr>
      <w:r w:rsidRPr="00EC374D">
        <w:rPr>
          <w:rFonts w:ascii="Times New Roman" w:eastAsia="Times New Roman" w:hAnsi="Times New Roman" w:cs="Times New Roman"/>
          <w:kern w:val="0"/>
          <w14:ligatures w14:val="none"/>
        </w:rPr>
        <w:t xml:space="preserve">Piața forței de muncă din Europa a fost supusă la mai multe provocări în ultimele doua decenii. </w:t>
      </w:r>
      <w:r>
        <w:rPr>
          <w:rFonts w:ascii="Times New Roman" w:eastAsia="Times New Roman" w:hAnsi="Times New Roman" w:cs="Times New Roman"/>
          <w:kern w:val="0"/>
          <w14:ligatures w14:val="none"/>
        </w:rPr>
        <w:t xml:space="preserve">Criza financiară din 2008, redresarea economică graduală din perioada 2015-2019, impactul devastator al pandemiei de COVID-19 în 2020-2021 și, ulterior, revenirea rapidă a ocupării forței de muncă la niveluri record constituie repere esențiale ale evoluției pieței forței de muncă. De asemenea, transformările </w:t>
      </w:r>
      <w:r w:rsidR="00FE2B5B">
        <w:rPr>
          <w:rFonts w:ascii="Times New Roman" w:eastAsia="Times New Roman" w:hAnsi="Times New Roman" w:cs="Times New Roman"/>
          <w:kern w:val="0"/>
          <w14:ligatures w14:val="none"/>
        </w:rPr>
        <w:t xml:space="preserve">induse de digitalizare, creșterea economiei platformelor și presiuni demografice din țările din Europa Centrală și de Est au remodelat substanțial structura și funcționarea piețelor muncii la nivel continental. </w:t>
      </w:r>
    </w:p>
    <w:p w14:paraId="1235FCCD" w14:textId="67959818" w:rsidR="001747AB" w:rsidRDefault="001747AB" w:rsidP="00A03AE0">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Apariția unor noi forme de angajare au </w:t>
      </w:r>
      <w:r w:rsidR="00903F85">
        <w:rPr>
          <w:rFonts w:ascii="Times New Roman" w:eastAsia="Times New Roman" w:hAnsi="Times New Roman" w:cs="Times New Roman"/>
          <w:kern w:val="0"/>
          <w14:ligatures w14:val="none"/>
        </w:rPr>
        <w:t>constituit</w:t>
      </w:r>
      <w:r>
        <w:rPr>
          <w:rFonts w:ascii="Times New Roman" w:eastAsia="Times New Roman" w:hAnsi="Times New Roman" w:cs="Times New Roman"/>
          <w:kern w:val="0"/>
          <w14:ligatures w14:val="none"/>
        </w:rPr>
        <w:t xml:space="preserve"> un subiect important de discuția pentru decidenții politici din Europa. Organizația pentru Cooperare și Dezvoltare Economică atrage atenția asupra faptului că numeroase state membre pun sub semnul întrebării dacă politicile și instituțiile existente sunt capabile să trateze cu eficiență acest val de schimbări structurale (OCDE, 2019). În urma unui sondaj </w:t>
      </w:r>
      <w:r w:rsidR="00BD3368">
        <w:rPr>
          <w:rFonts w:ascii="Times New Roman" w:eastAsia="Times New Roman" w:hAnsi="Times New Roman" w:cs="Times New Roman"/>
          <w:kern w:val="0"/>
          <w14:ligatures w14:val="none"/>
        </w:rPr>
        <w:t xml:space="preserve">la care au participat 44 de țări din OCDE, UE și G20, a fost </w:t>
      </w:r>
      <w:r w:rsidR="007F1104">
        <w:rPr>
          <w:rFonts w:ascii="Times New Roman" w:eastAsia="Times New Roman" w:hAnsi="Times New Roman" w:cs="Times New Roman"/>
          <w:kern w:val="0"/>
          <w14:ligatures w14:val="none"/>
        </w:rPr>
        <w:t xml:space="preserve">identificat ca element principal de interes </w:t>
      </w:r>
      <w:r w:rsidR="00BD3368">
        <w:rPr>
          <w:rFonts w:ascii="Times New Roman" w:eastAsia="Times New Roman" w:hAnsi="Times New Roman" w:cs="Times New Roman"/>
          <w:kern w:val="0"/>
          <w14:ligatures w14:val="none"/>
        </w:rPr>
        <w:t>al decidenților sunt contractele temporare, munca ocazională, munca pe cont propriu și munca prin platforme digitale.</w:t>
      </w:r>
    </w:p>
    <w:p w14:paraId="1A8589A1" w14:textId="004D7AFA" w:rsidR="00297AC9" w:rsidRDefault="00297AC9" w:rsidP="00A03AE0">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Unul dintre principalele aspecte în agenda țărilor europene este lipsa unei reglementări solide cu privire la protecția socială pentru lucrătorii angajați în forme noi de muncă,</w:t>
      </w:r>
      <w:r w:rsidR="00561D5A">
        <w:rPr>
          <w:rFonts w:ascii="Times New Roman" w:eastAsia="Times New Roman" w:hAnsi="Times New Roman" w:cs="Times New Roman"/>
          <w:kern w:val="0"/>
          <w14:ligatures w14:val="none"/>
        </w:rPr>
        <w:t xml:space="preserve"> iar conform OCDE (2019), mai multe țări menționează lacunele </w:t>
      </w:r>
      <w:r w:rsidR="00276EB3">
        <w:rPr>
          <w:rFonts w:ascii="Times New Roman" w:eastAsia="Times New Roman" w:hAnsi="Times New Roman" w:cs="Times New Roman"/>
          <w:kern w:val="0"/>
          <w14:ligatures w14:val="none"/>
        </w:rPr>
        <w:t>din acest sistem, fiind identificate probleme în acoperirea lucrătorilor independenți vulnerabili</w:t>
      </w:r>
      <w:r w:rsidR="00C13BE1">
        <w:rPr>
          <w:rFonts w:ascii="Times New Roman" w:eastAsia="Times New Roman" w:hAnsi="Times New Roman" w:cs="Times New Roman"/>
          <w:kern w:val="0"/>
          <w14:ligatures w14:val="none"/>
        </w:rPr>
        <w:t xml:space="preserve">. </w:t>
      </w:r>
      <w:r w:rsidR="00371769">
        <w:rPr>
          <w:rFonts w:ascii="Times New Roman" w:eastAsia="Times New Roman" w:hAnsi="Times New Roman" w:cs="Times New Roman"/>
          <w:kern w:val="0"/>
          <w14:ligatures w14:val="none"/>
        </w:rPr>
        <w:t>Un alt fenomen ce prezintă probleme este creșterea conceptului de fals-independență, prin care angajatorii urmăresc să evite</w:t>
      </w:r>
      <w:r w:rsidR="00E45906">
        <w:rPr>
          <w:rFonts w:ascii="Times New Roman" w:eastAsia="Times New Roman" w:hAnsi="Times New Roman" w:cs="Times New Roman"/>
          <w:kern w:val="0"/>
          <w14:ligatures w14:val="none"/>
        </w:rPr>
        <w:t xml:space="preserve"> obligațiile fiscale și acordarea beneficiilor angajaților</w:t>
      </w:r>
      <w:r w:rsidR="00371769">
        <w:rPr>
          <w:rFonts w:ascii="Times New Roman" w:eastAsia="Times New Roman" w:hAnsi="Times New Roman" w:cs="Times New Roman"/>
          <w:kern w:val="0"/>
          <w14:ligatures w14:val="none"/>
        </w:rPr>
        <w:t xml:space="preserve">, afectând direct veniturile și </w:t>
      </w:r>
      <w:r w:rsidR="000A2D91">
        <w:rPr>
          <w:rFonts w:ascii="Times New Roman" w:eastAsia="Times New Roman" w:hAnsi="Times New Roman" w:cs="Times New Roman"/>
          <w:kern w:val="0"/>
          <w14:ligatures w14:val="none"/>
        </w:rPr>
        <w:t>protecția</w:t>
      </w:r>
      <w:r w:rsidR="00371769">
        <w:rPr>
          <w:rFonts w:ascii="Times New Roman" w:eastAsia="Times New Roman" w:hAnsi="Times New Roman" w:cs="Times New Roman"/>
          <w:kern w:val="0"/>
          <w14:ligatures w14:val="none"/>
        </w:rPr>
        <w:t xml:space="preserve"> lucrătorilor.</w:t>
      </w:r>
    </w:p>
    <w:p w14:paraId="5506A730" w14:textId="72BADADF" w:rsidR="008625C6" w:rsidRDefault="008625C6" w:rsidP="00A03AE0">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 abordare strâns legată de protecția lucrătorilor, </w:t>
      </w:r>
      <w:proofErr w:type="spellStart"/>
      <w:r>
        <w:rPr>
          <w:rFonts w:ascii="Times New Roman" w:eastAsia="Times New Roman" w:hAnsi="Times New Roman" w:cs="Times New Roman"/>
          <w:kern w:val="0"/>
          <w14:ligatures w14:val="none"/>
        </w:rPr>
        <w:t>Huws</w:t>
      </w:r>
      <w:proofErr w:type="spellEnd"/>
      <w:r>
        <w:rPr>
          <w:rFonts w:ascii="Times New Roman" w:eastAsia="Times New Roman" w:hAnsi="Times New Roman" w:cs="Times New Roman"/>
          <w:kern w:val="0"/>
          <w14:ligatures w14:val="none"/>
        </w:rPr>
        <w:t xml:space="preserve"> et al. (2017) adaugă la literatura de specialitate un studiu la scară europeană a economiei gig, economie </w:t>
      </w:r>
      <w:r w:rsidR="00242282">
        <w:rPr>
          <w:rFonts w:ascii="Times New Roman" w:eastAsia="Times New Roman" w:hAnsi="Times New Roman" w:cs="Times New Roman"/>
          <w:kern w:val="0"/>
          <w14:ligatures w14:val="none"/>
        </w:rPr>
        <w:t>ce</w:t>
      </w:r>
      <w:r>
        <w:rPr>
          <w:rFonts w:ascii="Times New Roman" w:eastAsia="Times New Roman" w:hAnsi="Times New Roman" w:cs="Times New Roman"/>
          <w:kern w:val="0"/>
          <w14:ligatures w14:val="none"/>
        </w:rPr>
        <w:t xml:space="preserve"> presupune contractele temporare și munca ocazională</w:t>
      </w:r>
      <w:r w:rsidR="00BE3299">
        <w:rPr>
          <w:rFonts w:ascii="Times New Roman" w:eastAsia="Times New Roman" w:hAnsi="Times New Roman" w:cs="Times New Roman"/>
          <w:kern w:val="0"/>
          <w14:ligatures w14:val="none"/>
        </w:rPr>
        <w:t>.</w:t>
      </w:r>
      <w:r w:rsidR="00241F67">
        <w:rPr>
          <w:rFonts w:ascii="Times New Roman" w:eastAsia="Times New Roman" w:hAnsi="Times New Roman" w:cs="Times New Roman"/>
          <w:kern w:val="0"/>
          <w14:ligatures w14:val="none"/>
        </w:rPr>
        <w:t xml:space="preserve"> Cercetarea are la bază sondaje aplicate unui eșantion de peste </w:t>
      </w:r>
      <w:r w:rsidR="00241F67">
        <w:rPr>
          <w:rFonts w:ascii="Times New Roman" w:eastAsia="Times New Roman" w:hAnsi="Times New Roman" w:cs="Times New Roman"/>
          <w:kern w:val="0"/>
          <w14:ligatures w14:val="none"/>
        </w:rPr>
        <w:lastRenderedPageBreak/>
        <w:t>17.000 de lucrători din șapte țări europene, din care rezultă faptul că o proporție mare din populația activă,</w:t>
      </w:r>
      <w:r w:rsidR="00360C31">
        <w:rPr>
          <w:rFonts w:ascii="Times New Roman" w:eastAsia="Times New Roman" w:hAnsi="Times New Roman" w:cs="Times New Roman"/>
          <w:kern w:val="0"/>
          <w14:ligatures w14:val="none"/>
        </w:rPr>
        <w:t xml:space="preserve"> conform sondajului</w:t>
      </w:r>
      <w:r w:rsidR="00DB2033">
        <w:rPr>
          <w:rFonts w:ascii="Times New Roman" w:eastAsia="Times New Roman" w:hAnsi="Times New Roman" w:cs="Times New Roman"/>
          <w:kern w:val="0"/>
          <w14:ligatures w14:val="none"/>
        </w:rPr>
        <w:t xml:space="preserve"> 9</w:t>
      </w:r>
      <w:r w:rsidR="00241F67">
        <w:rPr>
          <w:rFonts w:ascii="Times New Roman" w:eastAsia="Times New Roman" w:hAnsi="Times New Roman" w:cs="Times New Roman"/>
          <w:kern w:val="0"/>
          <w14:ligatures w14:val="none"/>
        </w:rPr>
        <w:t>% în Regatul Unit și 22% în Italia, a optat pentru munca prin platforme digitale, aproximativ 13% considerându-se lucrători independenți.</w:t>
      </w:r>
      <w:r w:rsidR="00DB2033">
        <w:rPr>
          <w:rFonts w:ascii="Times New Roman" w:eastAsia="Times New Roman" w:hAnsi="Times New Roman" w:cs="Times New Roman"/>
          <w:kern w:val="0"/>
          <w14:ligatures w14:val="none"/>
        </w:rPr>
        <w:t xml:space="preserve"> </w:t>
      </w:r>
      <w:r w:rsidR="001478BC">
        <w:rPr>
          <w:rFonts w:ascii="Times New Roman" w:eastAsia="Times New Roman" w:hAnsi="Times New Roman" w:cs="Times New Roman"/>
          <w:kern w:val="0"/>
          <w14:ligatures w14:val="none"/>
        </w:rPr>
        <w:t>Autorii evidențiază faptul că acest sistem este încă fragil din punct de vedere structural, mulți lucrători raportând că au întâmpinat perioade lungi de așteptare și rezilieri arbitrare ale contractelor</w:t>
      </w:r>
      <w:r w:rsidR="00D245F7">
        <w:rPr>
          <w:rFonts w:ascii="Times New Roman" w:eastAsia="Times New Roman" w:hAnsi="Times New Roman" w:cs="Times New Roman"/>
          <w:kern w:val="0"/>
          <w14:ligatures w14:val="none"/>
        </w:rPr>
        <w:t>,</w:t>
      </w:r>
      <w:r w:rsidR="00922824">
        <w:rPr>
          <w:rFonts w:ascii="Times New Roman" w:eastAsia="Times New Roman" w:hAnsi="Times New Roman" w:cs="Times New Roman"/>
          <w:kern w:val="0"/>
          <w14:ligatures w14:val="none"/>
        </w:rPr>
        <w:t xml:space="preserve"> ilustrând</w:t>
      </w:r>
      <w:r w:rsidR="00D245F7">
        <w:rPr>
          <w:rFonts w:ascii="Times New Roman" w:eastAsia="Times New Roman" w:hAnsi="Times New Roman" w:cs="Times New Roman"/>
          <w:kern w:val="0"/>
          <w14:ligatures w14:val="none"/>
        </w:rPr>
        <w:t xml:space="preserve"> riscurile la care se expun lucrătorii </w:t>
      </w:r>
      <w:r w:rsidR="00FD084B">
        <w:rPr>
          <w:rFonts w:ascii="Times New Roman" w:eastAsia="Times New Roman" w:hAnsi="Times New Roman" w:cs="Times New Roman"/>
          <w:kern w:val="0"/>
          <w14:ligatures w14:val="none"/>
        </w:rPr>
        <w:t xml:space="preserve">care </w:t>
      </w:r>
      <w:r w:rsidR="00662FAF">
        <w:rPr>
          <w:rFonts w:ascii="Times New Roman" w:eastAsia="Times New Roman" w:hAnsi="Times New Roman" w:cs="Times New Roman"/>
          <w:kern w:val="0"/>
          <w14:ligatures w14:val="none"/>
        </w:rPr>
        <w:t>recurg la această formă de muncă pentru a-și asigura traiul.</w:t>
      </w:r>
    </w:p>
    <w:p w14:paraId="64591335" w14:textId="3E487D01" w:rsidR="00C13BE1" w:rsidRDefault="00D1257D" w:rsidP="00A03AE0">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Analizând problema migrației din perspectivă regională, </w:t>
      </w:r>
      <w:proofErr w:type="spellStart"/>
      <w:r>
        <w:rPr>
          <w:rFonts w:ascii="Times New Roman" w:eastAsia="Times New Roman" w:hAnsi="Times New Roman" w:cs="Times New Roman"/>
          <w:kern w:val="0"/>
          <w14:ligatures w14:val="none"/>
        </w:rPr>
        <w:t>Tirca</w:t>
      </w:r>
      <w:proofErr w:type="spellEnd"/>
      <w:r>
        <w:rPr>
          <w:rFonts w:ascii="Times New Roman" w:eastAsia="Times New Roman" w:hAnsi="Times New Roman" w:cs="Times New Roman"/>
          <w:kern w:val="0"/>
          <w14:ligatures w14:val="none"/>
        </w:rPr>
        <w:t xml:space="preserve"> și Bujor (2024) subliniază faptul că politicile de migrație ale statelor din Uniunea Europeană au influențat </w:t>
      </w:r>
      <w:r w:rsidR="00D36B63">
        <w:rPr>
          <w:rFonts w:ascii="Times New Roman" w:eastAsia="Times New Roman" w:hAnsi="Times New Roman" w:cs="Times New Roman"/>
          <w:kern w:val="0"/>
          <w14:ligatures w14:val="none"/>
        </w:rPr>
        <w:t>semnificativ numărul de persoane care schimbă locul unde trăiesc pentru a munci, predominant fiind fluxul între Europa Centrală și de Est și Europa de Vest.</w:t>
      </w:r>
      <w:r w:rsidR="00D97107">
        <w:rPr>
          <w:rFonts w:ascii="Times New Roman" w:eastAsia="Times New Roman" w:hAnsi="Times New Roman" w:cs="Times New Roman"/>
          <w:kern w:val="0"/>
          <w14:ligatures w14:val="none"/>
        </w:rPr>
        <w:t xml:space="preserve"> Noile fluxuri de emigrare, împreună cu politicile restrictive temporare din țările gazdă și condițiile economice din țările de origine au modelat în mod direct volumul și direcțiile migrației.</w:t>
      </w:r>
    </w:p>
    <w:p w14:paraId="51B92602" w14:textId="7478D6C5" w:rsidR="008D311C" w:rsidRDefault="008D311C" w:rsidP="00A03AE0">
      <w:pPr>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Completând această perspectivă, </w:t>
      </w:r>
      <w:proofErr w:type="spellStart"/>
      <w:r w:rsidR="006A066D">
        <w:rPr>
          <w:rFonts w:ascii="Times New Roman" w:eastAsia="Times New Roman" w:hAnsi="Times New Roman" w:cs="Times New Roman"/>
          <w:kern w:val="0"/>
          <w14:ligatures w14:val="none"/>
        </w:rPr>
        <w:t>Beckers</w:t>
      </w:r>
      <w:proofErr w:type="spellEnd"/>
      <w:r w:rsidR="006A066D">
        <w:rPr>
          <w:rFonts w:ascii="Times New Roman" w:eastAsia="Times New Roman" w:hAnsi="Times New Roman" w:cs="Times New Roman"/>
          <w:kern w:val="0"/>
          <w14:ligatures w14:val="none"/>
        </w:rPr>
        <w:t xml:space="preserve"> et al. (2024) argumentează </w:t>
      </w:r>
      <w:r w:rsidR="00B010CC">
        <w:rPr>
          <w:rFonts w:ascii="Times New Roman" w:eastAsia="Times New Roman" w:hAnsi="Times New Roman" w:cs="Times New Roman"/>
          <w:kern w:val="0"/>
          <w14:ligatures w14:val="none"/>
        </w:rPr>
        <w:t xml:space="preserve">că </w:t>
      </w:r>
      <w:r w:rsidR="006A066D">
        <w:rPr>
          <w:rFonts w:ascii="Times New Roman" w:eastAsia="Times New Roman" w:hAnsi="Times New Roman" w:cs="Times New Roman"/>
          <w:kern w:val="0"/>
          <w14:ligatures w14:val="none"/>
        </w:rPr>
        <w:t>ambii actori principali sunt responsabili pentru evoluția fenomenului de</w:t>
      </w:r>
      <w:r w:rsidR="000D386E">
        <w:rPr>
          <w:rFonts w:ascii="Times New Roman" w:eastAsia="Times New Roman" w:hAnsi="Times New Roman" w:cs="Times New Roman"/>
          <w:kern w:val="0"/>
          <w14:ligatures w14:val="none"/>
        </w:rPr>
        <w:t xml:space="preserve"> migrație</w:t>
      </w:r>
      <w:r w:rsidR="006A066D">
        <w:rPr>
          <w:rFonts w:ascii="Times New Roman" w:eastAsia="Times New Roman" w:hAnsi="Times New Roman" w:cs="Times New Roman"/>
          <w:kern w:val="0"/>
          <w14:ligatures w14:val="none"/>
        </w:rPr>
        <w:t xml:space="preserve"> în masă</w:t>
      </w:r>
      <w:r w:rsidR="00175ECC">
        <w:rPr>
          <w:rFonts w:ascii="Times New Roman" w:eastAsia="Times New Roman" w:hAnsi="Times New Roman" w:cs="Times New Roman"/>
          <w:kern w:val="0"/>
          <w14:ligatures w14:val="none"/>
        </w:rPr>
        <w:t xml:space="preserve">. </w:t>
      </w:r>
      <w:r w:rsidR="00BE6458">
        <w:rPr>
          <w:rFonts w:ascii="Times New Roman" w:eastAsia="Times New Roman" w:hAnsi="Times New Roman" w:cs="Times New Roman"/>
          <w:kern w:val="0"/>
          <w14:ligatures w14:val="none"/>
        </w:rPr>
        <w:t xml:space="preserve">Utilizând modele statistice pe date din Albania, Bosnia și Herțegovina și Serbia, autorii demonstrează că deficitul forței de muncă influențează semnificativ deciziile de </w:t>
      </w:r>
      <w:r w:rsidR="00780951">
        <w:rPr>
          <w:rFonts w:ascii="Times New Roman" w:eastAsia="Times New Roman" w:hAnsi="Times New Roman" w:cs="Times New Roman"/>
          <w:kern w:val="0"/>
          <w14:ligatures w14:val="none"/>
        </w:rPr>
        <w:t>migrație</w:t>
      </w:r>
      <w:r w:rsidR="000D468A">
        <w:rPr>
          <w:rFonts w:ascii="Times New Roman" w:eastAsia="Times New Roman" w:hAnsi="Times New Roman" w:cs="Times New Roman"/>
          <w:kern w:val="0"/>
          <w14:ligatures w14:val="none"/>
        </w:rPr>
        <w:t>.</w:t>
      </w:r>
      <w:r w:rsidR="004213C7">
        <w:rPr>
          <w:rFonts w:ascii="Times New Roman" w:eastAsia="Times New Roman" w:hAnsi="Times New Roman" w:cs="Times New Roman"/>
          <w:kern w:val="0"/>
          <w14:ligatures w14:val="none"/>
        </w:rPr>
        <w:t xml:space="preserve"> Studiul arată c</w:t>
      </w:r>
      <w:r w:rsidR="00A445EA">
        <w:rPr>
          <w:rFonts w:ascii="Times New Roman" w:eastAsia="Times New Roman" w:hAnsi="Times New Roman" w:cs="Times New Roman"/>
          <w:kern w:val="0"/>
          <w14:ligatures w14:val="none"/>
        </w:rPr>
        <w:t>ă</w:t>
      </w:r>
      <w:r w:rsidR="004213C7">
        <w:rPr>
          <w:rFonts w:ascii="Times New Roman" w:eastAsia="Times New Roman" w:hAnsi="Times New Roman" w:cs="Times New Roman"/>
          <w:kern w:val="0"/>
          <w14:ligatures w14:val="none"/>
        </w:rPr>
        <w:t xml:space="preserve"> un lucrător are mai multe șanse să emigreze atunci când în țara destinație există o lipsă de personal în domeniul său. Prin contrast, deficitul de personal din țara de origine îi încurajează pe oameni să rămână, existând mai multe oportunități locale de angajare.</w:t>
      </w:r>
    </w:p>
    <w:p w14:paraId="43A3FF4A"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Pandemia de COVID-19 a reprezentat cel mai sever șoc economic al ultimelor decenii, cu efecte directe și imediate asupra piețelor muncii europene. </w:t>
      </w:r>
      <w:proofErr w:type="spellStart"/>
      <w:r w:rsidRPr="00883FF4">
        <w:rPr>
          <w:rFonts w:ascii="Times New Roman" w:eastAsia="Times New Roman" w:hAnsi="Times New Roman" w:cs="Times New Roman"/>
          <w:kern w:val="0"/>
          <w14:ligatures w14:val="none"/>
        </w:rPr>
        <w:t>Zieliński</w:t>
      </w:r>
      <w:proofErr w:type="spellEnd"/>
      <w:r w:rsidRPr="00883FF4">
        <w:rPr>
          <w:rFonts w:ascii="Times New Roman" w:eastAsia="Times New Roman" w:hAnsi="Times New Roman" w:cs="Times New Roman"/>
          <w:kern w:val="0"/>
          <w14:ligatures w14:val="none"/>
        </w:rPr>
        <w:t xml:space="preserve"> (2022) analizează impactul pandemiei asupra piețelor muncii din țările Grupului de la </w:t>
      </w:r>
      <w:proofErr w:type="spellStart"/>
      <w:r w:rsidRPr="00883FF4">
        <w:rPr>
          <w:rFonts w:ascii="Times New Roman" w:eastAsia="Times New Roman" w:hAnsi="Times New Roman" w:cs="Times New Roman"/>
          <w:kern w:val="0"/>
          <w14:ligatures w14:val="none"/>
        </w:rPr>
        <w:t>Vișegrad</w:t>
      </w:r>
      <w:proofErr w:type="spellEnd"/>
      <w:r w:rsidRPr="00883FF4">
        <w:rPr>
          <w:rFonts w:ascii="Times New Roman" w:eastAsia="Times New Roman" w:hAnsi="Times New Roman" w:cs="Times New Roman"/>
          <w:kern w:val="0"/>
          <w14:ligatures w14:val="none"/>
        </w:rPr>
        <w:t xml:space="preserve"> (Cehia, Ungaria, Polonia și Slovacia) în perioada 2018–2021, concluzionând că adâncirea dezechilibrelor a fost relativ limitată în comparație cu criza financiară din 2008. Studiul, bazat pe date trimestriale </w:t>
      </w:r>
      <w:proofErr w:type="spellStart"/>
      <w:r w:rsidRPr="00883FF4">
        <w:rPr>
          <w:rFonts w:ascii="Times New Roman" w:eastAsia="Times New Roman" w:hAnsi="Times New Roman" w:cs="Times New Roman"/>
          <w:kern w:val="0"/>
          <w14:ligatures w14:val="none"/>
        </w:rPr>
        <w:t>Eurostat</w:t>
      </w:r>
      <w:proofErr w:type="spellEnd"/>
      <w:r w:rsidRPr="00883FF4">
        <w:rPr>
          <w:rFonts w:ascii="Times New Roman" w:eastAsia="Times New Roman" w:hAnsi="Times New Roman" w:cs="Times New Roman"/>
          <w:kern w:val="0"/>
          <w14:ligatures w14:val="none"/>
        </w:rPr>
        <w:t xml:space="preserve"> pentru grupul de vârstă 15–64 de ani, evidențiază o reacție diferențiată a formelor flexibile de angajare în funcție de tipul contractului, ceea ce sugerează că mecanismele de absorbție a șocurilor variază semnificativ între formele de ocupare.</w:t>
      </w:r>
    </w:p>
    <w:p w14:paraId="058589AF"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Cercetarea lui </w:t>
      </w:r>
      <w:proofErr w:type="spellStart"/>
      <w:r w:rsidRPr="00883FF4">
        <w:rPr>
          <w:rFonts w:ascii="Times New Roman" w:eastAsia="Times New Roman" w:hAnsi="Times New Roman" w:cs="Times New Roman"/>
          <w:kern w:val="0"/>
          <w14:ligatures w14:val="none"/>
        </w:rPr>
        <w:t>Zieliński</w:t>
      </w:r>
      <w:proofErr w:type="spellEnd"/>
      <w:r w:rsidRPr="00883FF4">
        <w:rPr>
          <w:rFonts w:ascii="Times New Roman" w:eastAsia="Times New Roman" w:hAnsi="Times New Roman" w:cs="Times New Roman"/>
          <w:kern w:val="0"/>
          <w14:ligatures w14:val="none"/>
        </w:rPr>
        <w:t xml:space="preserve"> (2022) ridică totodată întrebarea dacă au existat fenomene discriminatorii pe piața muncii în perioada pandemică, respectiv dacă grupurile vulnerabile — femei, tineri, vârstnici și persoane cu nivel scăzut de educație — și-au pierdut locurile de muncă </w:t>
      </w:r>
      <w:r w:rsidRPr="00883FF4">
        <w:rPr>
          <w:rFonts w:ascii="Times New Roman" w:eastAsia="Times New Roman" w:hAnsi="Times New Roman" w:cs="Times New Roman"/>
          <w:kern w:val="0"/>
          <w14:ligatures w14:val="none"/>
        </w:rPr>
        <w:lastRenderedPageBreak/>
        <w:t>mai frecvent decât restul populației active. Analiza sugerează că, deși dezechilibrele nu au atins amploarea crizei anterioare, efectele distributive au fost inegale, afectând disproporționat anumite categorii de lucrători.</w:t>
      </w:r>
    </w:p>
    <w:p w14:paraId="6EFFC335"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Dintr-o perspectivă complementară, Szigeti, </w:t>
      </w:r>
      <w:proofErr w:type="spellStart"/>
      <w:r w:rsidRPr="00883FF4">
        <w:rPr>
          <w:rFonts w:ascii="Times New Roman" w:eastAsia="Times New Roman" w:hAnsi="Times New Roman" w:cs="Times New Roman"/>
          <w:kern w:val="0"/>
          <w14:ligatures w14:val="none"/>
        </w:rPr>
        <w:t>Pásztóová</w:t>
      </w:r>
      <w:proofErr w:type="spellEnd"/>
      <w:r w:rsidRPr="00883FF4">
        <w:rPr>
          <w:rFonts w:ascii="Times New Roman" w:eastAsia="Times New Roman" w:hAnsi="Times New Roman" w:cs="Times New Roman"/>
          <w:kern w:val="0"/>
          <w14:ligatures w14:val="none"/>
        </w:rPr>
        <w:t xml:space="preserve"> și </w:t>
      </w:r>
      <w:proofErr w:type="spellStart"/>
      <w:r w:rsidRPr="00883FF4">
        <w:rPr>
          <w:rFonts w:ascii="Times New Roman" w:eastAsia="Times New Roman" w:hAnsi="Times New Roman" w:cs="Times New Roman"/>
          <w:kern w:val="0"/>
          <w14:ligatures w14:val="none"/>
        </w:rPr>
        <w:t>Mezősi</w:t>
      </w:r>
      <w:proofErr w:type="spellEnd"/>
      <w:r w:rsidRPr="00883FF4">
        <w:rPr>
          <w:rFonts w:ascii="Times New Roman" w:eastAsia="Times New Roman" w:hAnsi="Times New Roman" w:cs="Times New Roman"/>
          <w:kern w:val="0"/>
          <w14:ligatures w14:val="none"/>
        </w:rPr>
        <w:t xml:space="preserve"> (2023) investighează impactul COVID-19 asupra forței de muncă prin prisma consecințelor asupra sănătății și calității vieții. Pe baza unui sondaj cantitativ aplicat în mai–iunie 2022 unui eșantion de 110 pacienți </w:t>
      </w:r>
      <w:proofErr w:type="spellStart"/>
      <w:r w:rsidRPr="00883FF4">
        <w:rPr>
          <w:rFonts w:ascii="Times New Roman" w:eastAsia="Times New Roman" w:hAnsi="Times New Roman" w:cs="Times New Roman"/>
          <w:kern w:val="0"/>
          <w14:ligatures w14:val="none"/>
        </w:rPr>
        <w:t>post-COVID</w:t>
      </w:r>
      <w:proofErr w:type="spellEnd"/>
      <w:r w:rsidRPr="00883FF4">
        <w:rPr>
          <w:rFonts w:ascii="Times New Roman" w:eastAsia="Times New Roman" w:hAnsi="Times New Roman" w:cs="Times New Roman"/>
          <w:kern w:val="0"/>
          <w14:ligatures w14:val="none"/>
        </w:rPr>
        <w:t xml:space="preserve"> din 12 țări europene, autorii demonstrează că simptomele </w:t>
      </w:r>
      <w:proofErr w:type="spellStart"/>
      <w:r w:rsidRPr="00883FF4">
        <w:rPr>
          <w:rFonts w:ascii="Times New Roman" w:eastAsia="Times New Roman" w:hAnsi="Times New Roman" w:cs="Times New Roman"/>
          <w:kern w:val="0"/>
          <w14:ligatures w14:val="none"/>
        </w:rPr>
        <w:t>post-COVID</w:t>
      </w:r>
      <w:proofErr w:type="spellEnd"/>
      <w:r w:rsidRPr="00883FF4">
        <w:rPr>
          <w:rFonts w:ascii="Times New Roman" w:eastAsia="Times New Roman" w:hAnsi="Times New Roman" w:cs="Times New Roman"/>
          <w:kern w:val="0"/>
          <w14:ligatures w14:val="none"/>
        </w:rPr>
        <w:t xml:space="preserve"> și </w:t>
      </w:r>
      <w:proofErr w:type="spellStart"/>
      <w:r w:rsidRPr="00883FF4">
        <w:rPr>
          <w:rFonts w:ascii="Times New Roman" w:eastAsia="Times New Roman" w:hAnsi="Times New Roman" w:cs="Times New Roman"/>
          <w:kern w:val="0"/>
          <w14:ligatures w14:val="none"/>
        </w:rPr>
        <w:t>long</w:t>
      </w:r>
      <w:proofErr w:type="spellEnd"/>
      <w:r w:rsidRPr="00883FF4">
        <w:rPr>
          <w:rFonts w:ascii="Times New Roman" w:eastAsia="Times New Roman" w:hAnsi="Times New Roman" w:cs="Times New Roman"/>
          <w:kern w:val="0"/>
          <w14:ligatures w14:val="none"/>
        </w:rPr>
        <w:t>-COVID au afectat cu precădere activitățile sociale și performanța profesională. Concluzia centrală a studiului este că activitatea profesională desfășurată în timpul bolii a avut un impact semnificativ asupra calității vieții, mobilității și capacității de muncă a angajaților, evidențiind astfel costurile umane ale pandemiei, adesea neglijate în analizele macroeconomice.</w:t>
      </w:r>
    </w:p>
    <w:p w14:paraId="00BAAB1F" w14:textId="51D3D983"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Din perspectiva mobilității economice, </w:t>
      </w:r>
      <w:proofErr w:type="spellStart"/>
      <w:r w:rsidRPr="00883FF4">
        <w:rPr>
          <w:rFonts w:ascii="Times New Roman" w:eastAsia="Times New Roman" w:hAnsi="Times New Roman" w:cs="Times New Roman"/>
          <w:kern w:val="0"/>
          <w14:ligatures w14:val="none"/>
        </w:rPr>
        <w:t>Tirca</w:t>
      </w:r>
      <w:proofErr w:type="spellEnd"/>
      <w:r w:rsidRPr="00883FF4">
        <w:rPr>
          <w:rFonts w:ascii="Times New Roman" w:eastAsia="Times New Roman" w:hAnsi="Times New Roman" w:cs="Times New Roman"/>
          <w:kern w:val="0"/>
          <w14:ligatures w14:val="none"/>
        </w:rPr>
        <w:t xml:space="preserve"> și Bujor (2024) documentează că remitențele reprezentau 4,4% din PIB-ul României în 2009, iar între 2005 și 2010 românii aflați la muncă în străinătate au trimis acasă aproximativ 38,8 miliarde de dolari. Autorii atrag atenția că exodul de capital uman din țările de origine poate prejudicia grav aceste economii prin crearea unui deficit de forță de muncă, reducând rezerva de talente necesară pentru dezvoltare economică sustenabilă.</w:t>
      </w:r>
    </w:p>
    <w:p w14:paraId="14437C29"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Dimensiunea socială a transformărilor pieței muncii europene se manifestă cu precădere prin schimbările în structura ocupațională, în cerințele de competențe și în sistemele de formare profesională. </w:t>
      </w:r>
      <w:proofErr w:type="spellStart"/>
      <w:r w:rsidRPr="00883FF4">
        <w:rPr>
          <w:rFonts w:ascii="Times New Roman" w:eastAsia="Times New Roman" w:hAnsi="Times New Roman" w:cs="Times New Roman"/>
          <w:kern w:val="0"/>
          <w14:ligatures w14:val="none"/>
        </w:rPr>
        <w:t>Caterino</w:t>
      </w:r>
      <w:proofErr w:type="spellEnd"/>
      <w:r w:rsidRPr="00883FF4">
        <w:rPr>
          <w:rFonts w:ascii="Times New Roman" w:eastAsia="Times New Roman" w:hAnsi="Times New Roman" w:cs="Times New Roman"/>
          <w:kern w:val="0"/>
          <w14:ligatures w14:val="none"/>
        </w:rPr>
        <w:t xml:space="preserve"> et al. (2025) subliniază că, în era Industriei 5.0, formarea forței de muncă devine esențială pentru succesul întreprinderilor de producție, asigurând menținerea productivității și a avantajelor competitive. Studiul identifică o distincție fundamentală între sarcinile repetitive — unde curba de învățare este bine documentată — și sarcinile non-repetitive, care implică un proces de uitare accentuată și necesită strategii de formare adaptate, integrate cu tehnologii emergente precum Realitatea Virtuală și Augmentată.</w:t>
      </w:r>
    </w:p>
    <w:p w14:paraId="7BFEF7B3"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Autorii propun un cadru preliminar de formare care definește momentul optim pentru sesiunile de training pe baza scăderii performanței operatorilor, măsurată prin indicatori-cheie de performanță precum calitatea produsului, timpul de execuție, numărul de erori și incidentele de siguranță. </w:t>
      </w:r>
      <w:proofErr w:type="spellStart"/>
      <w:r w:rsidRPr="00883FF4">
        <w:rPr>
          <w:rFonts w:ascii="Times New Roman" w:eastAsia="Times New Roman" w:hAnsi="Times New Roman" w:cs="Times New Roman"/>
          <w:kern w:val="0"/>
          <w14:ligatures w14:val="none"/>
        </w:rPr>
        <w:t>Caterino</w:t>
      </w:r>
      <w:proofErr w:type="spellEnd"/>
      <w:r w:rsidRPr="00883FF4">
        <w:rPr>
          <w:rFonts w:ascii="Times New Roman" w:eastAsia="Times New Roman" w:hAnsi="Times New Roman" w:cs="Times New Roman"/>
          <w:kern w:val="0"/>
          <w14:ligatures w14:val="none"/>
        </w:rPr>
        <w:t xml:space="preserve"> et al. (2025) atrag atenția că există o lipsă semnificativă de studii care să evalueze efectele economice ale programelor de formare din perspectiva managementului — un aspect ce rămâne o direcție importantă de cercetare viitoare.</w:t>
      </w:r>
    </w:p>
    <w:p w14:paraId="7F718C51"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lastRenderedPageBreak/>
        <w:t xml:space="preserve">Complementar, Varga și </w:t>
      </w:r>
      <w:proofErr w:type="spellStart"/>
      <w:r w:rsidRPr="00883FF4">
        <w:rPr>
          <w:rFonts w:ascii="Times New Roman" w:eastAsia="Times New Roman" w:hAnsi="Times New Roman" w:cs="Times New Roman"/>
          <w:kern w:val="0"/>
          <w14:ligatures w14:val="none"/>
        </w:rPr>
        <w:t>Sági</w:t>
      </w:r>
      <w:proofErr w:type="spellEnd"/>
      <w:r w:rsidRPr="00883FF4">
        <w:rPr>
          <w:rFonts w:ascii="Times New Roman" w:eastAsia="Times New Roman" w:hAnsi="Times New Roman" w:cs="Times New Roman"/>
          <w:kern w:val="0"/>
          <w14:ligatures w14:val="none"/>
        </w:rPr>
        <w:t xml:space="preserve"> (2024) analizează sistemele de învățământ superior dual din Uniunea Europeană, argumentând că integrarea experienței practice în parcursul academic reprezintă un răspuns structural la cerințele pieței muncii. Studiul documentează că, deși Germania și Austria funcționează ca modele de referință pentru sisteme bine structurate de educație duală, alte state membre — inclusiv România, unde Ministerul Educației a lansat în 2023 un Plan Național care prevede crearea de campusuri vocaționale integrate — se află în diverse stadii de implementare. Autorii evidențiază că programele de educație duală contribuie la reducerea decalajului dintre calificările absolvenților și cerințele angajatorilor, facilitând tranziția de la educație la ocupare.</w:t>
      </w:r>
    </w:p>
    <w:p w14:paraId="0501AC00" w14:textId="681EA531"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Mobilitatea forței de muncă calificate reprezintă o altă dimensiune cu implicații profunde. </w:t>
      </w:r>
      <w:proofErr w:type="spellStart"/>
      <w:r w:rsidRPr="00883FF4">
        <w:rPr>
          <w:rFonts w:ascii="Times New Roman" w:eastAsia="Times New Roman" w:hAnsi="Times New Roman" w:cs="Times New Roman"/>
          <w:kern w:val="0"/>
          <w14:ligatures w14:val="none"/>
        </w:rPr>
        <w:t>Beckers</w:t>
      </w:r>
      <w:proofErr w:type="spellEnd"/>
      <w:r w:rsidRPr="00883FF4">
        <w:rPr>
          <w:rFonts w:ascii="Times New Roman" w:eastAsia="Times New Roman" w:hAnsi="Times New Roman" w:cs="Times New Roman"/>
          <w:kern w:val="0"/>
          <w14:ligatures w14:val="none"/>
        </w:rPr>
        <w:t xml:space="preserve"> et al. (2024) demonstrează că emigrarea din Balcanii de Vest a exacerbat deficitele de forță de muncă și competențe la nivelul tuturor ocupațiunilor din regiune. Paradoxal, cercetarea arată că emigrarea netă din regiune se produce în principal în rândul persoanelor cu nivel mediu și scăzut de educație, contrazicând focalizarea exclusivă pe fenomenul </w:t>
      </w:r>
      <w:proofErr w:type="spellStart"/>
      <w:r w:rsidRPr="00883FF4">
        <w:rPr>
          <w:rFonts w:ascii="Times New Roman" w:eastAsia="Times New Roman" w:hAnsi="Times New Roman" w:cs="Times New Roman"/>
          <w:kern w:val="0"/>
          <w14:ligatures w14:val="none"/>
        </w:rPr>
        <w:t>brain</w:t>
      </w:r>
      <w:proofErr w:type="spellEnd"/>
      <w:r w:rsidRPr="00883FF4">
        <w:rPr>
          <w:rFonts w:ascii="Times New Roman" w:eastAsia="Times New Roman" w:hAnsi="Times New Roman" w:cs="Times New Roman"/>
          <w:kern w:val="0"/>
          <w14:ligatures w14:val="none"/>
        </w:rPr>
        <w:t xml:space="preserve"> </w:t>
      </w:r>
      <w:proofErr w:type="spellStart"/>
      <w:r w:rsidRPr="00883FF4">
        <w:rPr>
          <w:rFonts w:ascii="Times New Roman" w:eastAsia="Times New Roman" w:hAnsi="Times New Roman" w:cs="Times New Roman"/>
          <w:kern w:val="0"/>
          <w14:ligatures w14:val="none"/>
        </w:rPr>
        <w:t>drain</w:t>
      </w:r>
      <w:proofErr w:type="spellEnd"/>
      <w:r w:rsidRPr="00883FF4">
        <w:rPr>
          <w:rFonts w:ascii="Times New Roman" w:eastAsia="Times New Roman" w:hAnsi="Times New Roman" w:cs="Times New Roman"/>
          <w:kern w:val="0"/>
          <w14:ligatures w14:val="none"/>
        </w:rPr>
        <w:t xml:space="preserve"> al celor înalt calificați.</w:t>
      </w:r>
    </w:p>
    <w:p w14:paraId="2C303266"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Transformarea tehnologică a pieței muncii europene constituie probabil cea mai complexă dimensiune a evoluțiilor recente. Călinescu (2023) sintetizează stadiul cunoașterii privind impactul inteligenței artificiale (IA) asupra ocupării forței de muncă în economia europeană, concluzionând că IA influențează simultan productivitatea, structura ocupațională, distribuția veniturilor și creșterea economică. Analizând studii de caz din industrii precum producție, transport, servicii financiare și bancare, autoarea arată că, deși IA are potențialul de a crește semnificativ productivitatea, aceasta poate totodată să </w:t>
      </w:r>
      <w:proofErr w:type="spellStart"/>
      <w:r w:rsidRPr="00883FF4">
        <w:rPr>
          <w:rFonts w:ascii="Times New Roman" w:eastAsia="Times New Roman" w:hAnsi="Times New Roman" w:cs="Times New Roman"/>
          <w:kern w:val="0"/>
          <w14:ligatures w14:val="none"/>
        </w:rPr>
        <w:t>perturbeze</w:t>
      </w:r>
      <w:proofErr w:type="spellEnd"/>
      <w:r w:rsidRPr="00883FF4">
        <w:rPr>
          <w:rFonts w:ascii="Times New Roman" w:eastAsia="Times New Roman" w:hAnsi="Times New Roman" w:cs="Times New Roman"/>
          <w:kern w:val="0"/>
          <w14:ligatures w14:val="none"/>
        </w:rPr>
        <w:t xml:space="preserve"> ocuparea forței de muncă și să genereze inegalități de venit.</w:t>
      </w:r>
    </w:p>
    <w:p w14:paraId="500A47F3"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Călinescu (2023) identifică, pe baza literaturii de specialitate, că ocupațiile cele mai expuse automatizării sunt cele care implică o proporție ridicată de sarcini rutiniere sau non-autonome, în timp ce ocupațiile care necesită abilități de comunicare, colaborare și gândire critică sunt mai rezistente la substituție. Lucrătorii care nu dispun de abilități de adaptabilitate ar putea întâmpina dificultăți grave în a găsi noi oportunități de angajare, contribuind la lărgirea inegalităților de venit — o provocare structurală la adresa coeziunii sociale europene.</w:t>
      </w:r>
    </w:p>
    <w:p w14:paraId="35770766" w14:textId="5CC6FD11"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proofErr w:type="spellStart"/>
      <w:r w:rsidRPr="00883FF4">
        <w:rPr>
          <w:rFonts w:ascii="Times New Roman" w:eastAsia="Times New Roman" w:hAnsi="Times New Roman" w:cs="Times New Roman"/>
          <w:kern w:val="0"/>
          <w14:ligatures w14:val="none"/>
        </w:rPr>
        <w:lastRenderedPageBreak/>
        <w:t>Aleca</w:t>
      </w:r>
      <w:proofErr w:type="spellEnd"/>
      <w:r w:rsidRPr="00883FF4">
        <w:rPr>
          <w:rFonts w:ascii="Times New Roman" w:eastAsia="Times New Roman" w:hAnsi="Times New Roman" w:cs="Times New Roman"/>
          <w:kern w:val="0"/>
          <w14:ligatures w14:val="none"/>
        </w:rPr>
        <w:t xml:space="preserve"> și Mihai (2025) </w:t>
      </w:r>
      <w:r w:rsidR="003E71B6" w:rsidRPr="00883FF4">
        <w:rPr>
          <w:rFonts w:ascii="Times New Roman" w:eastAsia="Times New Roman" w:hAnsi="Times New Roman" w:cs="Times New Roman"/>
          <w:kern w:val="0"/>
          <w14:ligatures w14:val="none"/>
        </w:rPr>
        <w:t>aprofundează</w:t>
      </w:r>
      <w:r w:rsidRPr="00883FF4">
        <w:rPr>
          <w:rFonts w:ascii="Times New Roman" w:eastAsia="Times New Roman" w:hAnsi="Times New Roman" w:cs="Times New Roman"/>
          <w:kern w:val="0"/>
          <w14:ligatures w14:val="none"/>
        </w:rPr>
        <w:t xml:space="preserve"> această analiză din perspectiva relației dintre infrastructura digitală, competențele digitale și productivitatea muncii la nivelul statelor membre UE. Utilizând metode econometrice cu efecte fixe pe date panel, studiul demonstrează că competențele digitale exercită o influență puternică asupra productivității muncii în toate modelele testate, subliniind importanța capitalului uman în adoptarea tehnologiilor Industriei 4.0. Adoptarea soluțiilor </w:t>
      </w:r>
      <w:proofErr w:type="spellStart"/>
      <w:r w:rsidRPr="00883FF4">
        <w:rPr>
          <w:rFonts w:ascii="Times New Roman" w:eastAsia="Times New Roman" w:hAnsi="Times New Roman" w:cs="Times New Roman"/>
          <w:kern w:val="0"/>
          <w14:ligatures w14:val="none"/>
        </w:rPr>
        <w:t>cloud</w:t>
      </w:r>
      <w:proofErr w:type="spellEnd"/>
      <w:r w:rsidRPr="00883FF4">
        <w:rPr>
          <w:rFonts w:ascii="Times New Roman" w:eastAsia="Times New Roman" w:hAnsi="Times New Roman" w:cs="Times New Roman"/>
          <w:kern w:val="0"/>
          <w14:ligatures w14:val="none"/>
        </w:rPr>
        <w:t xml:space="preserve"> este identificată drept un catalizator semnificativ pentru eficiența proceselor, în timp ce variațiile în dezvoltarea infrastructurii digitale și în gradul de pregătire a forței de muncă între statele membre reprezintă provocări serioase pentru productivitatea muncii la nivel agregat.</w:t>
      </w:r>
    </w:p>
    <w:p w14:paraId="3585F6B1" w14:textId="53831DE4"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proofErr w:type="spellStart"/>
      <w:r w:rsidRPr="00883FF4">
        <w:rPr>
          <w:rFonts w:ascii="Times New Roman" w:eastAsia="Times New Roman" w:hAnsi="Times New Roman" w:cs="Times New Roman"/>
          <w:kern w:val="0"/>
          <w14:ligatures w14:val="none"/>
        </w:rPr>
        <w:t>Caterino</w:t>
      </w:r>
      <w:proofErr w:type="spellEnd"/>
      <w:r w:rsidRPr="00883FF4">
        <w:rPr>
          <w:rFonts w:ascii="Times New Roman" w:eastAsia="Times New Roman" w:hAnsi="Times New Roman" w:cs="Times New Roman"/>
          <w:kern w:val="0"/>
          <w14:ligatures w14:val="none"/>
        </w:rPr>
        <w:t xml:space="preserve"> et al. (2025) completează această perspectivă subliniind că, în contextul industrial contemporan, tipul activităților în care sunt implicați operatorii este preponderent non-repetitiv, ceea ce impune reconfigurarea fundamentală a strategiilor de formare. Soluțiile bazate pe tehnologii </w:t>
      </w:r>
      <w:proofErr w:type="spellStart"/>
      <w:r w:rsidRPr="00883FF4">
        <w:rPr>
          <w:rFonts w:ascii="Times New Roman" w:eastAsia="Times New Roman" w:hAnsi="Times New Roman" w:cs="Times New Roman"/>
          <w:kern w:val="0"/>
          <w14:ligatures w14:val="none"/>
        </w:rPr>
        <w:t>imersive</w:t>
      </w:r>
      <w:proofErr w:type="spellEnd"/>
      <w:r w:rsidRPr="00883FF4">
        <w:rPr>
          <w:rFonts w:ascii="Times New Roman" w:eastAsia="Times New Roman" w:hAnsi="Times New Roman" w:cs="Times New Roman"/>
          <w:kern w:val="0"/>
          <w14:ligatures w14:val="none"/>
        </w:rPr>
        <w:t xml:space="preserve"> — Realitate Virtuală și Augmentată — sunt identificate ca răspunsuri promise la această provocare, compensând procesul de uitare specific sarcinilor non-repetitive și asigurând menținerea nivelului de competență al lucrătorilor în fața dinamismului tehnologic.</w:t>
      </w:r>
    </w:p>
    <w:p w14:paraId="6F55B24C"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Recenzia literaturii de specialitate relevă că piața muncii europeană se află la intersecția unor forțe transformatoare de mare amploare, care acționează simultan pe multiple dimensiuni. Din perspectivă politică, emergența noilor forme de muncă — în special munca prin platforme digitale — a depășit capacitatea de răspuns a cadrelor de reglementare existente, creând lacune semnificative de protecție socială pentru categorii vulnerabile de lucrători (OCDE, 2019; </w:t>
      </w:r>
      <w:proofErr w:type="spellStart"/>
      <w:r w:rsidRPr="00883FF4">
        <w:rPr>
          <w:rFonts w:ascii="Times New Roman" w:eastAsia="Times New Roman" w:hAnsi="Times New Roman" w:cs="Times New Roman"/>
          <w:kern w:val="0"/>
          <w14:ligatures w14:val="none"/>
        </w:rPr>
        <w:t>Huws</w:t>
      </w:r>
      <w:proofErr w:type="spellEnd"/>
      <w:r w:rsidRPr="00883FF4">
        <w:rPr>
          <w:rFonts w:ascii="Times New Roman" w:eastAsia="Times New Roman" w:hAnsi="Times New Roman" w:cs="Times New Roman"/>
          <w:kern w:val="0"/>
          <w14:ligatures w14:val="none"/>
        </w:rPr>
        <w:t xml:space="preserve"> et al., 2017). Politicile de migrație ale statelor membre au generat fluxuri masive de forță de muncă dinspre Europa de Est spre vest, cu consecințe ambivalente: beneficii economice pentru țările gazdă și presiuni demografice și de competențe asupra economiilor de origine (</w:t>
      </w:r>
      <w:proofErr w:type="spellStart"/>
      <w:r w:rsidRPr="00883FF4">
        <w:rPr>
          <w:rFonts w:ascii="Times New Roman" w:eastAsia="Times New Roman" w:hAnsi="Times New Roman" w:cs="Times New Roman"/>
          <w:kern w:val="0"/>
          <w14:ligatures w14:val="none"/>
        </w:rPr>
        <w:t>Tirca</w:t>
      </w:r>
      <w:proofErr w:type="spellEnd"/>
      <w:r w:rsidRPr="00883FF4">
        <w:rPr>
          <w:rFonts w:ascii="Times New Roman" w:eastAsia="Times New Roman" w:hAnsi="Times New Roman" w:cs="Times New Roman"/>
          <w:kern w:val="0"/>
          <w14:ligatures w14:val="none"/>
        </w:rPr>
        <w:t xml:space="preserve"> și Bujor, 2024; </w:t>
      </w:r>
      <w:proofErr w:type="spellStart"/>
      <w:r w:rsidRPr="00883FF4">
        <w:rPr>
          <w:rFonts w:ascii="Times New Roman" w:eastAsia="Times New Roman" w:hAnsi="Times New Roman" w:cs="Times New Roman"/>
          <w:kern w:val="0"/>
          <w14:ligatures w14:val="none"/>
        </w:rPr>
        <w:t>Beckers</w:t>
      </w:r>
      <w:proofErr w:type="spellEnd"/>
      <w:r w:rsidRPr="00883FF4">
        <w:rPr>
          <w:rFonts w:ascii="Times New Roman" w:eastAsia="Times New Roman" w:hAnsi="Times New Roman" w:cs="Times New Roman"/>
          <w:kern w:val="0"/>
          <w14:ligatures w14:val="none"/>
        </w:rPr>
        <w:t xml:space="preserve"> et al., 2024).</w:t>
      </w:r>
    </w:p>
    <w:p w14:paraId="45A6112F"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Din perspectivă economică, pandemia de COVID-19 a constituit cel mai sever test al rezilienței piețelor muncii europene din ultimele decenii. Deși impactul a fost relativ mai limitat în țările Grupului de la </w:t>
      </w:r>
      <w:proofErr w:type="spellStart"/>
      <w:r w:rsidRPr="00883FF4">
        <w:rPr>
          <w:rFonts w:ascii="Times New Roman" w:eastAsia="Times New Roman" w:hAnsi="Times New Roman" w:cs="Times New Roman"/>
          <w:kern w:val="0"/>
          <w14:ligatures w14:val="none"/>
        </w:rPr>
        <w:t>Vișegrad</w:t>
      </w:r>
      <w:proofErr w:type="spellEnd"/>
      <w:r w:rsidRPr="00883FF4">
        <w:rPr>
          <w:rFonts w:ascii="Times New Roman" w:eastAsia="Times New Roman" w:hAnsi="Times New Roman" w:cs="Times New Roman"/>
          <w:kern w:val="0"/>
          <w14:ligatures w14:val="none"/>
        </w:rPr>
        <w:t xml:space="preserve"> comparativ cu criza financiară anterioară (</w:t>
      </w:r>
      <w:proofErr w:type="spellStart"/>
      <w:r w:rsidRPr="00883FF4">
        <w:rPr>
          <w:rFonts w:ascii="Times New Roman" w:eastAsia="Times New Roman" w:hAnsi="Times New Roman" w:cs="Times New Roman"/>
          <w:kern w:val="0"/>
          <w14:ligatures w14:val="none"/>
        </w:rPr>
        <w:t>Zieliński</w:t>
      </w:r>
      <w:proofErr w:type="spellEnd"/>
      <w:r w:rsidRPr="00883FF4">
        <w:rPr>
          <w:rFonts w:ascii="Times New Roman" w:eastAsia="Times New Roman" w:hAnsi="Times New Roman" w:cs="Times New Roman"/>
          <w:kern w:val="0"/>
          <w14:ligatures w14:val="none"/>
        </w:rPr>
        <w:t>, 2022), consecințele asupra sănătății și capacității de muncă a forței active rămân o preocupare de durată (Szigeti et al., 2023). Remitențele generate de emigrație au susținut economiile de origine, dar dependența excesivă de acestea reprezintă un risc structural.</w:t>
      </w:r>
    </w:p>
    <w:p w14:paraId="0EEE106B" w14:textId="77777777" w:rsidR="00883FF4" w:rsidRPr="00883FF4"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lastRenderedPageBreak/>
        <w:t>Dimensiunea socială a transformărilor este marcată de schimbarea structurală a cerințelor de competențe, care solicită sisteme de formare profesională mai flexibile și mai bine integrate în procesele de producție (</w:t>
      </w:r>
      <w:proofErr w:type="spellStart"/>
      <w:r w:rsidRPr="00883FF4">
        <w:rPr>
          <w:rFonts w:ascii="Times New Roman" w:eastAsia="Times New Roman" w:hAnsi="Times New Roman" w:cs="Times New Roman"/>
          <w:kern w:val="0"/>
          <w14:ligatures w14:val="none"/>
        </w:rPr>
        <w:t>Caterino</w:t>
      </w:r>
      <w:proofErr w:type="spellEnd"/>
      <w:r w:rsidRPr="00883FF4">
        <w:rPr>
          <w:rFonts w:ascii="Times New Roman" w:eastAsia="Times New Roman" w:hAnsi="Times New Roman" w:cs="Times New Roman"/>
          <w:kern w:val="0"/>
          <w14:ligatures w14:val="none"/>
        </w:rPr>
        <w:t xml:space="preserve"> et al., 2025). Sistemele de educație duală, documentate de Varga și </w:t>
      </w:r>
      <w:proofErr w:type="spellStart"/>
      <w:r w:rsidRPr="00883FF4">
        <w:rPr>
          <w:rFonts w:ascii="Times New Roman" w:eastAsia="Times New Roman" w:hAnsi="Times New Roman" w:cs="Times New Roman"/>
          <w:kern w:val="0"/>
          <w14:ligatures w14:val="none"/>
        </w:rPr>
        <w:t>Sági</w:t>
      </w:r>
      <w:proofErr w:type="spellEnd"/>
      <w:r w:rsidRPr="00883FF4">
        <w:rPr>
          <w:rFonts w:ascii="Times New Roman" w:eastAsia="Times New Roman" w:hAnsi="Times New Roman" w:cs="Times New Roman"/>
          <w:kern w:val="0"/>
          <w14:ligatures w14:val="none"/>
        </w:rPr>
        <w:t xml:space="preserve"> (2024), oferă un model promițător de aliniere a educației cu nevoile pieței muncii, aflat însă în stadii diferite de implementare la nivelul statelor membre.</w:t>
      </w:r>
    </w:p>
    <w:p w14:paraId="19F24872" w14:textId="5DF89244" w:rsidR="00C41088" w:rsidRDefault="00883FF4" w:rsidP="00883FF4">
      <w:pPr>
        <w:spacing w:line="360" w:lineRule="auto"/>
        <w:ind w:firstLine="720"/>
        <w:jc w:val="both"/>
        <w:rPr>
          <w:rFonts w:ascii="Times New Roman" w:eastAsia="Times New Roman" w:hAnsi="Times New Roman" w:cs="Times New Roman"/>
          <w:kern w:val="0"/>
          <w14:ligatures w14:val="none"/>
        </w:rPr>
      </w:pPr>
      <w:r w:rsidRPr="00883FF4">
        <w:rPr>
          <w:rFonts w:ascii="Times New Roman" w:eastAsia="Times New Roman" w:hAnsi="Times New Roman" w:cs="Times New Roman"/>
          <w:kern w:val="0"/>
          <w14:ligatures w14:val="none"/>
        </w:rPr>
        <w:t xml:space="preserve">Din perspectivă tehnologică, digitalizarea și inteligența artificială reconfigurează profund structura ocupațională europeană. Studiile lui Călinescu (2023) și </w:t>
      </w:r>
      <w:proofErr w:type="spellStart"/>
      <w:r w:rsidRPr="00883FF4">
        <w:rPr>
          <w:rFonts w:ascii="Times New Roman" w:eastAsia="Times New Roman" w:hAnsi="Times New Roman" w:cs="Times New Roman"/>
          <w:kern w:val="0"/>
          <w14:ligatures w14:val="none"/>
        </w:rPr>
        <w:t>Aleca</w:t>
      </w:r>
      <w:proofErr w:type="spellEnd"/>
      <w:r w:rsidRPr="00883FF4">
        <w:rPr>
          <w:rFonts w:ascii="Times New Roman" w:eastAsia="Times New Roman" w:hAnsi="Times New Roman" w:cs="Times New Roman"/>
          <w:kern w:val="0"/>
          <w14:ligatures w14:val="none"/>
        </w:rPr>
        <w:t xml:space="preserve"> și Mihai (2025) converg spre concluzia că investițiile strategice în infrastructura digitală și în competențele digitale ale forței de muncă sunt esențiale pentru competitivitatea economică, dar că distribuția inegală a beneficiilor tehnologice între statele membre riscă să amplifice disparitățile existente. Aceste concluzii definesc cadrul teoretic și contextul empiric pe baza cărora se construiește demersul de cercetare al prezentei lucrări.</w:t>
      </w:r>
    </w:p>
    <w:p w14:paraId="5B5CEA0E" w14:textId="1A7AB8F1" w:rsidR="008C6D1B" w:rsidRPr="002F51F1" w:rsidRDefault="008C6D1B"/>
    <w:sectPr w:rsidR="008C6D1B" w:rsidRPr="002F5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F1"/>
    <w:rsid w:val="00041C13"/>
    <w:rsid w:val="000A2D91"/>
    <w:rsid w:val="000D386E"/>
    <w:rsid w:val="000D468A"/>
    <w:rsid w:val="00110242"/>
    <w:rsid w:val="001478BC"/>
    <w:rsid w:val="001747AB"/>
    <w:rsid w:val="00175ECC"/>
    <w:rsid w:val="00196222"/>
    <w:rsid w:val="00241F67"/>
    <w:rsid w:val="00242282"/>
    <w:rsid w:val="00247F50"/>
    <w:rsid w:val="00261E47"/>
    <w:rsid w:val="00274447"/>
    <w:rsid w:val="00276EB3"/>
    <w:rsid w:val="00297AC9"/>
    <w:rsid w:val="002F51F1"/>
    <w:rsid w:val="00324D65"/>
    <w:rsid w:val="00342883"/>
    <w:rsid w:val="00360C31"/>
    <w:rsid w:val="00371769"/>
    <w:rsid w:val="003A6622"/>
    <w:rsid w:val="003B59C5"/>
    <w:rsid w:val="003E71B6"/>
    <w:rsid w:val="00401885"/>
    <w:rsid w:val="004213C7"/>
    <w:rsid w:val="0048370D"/>
    <w:rsid w:val="004952A6"/>
    <w:rsid w:val="004E178B"/>
    <w:rsid w:val="00530110"/>
    <w:rsid w:val="00552635"/>
    <w:rsid w:val="0056152A"/>
    <w:rsid w:val="00561D5A"/>
    <w:rsid w:val="00662FAF"/>
    <w:rsid w:val="006A066D"/>
    <w:rsid w:val="0074475F"/>
    <w:rsid w:val="00780951"/>
    <w:rsid w:val="00783D94"/>
    <w:rsid w:val="007F1104"/>
    <w:rsid w:val="008625C6"/>
    <w:rsid w:val="008830A0"/>
    <w:rsid w:val="00883FF4"/>
    <w:rsid w:val="008C6D1B"/>
    <w:rsid w:val="008D311C"/>
    <w:rsid w:val="00903F85"/>
    <w:rsid w:val="00922824"/>
    <w:rsid w:val="00937144"/>
    <w:rsid w:val="00A03AE0"/>
    <w:rsid w:val="00A445EA"/>
    <w:rsid w:val="00A93B0F"/>
    <w:rsid w:val="00AD5E3E"/>
    <w:rsid w:val="00B010CC"/>
    <w:rsid w:val="00B30315"/>
    <w:rsid w:val="00B8440D"/>
    <w:rsid w:val="00BC1978"/>
    <w:rsid w:val="00BD3368"/>
    <w:rsid w:val="00BD4DCD"/>
    <w:rsid w:val="00BE3299"/>
    <w:rsid w:val="00BE6458"/>
    <w:rsid w:val="00C13BE1"/>
    <w:rsid w:val="00C25D3E"/>
    <w:rsid w:val="00C3135F"/>
    <w:rsid w:val="00C36DB5"/>
    <w:rsid w:val="00C41088"/>
    <w:rsid w:val="00C81702"/>
    <w:rsid w:val="00C81EB4"/>
    <w:rsid w:val="00CA27B7"/>
    <w:rsid w:val="00CD5A03"/>
    <w:rsid w:val="00D05735"/>
    <w:rsid w:val="00D1257D"/>
    <w:rsid w:val="00D245F7"/>
    <w:rsid w:val="00D36B63"/>
    <w:rsid w:val="00D40F73"/>
    <w:rsid w:val="00D97107"/>
    <w:rsid w:val="00DB2033"/>
    <w:rsid w:val="00E45906"/>
    <w:rsid w:val="00E96AF3"/>
    <w:rsid w:val="00EC374D"/>
    <w:rsid w:val="00ED4B8C"/>
    <w:rsid w:val="00F3507E"/>
    <w:rsid w:val="00F63C35"/>
    <w:rsid w:val="00F77D84"/>
    <w:rsid w:val="00FB42A7"/>
    <w:rsid w:val="00FD084B"/>
    <w:rsid w:val="00FE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B2C2"/>
  <w15:chartTrackingRefBased/>
  <w15:docId w15:val="{DD9596E1-5717-4A71-AE47-77D30E49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2F5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1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1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1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1F1"/>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2F51F1"/>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2F51F1"/>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2F51F1"/>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2F51F1"/>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2F51F1"/>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2F51F1"/>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2F51F1"/>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2F51F1"/>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2F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F1"/>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2F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F1"/>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2F51F1"/>
    <w:pPr>
      <w:spacing w:before="160"/>
      <w:jc w:val="center"/>
    </w:pPr>
    <w:rPr>
      <w:i/>
      <w:iCs/>
      <w:color w:val="404040" w:themeColor="text1" w:themeTint="BF"/>
    </w:rPr>
  </w:style>
  <w:style w:type="character" w:customStyle="1" w:styleId="QuoteChar">
    <w:name w:val="Quote Char"/>
    <w:basedOn w:val="DefaultParagraphFont"/>
    <w:link w:val="Quote"/>
    <w:uiPriority w:val="29"/>
    <w:rsid w:val="002F51F1"/>
    <w:rPr>
      <w:i/>
      <w:iCs/>
      <w:color w:val="404040" w:themeColor="text1" w:themeTint="BF"/>
      <w:lang w:val="ro-RO"/>
    </w:rPr>
  </w:style>
  <w:style w:type="paragraph" w:styleId="ListParagraph">
    <w:name w:val="List Paragraph"/>
    <w:basedOn w:val="Normal"/>
    <w:uiPriority w:val="34"/>
    <w:qFormat/>
    <w:rsid w:val="002F51F1"/>
    <w:pPr>
      <w:ind w:left="720"/>
      <w:contextualSpacing/>
    </w:pPr>
  </w:style>
  <w:style w:type="character" w:styleId="IntenseEmphasis">
    <w:name w:val="Intense Emphasis"/>
    <w:basedOn w:val="DefaultParagraphFont"/>
    <w:uiPriority w:val="21"/>
    <w:qFormat/>
    <w:rsid w:val="002F51F1"/>
    <w:rPr>
      <w:i/>
      <w:iCs/>
      <w:color w:val="2F5496" w:themeColor="accent1" w:themeShade="BF"/>
    </w:rPr>
  </w:style>
  <w:style w:type="paragraph" w:styleId="IntenseQuote">
    <w:name w:val="Intense Quote"/>
    <w:basedOn w:val="Normal"/>
    <w:next w:val="Normal"/>
    <w:link w:val="IntenseQuoteChar"/>
    <w:uiPriority w:val="30"/>
    <w:qFormat/>
    <w:rsid w:val="002F5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1F1"/>
    <w:rPr>
      <w:i/>
      <w:iCs/>
      <w:color w:val="2F5496" w:themeColor="accent1" w:themeShade="BF"/>
      <w:lang w:val="ro-RO"/>
    </w:rPr>
  </w:style>
  <w:style w:type="character" w:styleId="IntenseReference">
    <w:name w:val="Intense Reference"/>
    <w:basedOn w:val="DefaultParagraphFont"/>
    <w:uiPriority w:val="32"/>
    <w:qFormat/>
    <w:rsid w:val="002F5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2154</Words>
  <Characters>12280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67</cp:revision>
  <dcterms:created xsi:type="dcterms:W3CDTF">2026-03-15T15:35:00Z</dcterms:created>
  <dcterms:modified xsi:type="dcterms:W3CDTF">2026-03-16T18:42:00Z</dcterms:modified>
</cp:coreProperties>
</file>