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4003" w14:textId="77777777" w:rsidR="001C4317" w:rsidRPr="00A15E82" w:rsidRDefault="001C4317" w:rsidP="001C4317">
      <w:pPr>
        <w:rPr>
          <w:b/>
          <w:bCs/>
        </w:rPr>
      </w:pPr>
      <w:r w:rsidRPr="00A15E82">
        <w:rPr>
          <w:b/>
          <w:bCs/>
        </w:rPr>
        <w:t>Planul concret al analizei</w:t>
      </w:r>
    </w:p>
    <w:p w14:paraId="150A81D8" w14:textId="77777777" w:rsidR="001C4317" w:rsidRPr="00A15E82" w:rsidRDefault="001C4317" w:rsidP="001C4317">
      <w:r w:rsidRPr="00A15E82">
        <w:pict w14:anchorId="1DDB62BA">
          <v:rect id="_x0000_i1085" style="width:0;height:1.5pt" o:hralign="center" o:hrstd="t" o:hr="t" fillcolor="#a0a0a0" stroked="f"/>
        </w:pict>
      </w:r>
    </w:p>
    <w:p w14:paraId="4F23EB46" w14:textId="77777777" w:rsidR="001C4317" w:rsidRPr="00A15E82" w:rsidRDefault="001C4317" w:rsidP="001C4317">
      <w:pPr>
        <w:rPr>
          <w:b/>
          <w:bCs/>
        </w:rPr>
      </w:pPr>
      <w:r w:rsidRPr="00A15E82">
        <w:rPr>
          <w:b/>
          <w:bCs/>
        </w:rPr>
        <w:t>0. Formularea ipotezei</w:t>
      </w:r>
    </w:p>
    <w:p w14:paraId="3005B1ED" w14:textId="77777777" w:rsidR="001C4317" w:rsidRPr="00A15E82" w:rsidRDefault="001C4317" w:rsidP="001C4317">
      <w:r w:rsidRPr="00A15E82">
        <w:rPr>
          <w:i/>
          <w:iCs/>
        </w:rPr>
        <w:t>"Cheltuielile cu cercetarea și dezvoltarea, exprimate ca procent din PIB, au un efect pozitiv și semnificativ asupra salariului mediu anual în țările europene."</w:t>
      </w:r>
    </w:p>
    <w:p w14:paraId="65878E3D" w14:textId="77777777" w:rsidR="001C4317" w:rsidRPr="00A15E82" w:rsidRDefault="001C4317" w:rsidP="001C4317">
      <w:r w:rsidRPr="00A15E82">
        <w:pict w14:anchorId="04672D20">
          <v:rect id="_x0000_i1086" style="width:0;height:1.5pt" o:hralign="center" o:hrstd="t" o:hr="t" fillcolor="#a0a0a0" stroked="f"/>
        </w:pict>
      </w:r>
    </w:p>
    <w:p w14:paraId="1C689C65" w14:textId="77777777" w:rsidR="001C4317" w:rsidRPr="00A15E82" w:rsidRDefault="001C4317" w:rsidP="001C4317">
      <w:pPr>
        <w:rPr>
          <w:b/>
          <w:bCs/>
        </w:rPr>
      </w:pPr>
      <w:r w:rsidRPr="00A15E82">
        <w:rPr>
          <w:b/>
          <w:bCs/>
        </w:rPr>
        <w:t>1. Pregătirea datelor</w:t>
      </w:r>
    </w:p>
    <w:p w14:paraId="7444872F" w14:textId="77777777" w:rsidR="001C4317" w:rsidRPr="00A15E82" w:rsidRDefault="001C4317" w:rsidP="001C4317">
      <w:pPr>
        <w:numPr>
          <w:ilvl w:val="0"/>
          <w:numId w:val="1"/>
        </w:numPr>
      </w:pPr>
      <w:r w:rsidRPr="00A15E82">
        <w:t xml:space="preserve">Aplicarea transformării </w:t>
      </w:r>
      <w:r w:rsidRPr="00A15E82">
        <w:rPr>
          <w:b/>
          <w:bCs/>
        </w:rPr>
        <w:t>ln(salariu)</w:t>
      </w:r>
    </w:p>
    <w:p w14:paraId="040314A2" w14:textId="77777777" w:rsidR="001C4317" w:rsidRPr="00A15E82" w:rsidRDefault="001C4317" w:rsidP="001C4317">
      <w:pPr>
        <w:numPr>
          <w:ilvl w:val="0"/>
          <w:numId w:val="1"/>
        </w:numPr>
      </w:pPr>
      <w:r w:rsidRPr="00A15E82">
        <w:t>Verificarea valorilor lipsă</w:t>
      </w:r>
    </w:p>
    <w:p w14:paraId="053B3664" w14:textId="77777777" w:rsidR="001C4317" w:rsidRPr="00A15E82" w:rsidRDefault="001C4317" w:rsidP="001C4317">
      <w:pPr>
        <w:numPr>
          <w:ilvl w:val="0"/>
          <w:numId w:val="1"/>
        </w:numPr>
      </w:pPr>
      <w:r w:rsidRPr="00A15E82">
        <w:t>Structurarea datelor pe țări</w:t>
      </w:r>
    </w:p>
    <w:p w14:paraId="4BA23BE5" w14:textId="77777777" w:rsidR="001C4317" w:rsidRPr="00A15E82" w:rsidRDefault="001C4317" w:rsidP="001C4317">
      <w:r w:rsidRPr="00A15E82">
        <w:pict w14:anchorId="053AD6E8">
          <v:rect id="_x0000_i1087" style="width:0;height:1.5pt" o:hralign="center" o:hrstd="t" o:hr="t" fillcolor="#a0a0a0" stroked="f"/>
        </w:pict>
      </w:r>
    </w:p>
    <w:p w14:paraId="29E0A86B" w14:textId="77777777" w:rsidR="001C4317" w:rsidRPr="00A15E82" w:rsidRDefault="001C4317" w:rsidP="001C4317">
      <w:pPr>
        <w:rPr>
          <w:b/>
          <w:bCs/>
        </w:rPr>
      </w:pPr>
      <w:r w:rsidRPr="00A15E82">
        <w:rPr>
          <w:b/>
          <w:bCs/>
        </w:rPr>
        <w:t>2. Testarea stationarității (pentru fiecare țară și fiecare variabilă)</w:t>
      </w:r>
    </w:p>
    <w:p w14:paraId="04C2EA42" w14:textId="77777777" w:rsidR="004A1CE5" w:rsidRDefault="001C4317" w:rsidP="001C4317">
      <w:r w:rsidRPr="00A15E82">
        <w:rPr>
          <w:b/>
          <w:bCs/>
        </w:rPr>
        <w:t>2.1 Test ADF</w:t>
      </w:r>
      <w:r w:rsidRPr="00A15E82">
        <w:t xml:space="preserve"> — H0: seria este nestationară </w:t>
      </w:r>
    </w:p>
    <w:p w14:paraId="2AA9DDC0" w14:textId="6CC96209" w:rsidR="001C4317" w:rsidRPr="00A15E82" w:rsidRDefault="001C4317" w:rsidP="001C4317">
      <w:r w:rsidRPr="00A15E82">
        <w:rPr>
          <w:b/>
          <w:bCs/>
        </w:rPr>
        <w:t>2.2 Test KPSS</w:t>
      </w:r>
      <w:r w:rsidRPr="00A15E82">
        <w:t xml:space="preserve"> — H0: seria este stationară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1693"/>
        <w:gridCol w:w="2349"/>
      </w:tblGrid>
      <w:tr w:rsidR="001C4317" w:rsidRPr="00A15E82" w14:paraId="198A9C86" w14:textId="77777777">
        <w:trPr>
          <w:tblHeader/>
          <w:tblCellSpacing w:w="15" w:type="dxa"/>
        </w:trPr>
        <w:tc>
          <w:tcPr>
            <w:tcW w:w="0" w:type="auto"/>
            <w:vAlign w:val="center"/>
            <w:hideMark/>
          </w:tcPr>
          <w:p w14:paraId="51ACD029" w14:textId="77777777" w:rsidR="001C4317" w:rsidRPr="00A15E82" w:rsidRDefault="001C4317" w:rsidP="001C4317">
            <w:pPr>
              <w:rPr>
                <w:b/>
                <w:bCs/>
              </w:rPr>
            </w:pPr>
            <w:r w:rsidRPr="00A15E82">
              <w:rPr>
                <w:b/>
                <w:bCs/>
              </w:rPr>
              <w:t>Rezultat</w:t>
            </w:r>
          </w:p>
        </w:tc>
        <w:tc>
          <w:tcPr>
            <w:tcW w:w="0" w:type="auto"/>
            <w:vAlign w:val="center"/>
            <w:hideMark/>
          </w:tcPr>
          <w:p w14:paraId="6DBAA4AF" w14:textId="77777777" w:rsidR="001C4317" w:rsidRPr="00A15E82" w:rsidRDefault="001C4317" w:rsidP="001C4317">
            <w:pPr>
              <w:rPr>
                <w:b/>
                <w:bCs/>
              </w:rPr>
            </w:pPr>
            <w:r w:rsidRPr="00A15E82">
              <w:rPr>
                <w:b/>
                <w:bCs/>
              </w:rPr>
              <w:t>Concluzie</w:t>
            </w:r>
          </w:p>
        </w:tc>
        <w:tc>
          <w:tcPr>
            <w:tcW w:w="0" w:type="auto"/>
            <w:vAlign w:val="center"/>
            <w:hideMark/>
          </w:tcPr>
          <w:p w14:paraId="2C4CCE14" w14:textId="77777777" w:rsidR="001C4317" w:rsidRPr="00A15E82" w:rsidRDefault="001C4317" w:rsidP="001C4317">
            <w:pPr>
              <w:rPr>
                <w:b/>
                <w:bCs/>
              </w:rPr>
            </w:pPr>
            <w:r w:rsidRPr="00A15E82">
              <w:rPr>
                <w:b/>
                <w:bCs/>
              </w:rPr>
              <w:t>Acțiune</w:t>
            </w:r>
          </w:p>
        </w:tc>
      </w:tr>
      <w:tr w:rsidR="001C4317" w:rsidRPr="00A15E82" w14:paraId="54135D1A" w14:textId="77777777">
        <w:trPr>
          <w:tblCellSpacing w:w="15" w:type="dxa"/>
        </w:trPr>
        <w:tc>
          <w:tcPr>
            <w:tcW w:w="0" w:type="auto"/>
            <w:vAlign w:val="center"/>
            <w:hideMark/>
          </w:tcPr>
          <w:p w14:paraId="75A3908D" w14:textId="77777777" w:rsidR="001C4317" w:rsidRPr="00A15E82" w:rsidRDefault="001C4317" w:rsidP="001C4317">
            <w:r w:rsidRPr="00A15E82">
              <w:t>ADF respinge + KPSS nu respinge</w:t>
            </w:r>
          </w:p>
        </w:tc>
        <w:tc>
          <w:tcPr>
            <w:tcW w:w="0" w:type="auto"/>
            <w:vAlign w:val="center"/>
            <w:hideMark/>
          </w:tcPr>
          <w:p w14:paraId="1EED6331" w14:textId="77777777" w:rsidR="001C4317" w:rsidRPr="00A15E82" w:rsidRDefault="001C4317" w:rsidP="001C4317">
            <w:r w:rsidRPr="00A15E82">
              <w:t>Stationară I(0)</w:t>
            </w:r>
          </w:p>
        </w:tc>
        <w:tc>
          <w:tcPr>
            <w:tcW w:w="0" w:type="auto"/>
            <w:vAlign w:val="center"/>
            <w:hideMark/>
          </w:tcPr>
          <w:p w14:paraId="14030CEB" w14:textId="77777777" w:rsidR="001C4317" w:rsidRPr="00A15E82" w:rsidRDefault="001C4317" w:rsidP="001C4317">
            <w:r w:rsidRPr="00A15E82">
              <w:t>Mergi la pasul 3</w:t>
            </w:r>
          </w:p>
        </w:tc>
      </w:tr>
      <w:tr w:rsidR="001C4317" w:rsidRPr="00A15E82" w14:paraId="55CC5173" w14:textId="77777777">
        <w:trPr>
          <w:tblCellSpacing w:w="15" w:type="dxa"/>
        </w:trPr>
        <w:tc>
          <w:tcPr>
            <w:tcW w:w="0" w:type="auto"/>
            <w:vAlign w:val="center"/>
            <w:hideMark/>
          </w:tcPr>
          <w:p w14:paraId="05E77E19" w14:textId="77777777" w:rsidR="001C4317" w:rsidRPr="00A15E82" w:rsidRDefault="001C4317" w:rsidP="001C4317">
            <w:r w:rsidRPr="00A15E82">
              <w:t>ADF nu respinge + KPSS respinge</w:t>
            </w:r>
          </w:p>
        </w:tc>
        <w:tc>
          <w:tcPr>
            <w:tcW w:w="0" w:type="auto"/>
            <w:vAlign w:val="center"/>
            <w:hideMark/>
          </w:tcPr>
          <w:p w14:paraId="1CDD3BC8" w14:textId="77777777" w:rsidR="001C4317" w:rsidRPr="00A15E82" w:rsidRDefault="001C4317" w:rsidP="001C4317">
            <w:r w:rsidRPr="00A15E82">
              <w:t>Nestationară I(1)</w:t>
            </w:r>
          </w:p>
        </w:tc>
        <w:tc>
          <w:tcPr>
            <w:tcW w:w="0" w:type="auto"/>
            <w:vAlign w:val="center"/>
            <w:hideMark/>
          </w:tcPr>
          <w:p w14:paraId="6E4B320F" w14:textId="77777777" w:rsidR="001C4317" w:rsidRPr="00A15E82" w:rsidRDefault="001C4317" w:rsidP="001C4317">
            <w:r w:rsidRPr="00A15E82">
              <w:t>Diferențiezi → retestezi</w:t>
            </w:r>
          </w:p>
        </w:tc>
      </w:tr>
      <w:tr w:rsidR="001C4317" w:rsidRPr="00A15E82" w14:paraId="3E2904DA" w14:textId="77777777">
        <w:trPr>
          <w:tblCellSpacing w:w="15" w:type="dxa"/>
        </w:trPr>
        <w:tc>
          <w:tcPr>
            <w:tcW w:w="0" w:type="auto"/>
            <w:vAlign w:val="center"/>
            <w:hideMark/>
          </w:tcPr>
          <w:p w14:paraId="1A5D871D" w14:textId="77777777" w:rsidR="001C4317" w:rsidRPr="00A15E82" w:rsidRDefault="001C4317" w:rsidP="001C4317">
            <w:r w:rsidRPr="00A15E82">
              <w:t>Contradicție</w:t>
            </w:r>
          </w:p>
        </w:tc>
        <w:tc>
          <w:tcPr>
            <w:tcW w:w="0" w:type="auto"/>
            <w:vAlign w:val="center"/>
            <w:hideMark/>
          </w:tcPr>
          <w:p w14:paraId="11153150" w14:textId="77777777" w:rsidR="001C4317" w:rsidRPr="00A15E82" w:rsidRDefault="001C4317" w:rsidP="001C4317">
            <w:r w:rsidRPr="00A15E82">
              <w:t>Neclar</w:t>
            </w:r>
          </w:p>
        </w:tc>
        <w:tc>
          <w:tcPr>
            <w:tcW w:w="0" w:type="auto"/>
            <w:vAlign w:val="center"/>
            <w:hideMark/>
          </w:tcPr>
          <w:p w14:paraId="7511925E" w14:textId="77777777" w:rsidR="001C4317" w:rsidRPr="00A15E82" w:rsidRDefault="001C4317" w:rsidP="001C4317">
            <w:r w:rsidRPr="00A15E82">
              <w:t>Adaugi Phillips-Perron</w:t>
            </w:r>
          </w:p>
        </w:tc>
      </w:tr>
    </w:tbl>
    <w:p w14:paraId="46ABFDD4" w14:textId="77777777" w:rsidR="001C4317" w:rsidRPr="00A15E82" w:rsidRDefault="001C4317" w:rsidP="001C4317">
      <w:r w:rsidRPr="00A15E82">
        <w:rPr>
          <w:b/>
          <w:bCs/>
        </w:rPr>
        <w:t>2.3 Dacă variabilele sunt I(1) → Test Johansen</w:t>
      </w:r>
    </w:p>
    <w:p w14:paraId="4F3597AA" w14:textId="77777777" w:rsidR="001C4317" w:rsidRPr="00A15E82" w:rsidRDefault="001C4317" w:rsidP="001C4317">
      <w:pPr>
        <w:numPr>
          <w:ilvl w:val="0"/>
          <w:numId w:val="2"/>
        </w:numPr>
      </w:pPr>
      <w:r w:rsidRPr="00A15E82">
        <w:t>Cointegrate → lucrezi cu nivelurile</w:t>
      </w:r>
    </w:p>
    <w:p w14:paraId="560832F1" w14:textId="77777777" w:rsidR="001C4317" w:rsidRPr="00A15E82" w:rsidRDefault="001C4317" w:rsidP="001C4317">
      <w:pPr>
        <w:numPr>
          <w:ilvl w:val="0"/>
          <w:numId w:val="2"/>
        </w:numPr>
      </w:pPr>
      <w:r w:rsidRPr="00A15E82">
        <w:t>Necointegrate → lucrezi cu diferențele</w:t>
      </w:r>
    </w:p>
    <w:p w14:paraId="13972DC2" w14:textId="77777777" w:rsidR="001C4317" w:rsidRPr="00A15E82" w:rsidRDefault="001C4317" w:rsidP="001C4317">
      <w:r w:rsidRPr="00A15E82">
        <w:pict w14:anchorId="3D533130">
          <v:rect id="_x0000_i1088" style="width:0;height:1.5pt" o:hralign="center" o:hrstd="t" o:hr="t" fillcolor="#a0a0a0" stroked="f"/>
        </w:pict>
      </w:r>
    </w:p>
    <w:p w14:paraId="29C315AA" w14:textId="77777777" w:rsidR="001C4317" w:rsidRPr="00A15E82" w:rsidRDefault="001C4317" w:rsidP="001C4317">
      <w:pPr>
        <w:rPr>
          <w:b/>
          <w:bCs/>
        </w:rPr>
      </w:pPr>
      <w:r w:rsidRPr="00A15E82">
        <w:rPr>
          <w:b/>
          <w:bCs/>
        </w:rPr>
        <w:t>3. Estimarea modelului (pentru fiecare țară)</w:t>
      </w:r>
    </w:p>
    <w:p w14:paraId="3C22D859" w14:textId="77777777" w:rsidR="001C4317" w:rsidRPr="00A15E82" w:rsidRDefault="001C4317" w:rsidP="001C4317">
      <w:r w:rsidRPr="00A15E82">
        <w:t>ln(salariu) ~ R&amp;D/GDP + employment_rate + HICP</w:t>
      </w:r>
    </w:p>
    <w:p w14:paraId="1FD2B403" w14:textId="77777777" w:rsidR="001C4317" w:rsidRPr="00A15E82" w:rsidRDefault="001C4317" w:rsidP="001C4317">
      <w:r w:rsidRPr="00A15E82">
        <w:pict w14:anchorId="3B92CD0A">
          <v:rect id="_x0000_i1089" style="width:0;height:1.5pt" o:hralign="center" o:hrstd="t" o:hr="t" fillcolor="#a0a0a0" stroked="f"/>
        </w:pict>
      </w:r>
    </w:p>
    <w:p w14:paraId="09182B54" w14:textId="77777777" w:rsidR="004A1CE5" w:rsidRDefault="004A1CE5" w:rsidP="001C4317">
      <w:pPr>
        <w:rPr>
          <w:b/>
          <w:bCs/>
        </w:rPr>
      </w:pPr>
    </w:p>
    <w:p w14:paraId="71509D38" w14:textId="44A1AA89" w:rsidR="001C4317" w:rsidRPr="00A15E82" w:rsidRDefault="001C4317" w:rsidP="001C4317">
      <w:pPr>
        <w:rPr>
          <w:b/>
          <w:bCs/>
        </w:rPr>
      </w:pPr>
      <w:r w:rsidRPr="00A15E82">
        <w:rPr>
          <w:b/>
          <w:bCs/>
        </w:rPr>
        <w:lastRenderedPageBreak/>
        <w:t>4. Testarea ipotezelor modelului</w:t>
      </w:r>
    </w:p>
    <w:p w14:paraId="3CAC6E25" w14:textId="77777777" w:rsidR="001C4317" w:rsidRPr="00A15E82" w:rsidRDefault="001C4317" w:rsidP="001C4317">
      <w:r w:rsidRPr="00A15E82">
        <w:rPr>
          <w:b/>
          <w:bCs/>
        </w:rPr>
        <w:t>4.1 Normalitatea erorilor</w:t>
      </w:r>
      <w:r w:rsidRPr="00A15E82">
        <w:t xml:space="preserve"> → Jarque-Bera</w:t>
      </w:r>
    </w:p>
    <w:p w14:paraId="3E0A6492" w14:textId="77777777" w:rsidR="001C4317" w:rsidRPr="00A15E82" w:rsidRDefault="001C4317" w:rsidP="001C4317">
      <w:pPr>
        <w:numPr>
          <w:ilvl w:val="0"/>
          <w:numId w:val="3"/>
        </w:numPr>
      </w:pPr>
      <w:r w:rsidRPr="00A15E82">
        <w:t>H0: erorile sunt normal distribuite</w:t>
      </w:r>
    </w:p>
    <w:p w14:paraId="2FC11ACB" w14:textId="77777777" w:rsidR="001C4317" w:rsidRPr="00A15E82" w:rsidRDefault="001C4317" w:rsidP="001C4317">
      <w:pPr>
        <w:numPr>
          <w:ilvl w:val="0"/>
          <w:numId w:val="3"/>
        </w:numPr>
      </w:pPr>
      <w:r w:rsidRPr="00A15E82">
        <w:t xml:space="preserve">Dacă p &gt; 0.05 → ipoteza validată </w:t>
      </w:r>
      <w:r w:rsidRPr="00A15E82">
        <w:rPr>
          <w:rFonts w:ascii="Segoe UI Emoji" w:hAnsi="Segoe UI Emoji" w:cs="Segoe UI Emoji"/>
        </w:rPr>
        <w:t>✅</w:t>
      </w:r>
    </w:p>
    <w:p w14:paraId="1E2DAADA" w14:textId="47CB4919" w:rsidR="001C4317" w:rsidRPr="00A15E82" w:rsidRDefault="001C4317" w:rsidP="001C4317">
      <w:r w:rsidRPr="00A15E82">
        <w:rPr>
          <w:b/>
          <w:bCs/>
        </w:rPr>
        <w:t>4.2 Autocorе</w:t>
      </w:r>
      <w:r w:rsidR="004A1CE5">
        <w:rPr>
          <w:b/>
          <w:bCs/>
        </w:rPr>
        <w:t>l</w:t>
      </w:r>
      <w:r w:rsidRPr="00A15E82">
        <w:rPr>
          <w:b/>
          <w:bCs/>
        </w:rPr>
        <w:t>area erorilor</w:t>
      </w:r>
      <w:r w:rsidRPr="00A15E82">
        <w:t xml:space="preserve"> → Durbin-Watson + Breusch-Godfrey</w:t>
      </w:r>
    </w:p>
    <w:p w14:paraId="59001D26" w14:textId="77777777" w:rsidR="001C4317" w:rsidRPr="00A15E82" w:rsidRDefault="001C4317" w:rsidP="001C4317">
      <w:pPr>
        <w:numPr>
          <w:ilvl w:val="0"/>
          <w:numId w:val="4"/>
        </w:numPr>
      </w:pPr>
      <w:r w:rsidRPr="00A15E82">
        <w:t>H0: erorile nu sunt autocorelate</w:t>
      </w:r>
    </w:p>
    <w:p w14:paraId="746B1E3B" w14:textId="77777777" w:rsidR="001C4317" w:rsidRPr="00A15E82" w:rsidRDefault="001C4317" w:rsidP="001C4317">
      <w:pPr>
        <w:numPr>
          <w:ilvl w:val="0"/>
          <w:numId w:val="4"/>
        </w:numPr>
      </w:pPr>
      <w:r w:rsidRPr="00A15E82">
        <w:t xml:space="preserve">Dacă p &gt; 0.05 → ipoteza validată </w:t>
      </w:r>
      <w:r w:rsidRPr="00A15E82">
        <w:rPr>
          <w:rFonts w:ascii="Segoe UI Emoji" w:hAnsi="Segoe UI Emoji" w:cs="Segoe UI Emoji"/>
        </w:rPr>
        <w:t>✅</w:t>
      </w:r>
    </w:p>
    <w:p w14:paraId="4C73BF0F" w14:textId="77777777" w:rsidR="001C4317" w:rsidRPr="00A15E82" w:rsidRDefault="001C4317" w:rsidP="001C4317">
      <w:r w:rsidRPr="00A15E82">
        <w:rPr>
          <w:b/>
          <w:bCs/>
        </w:rPr>
        <w:t>4.3 Homoscedasticitatea</w:t>
      </w:r>
      <w:r w:rsidRPr="00A15E82">
        <w:t xml:space="preserve"> → Breusch-Pagan</w:t>
      </w:r>
    </w:p>
    <w:p w14:paraId="0F758595" w14:textId="77777777" w:rsidR="001C4317" w:rsidRPr="00A15E82" w:rsidRDefault="001C4317" w:rsidP="001C4317">
      <w:pPr>
        <w:numPr>
          <w:ilvl w:val="0"/>
          <w:numId w:val="5"/>
        </w:numPr>
      </w:pPr>
      <w:r w:rsidRPr="00A15E82">
        <w:t>H0: varianța erorilor este constantă</w:t>
      </w:r>
    </w:p>
    <w:p w14:paraId="2A926485" w14:textId="77777777" w:rsidR="001C4317" w:rsidRPr="00A15E82" w:rsidRDefault="001C4317" w:rsidP="001C4317">
      <w:pPr>
        <w:numPr>
          <w:ilvl w:val="0"/>
          <w:numId w:val="5"/>
        </w:numPr>
      </w:pPr>
      <w:r w:rsidRPr="00A15E82">
        <w:t xml:space="preserve">Dacă p &gt; 0.05 → ipoteza validată </w:t>
      </w:r>
      <w:r w:rsidRPr="00A15E82">
        <w:rPr>
          <w:rFonts w:ascii="Segoe UI Emoji" w:hAnsi="Segoe UI Emoji" w:cs="Segoe UI Emoji"/>
        </w:rPr>
        <w:t>✅</w:t>
      </w:r>
    </w:p>
    <w:p w14:paraId="4D270F6B" w14:textId="77777777" w:rsidR="001C4317" w:rsidRPr="00A15E82" w:rsidRDefault="001C4317" w:rsidP="001C4317">
      <w:r w:rsidRPr="00A15E82">
        <w:pict w14:anchorId="09D0C0DE">
          <v:rect id="_x0000_i1090" style="width:0;height:1.5pt" o:hralign="center" o:hrstd="t" o:hr="t" fillcolor="#a0a0a0" stroked="f"/>
        </w:pict>
      </w:r>
    </w:p>
    <w:p w14:paraId="6E875230" w14:textId="77777777" w:rsidR="001C4317" w:rsidRPr="00A15E82" w:rsidRDefault="001C4317" w:rsidP="001C4317">
      <w:pPr>
        <w:rPr>
          <w:b/>
          <w:bCs/>
        </w:rPr>
      </w:pPr>
      <w:r w:rsidRPr="00A15E82">
        <w:rPr>
          <w:b/>
          <w:bCs/>
        </w:rPr>
        <w:t>5. Multicoliniaritatea → VIF</w:t>
      </w:r>
    </w:p>
    <w:p w14:paraId="5868DEDE" w14:textId="77777777" w:rsidR="001C4317" w:rsidRPr="00A15E82" w:rsidRDefault="001C4317" w:rsidP="001C4317">
      <w:pPr>
        <w:numPr>
          <w:ilvl w:val="0"/>
          <w:numId w:val="6"/>
        </w:numPr>
      </w:pPr>
      <w:r w:rsidRPr="00A15E82">
        <w:t xml:space="preserve">VIF &lt; 5 → fără probleme </w:t>
      </w:r>
      <w:r w:rsidRPr="00A15E82">
        <w:rPr>
          <w:rFonts w:ascii="Segoe UI Emoji" w:hAnsi="Segoe UI Emoji" w:cs="Segoe UI Emoji"/>
        </w:rPr>
        <w:t>✅</w:t>
      </w:r>
    </w:p>
    <w:p w14:paraId="4A3AC5FC" w14:textId="77777777" w:rsidR="001C4317" w:rsidRPr="00A15E82" w:rsidRDefault="001C4317" w:rsidP="001C4317">
      <w:pPr>
        <w:numPr>
          <w:ilvl w:val="0"/>
          <w:numId w:val="6"/>
        </w:numPr>
      </w:pPr>
      <w:r w:rsidRPr="00A15E82">
        <w:t xml:space="preserve">VIF 5-10 → problematic </w:t>
      </w:r>
      <w:r w:rsidRPr="00A15E82">
        <w:rPr>
          <w:rFonts w:ascii="Segoe UI Emoji" w:hAnsi="Segoe UI Emoji" w:cs="Segoe UI Emoji"/>
        </w:rPr>
        <w:t>⚠️</w:t>
      </w:r>
    </w:p>
    <w:p w14:paraId="4BCA3E7F" w14:textId="77777777" w:rsidR="001C4317" w:rsidRPr="00A15E82" w:rsidRDefault="001C4317" w:rsidP="001C4317">
      <w:pPr>
        <w:numPr>
          <w:ilvl w:val="0"/>
          <w:numId w:val="6"/>
        </w:numPr>
      </w:pPr>
      <w:r w:rsidRPr="00A15E82">
        <w:t xml:space="preserve">VIF &gt; 10 → problemă gravă </w:t>
      </w:r>
      <w:r w:rsidRPr="00A15E82">
        <w:rPr>
          <w:rFonts w:ascii="Segoe UI Emoji" w:hAnsi="Segoe UI Emoji" w:cs="Segoe UI Emoji"/>
        </w:rPr>
        <w:t>❌</w:t>
      </w:r>
    </w:p>
    <w:p w14:paraId="28CC61D5" w14:textId="77777777" w:rsidR="001C4317" w:rsidRPr="00A15E82" w:rsidRDefault="001C4317" w:rsidP="001C4317">
      <w:r w:rsidRPr="00A15E82">
        <w:pict w14:anchorId="2883BC06">
          <v:rect id="_x0000_i1091" style="width:0;height:1.5pt" o:hralign="center" o:hrstd="t" o:hr="t" fillcolor="#a0a0a0" stroked="f"/>
        </w:pict>
      </w:r>
    </w:p>
    <w:p w14:paraId="43D1FE19" w14:textId="77777777" w:rsidR="001C4317" w:rsidRPr="00A15E82" w:rsidRDefault="001C4317" w:rsidP="001C4317">
      <w:pPr>
        <w:rPr>
          <w:b/>
          <w:bCs/>
        </w:rPr>
      </w:pPr>
      <w:r w:rsidRPr="00A15E82">
        <w:rPr>
          <w:b/>
          <w:bCs/>
        </w:rPr>
        <w:t>6. Evaluarea coeficienților</w:t>
      </w:r>
    </w:p>
    <w:p w14:paraId="6A0DD720" w14:textId="77777777" w:rsidR="001C4317" w:rsidRPr="00A15E82" w:rsidRDefault="001C4317" w:rsidP="001C4317">
      <w:pPr>
        <w:numPr>
          <w:ilvl w:val="0"/>
          <w:numId w:val="7"/>
        </w:numPr>
      </w:pPr>
      <w:r w:rsidRPr="00A15E82">
        <w:rPr>
          <w:b/>
          <w:bCs/>
        </w:rPr>
        <w:t>Semnul</w:t>
      </w:r>
      <w:r w:rsidRPr="00A15E82">
        <w:t xml:space="preserve"> coeficienților — conform așteptărilor?</w:t>
      </w:r>
    </w:p>
    <w:p w14:paraId="3002E2DB" w14:textId="77777777" w:rsidR="001C4317" w:rsidRPr="00A15E82" w:rsidRDefault="001C4317" w:rsidP="001C4317">
      <w:pPr>
        <w:numPr>
          <w:ilvl w:val="0"/>
          <w:numId w:val="7"/>
        </w:numPr>
      </w:pPr>
      <w:r w:rsidRPr="00A15E82">
        <w:rPr>
          <w:b/>
          <w:bCs/>
        </w:rPr>
        <w:t>Semnificația</w:t>
      </w:r>
      <w:r w:rsidRPr="00A15E82">
        <w:t xml:space="preserve"> — p-value &lt; 0.05?</w:t>
      </w:r>
    </w:p>
    <w:p w14:paraId="79C5CB8A" w14:textId="77777777" w:rsidR="001C4317" w:rsidRPr="00A15E82" w:rsidRDefault="001C4317" w:rsidP="001C4317">
      <w:pPr>
        <w:numPr>
          <w:ilvl w:val="0"/>
          <w:numId w:val="7"/>
        </w:numPr>
      </w:pPr>
      <w:r w:rsidRPr="00A15E82">
        <w:rPr>
          <w:b/>
          <w:bCs/>
        </w:rPr>
        <w:t>Interpretarea</w:t>
      </w:r>
      <w:r w:rsidRPr="00A15E82">
        <w:t xml:space="preserve"> — β × 100% modificare în salariu</w:t>
      </w:r>
    </w:p>
    <w:p w14:paraId="341E611F" w14:textId="77777777" w:rsidR="001C4317" w:rsidRPr="00A15E82" w:rsidRDefault="001C4317" w:rsidP="001C4317">
      <w:r w:rsidRPr="00A15E82">
        <w:pict w14:anchorId="60D0EE92">
          <v:rect id="_x0000_i1092" style="width:0;height:1.5pt" o:hralign="center" o:hrstd="t" o:hr="t" fillcolor="#a0a0a0" stroked="f"/>
        </w:pict>
      </w:r>
    </w:p>
    <w:p w14:paraId="0C80C2FF" w14:textId="77777777" w:rsidR="001C4317" w:rsidRPr="00A15E82" w:rsidRDefault="001C4317" w:rsidP="001C4317">
      <w:pPr>
        <w:rPr>
          <w:b/>
          <w:bCs/>
        </w:rPr>
      </w:pPr>
      <w:r w:rsidRPr="00A15E82">
        <w:rPr>
          <w:b/>
          <w:bCs/>
        </w:rPr>
        <w:t>7. Evaluarea modelului</w:t>
      </w:r>
    </w:p>
    <w:p w14:paraId="42C57738" w14:textId="77777777" w:rsidR="001C4317" w:rsidRPr="00A15E82" w:rsidRDefault="001C4317" w:rsidP="001C4317">
      <w:pPr>
        <w:numPr>
          <w:ilvl w:val="0"/>
          <w:numId w:val="8"/>
        </w:numPr>
      </w:pPr>
      <w:r w:rsidRPr="00A15E82">
        <w:rPr>
          <w:b/>
          <w:bCs/>
        </w:rPr>
        <w:t>R²</w:t>
      </w:r>
      <w:r w:rsidRPr="00A15E82">
        <w:t xml:space="preserve"> — cât din variația salariului este explicată</w:t>
      </w:r>
    </w:p>
    <w:p w14:paraId="2C7B7D3B" w14:textId="77777777" w:rsidR="001C4317" w:rsidRPr="00A15E82" w:rsidRDefault="001C4317" w:rsidP="001C4317">
      <w:pPr>
        <w:numPr>
          <w:ilvl w:val="0"/>
          <w:numId w:val="8"/>
        </w:numPr>
      </w:pPr>
      <w:r w:rsidRPr="00A15E82">
        <w:rPr>
          <w:b/>
          <w:bCs/>
        </w:rPr>
        <w:t>R² ajustat</w:t>
      </w:r>
      <w:r w:rsidRPr="00A15E82">
        <w:t xml:space="preserve"> — penalizează variabilele nesemnificative</w:t>
      </w:r>
    </w:p>
    <w:p w14:paraId="18800AC4" w14:textId="77777777" w:rsidR="001C4317" w:rsidRPr="00A15E82" w:rsidRDefault="001C4317" w:rsidP="001C4317">
      <w:pPr>
        <w:numPr>
          <w:ilvl w:val="0"/>
          <w:numId w:val="8"/>
        </w:numPr>
      </w:pPr>
      <w:r w:rsidRPr="00A15E82">
        <w:rPr>
          <w:b/>
          <w:bCs/>
        </w:rPr>
        <w:t>AIC și BIC</w:t>
      </w:r>
      <w:r w:rsidRPr="00A15E82">
        <w:t xml:space="preserve"> — pentru compararea modelelor între țări</w:t>
      </w:r>
    </w:p>
    <w:p w14:paraId="0329BBE0" w14:textId="77777777" w:rsidR="001C4317" w:rsidRPr="00A15E82" w:rsidRDefault="001C4317" w:rsidP="001C4317">
      <w:r w:rsidRPr="00A15E82">
        <w:lastRenderedPageBreak/>
        <w:pict w14:anchorId="4A5D4050">
          <v:rect id="_x0000_i1093" style="width:0;height:1.5pt" o:hralign="center" o:hrstd="t" o:hr="t" fillcolor="#a0a0a0" stroked="f"/>
        </w:pict>
      </w:r>
    </w:p>
    <w:p w14:paraId="73193C77" w14:textId="77777777" w:rsidR="001C4317" w:rsidRPr="00A15E82" w:rsidRDefault="001C4317" w:rsidP="001C4317">
      <w:pPr>
        <w:rPr>
          <w:b/>
          <w:bCs/>
        </w:rPr>
      </w:pPr>
      <w:r w:rsidRPr="00A15E82">
        <w:rPr>
          <w:b/>
          <w:bCs/>
        </w:rPr>
        <w:t>8. Prognoza</w:t>
      </w:r>
    </w:p>
    <w:p w14:paraId="2A319500" w14:textId="77777777" w:rsidR="001C4317" w:rsidRPr="00A15E82" w:rsidRDefault="001C4317" w:rsidP="001C4317">
      <w:pPr>
        <w:numPr>
          <w:ilvl w:val="0"/>
          <w:numId w:val="9"/>
        </w:numPr>
      </w:pPr>
      <w:r w:rsidRPr="00A15E82">
        <w:t>Interval de predicție pentru fiecare țară</w:t>
      </w:r>
    </w:p>
    <w:p w14:paraId="4B2DDD77" w14:textId="77777777" w:rsidR="001C4317" w:rsidRPr="00A15E82" w:rsidRDefault="001C4317" w:rsidP="001C4317">
      <w:pPr>
        <w:numPr>
          <w:ilvl w:val="0"/>
          <w:numId w:val="9"/>
        </w:numPr>
      </w:pPr>
      <w:r w:rsidRPr="00A15E82">
        <w:t>Compararea valorilor prognozate cu cele reale (fitted vs actual)</w:t>
      </w:r>
    </w:p>
    <w:p w14:paraId="39960E79" w14:textId="77777777" w:rsidR="001C4317" w:rsidRPr="00A15E82" w:rsidRDefault="001C4317" w:rsidP="001C4317">
      <w:r w:rsidRPr="00A15E82">
        <w:pict w14:anchorId="76791EC4">
          <v:rect id="_x0000_i1094" style="width:0;height:1.5pt" o:hralign="center" o:hrstd="t" o:hr="t" fillcolor="#a0a0a0" stroked="f"/>
        </w:pict>
      </w:r>
    </w:p>
    <w:p w14:paraId="4CB6158B" w14:textId="77777777" w:rsidR="001C4317" w:rsidRPr="00A15E82" w:rsidRDefault="001C4317" w:rsidP="001C4317">
      <w:pPr>
        <w:rPr>
          <w:b/>
          <w:bCs/>
        </w:rPr>
      </w:pPr>
      <w:r w:rsidRPr="00A15E82">
        <w:rPr>
          <w:b/>
          <w:bCs/>
        </w:rPr>
        <w:t>9. Interpretarea rezultatelor pe țări</w:t>
      </w:r>
    </w:p>
    <w:p w14:paraId="00654A52" w14:textId="77777777" w:rsidR="001C4317" w:rsidRPr="00A15E82" w:rsidRDefault="001C4317" w:rsidP="001C4317">
      <w:pPr>
        <w:numPr>
          <w:ilvl w:val="0"/>
          <w:numId w:val="10"/>
        </w:numPr>
      </w:pPr>
      <w:r w:rsidRPr="00A15E82">
        <w:t xml:space="preserve">Grupare în țări </w:t>
      </w:r>
      <w:r w:rsidRPr="00A15E82">
        <w:rPr>
          <w:b/>
          <w:bCs/>
        </w:rPr>
        <w:t>dezvoltate</w:t>
      </w:r>
      <w:r w:rsidRPr="00A15E82">
        <w:t xml:space="preserve"> vs </w:t>
      </w:r>
      <w:r w:rsidRPr="00A15E82">
        <w:rPr>
          <w:b/>
          <w:bCs/>
        </w:rPr>
        <w:t>în dezvoltare</w:t>
      </w:r>
    </w:p>
    <w:p w14:paraId="48E0D094" w14:textId="77777777" w:rsidR="001C4317" w:rsidRPr="00A15E82" w:rsidRDefault="001C4317" w:rsidP="001C4317">
      <w:pPr>
        <w:numPr>
          <w:ilvl w:val="0"/>
          <w:numId w:val="10"/>
        </w:numPr>
      </w:pPr>
      <w:r w:rsidRPr="00A15E82">
        <w:t>Concluzie generală: este R&amp;D un predictor semnificativ?</w:t>
      </w:r>
    </w:p>
    <w:p w14:paraId="43F20E4B" w14:textId="77777777" w:rsidR="008C6D1B" w:rsidRDefault="008C6D1B"/>
    <w:p w14:paraId="1CCCDCD4" w14:textId="77777777" w:rsidR="00F166A5" w:rsidRDefault="00F166A5"/>
    <w:p w14:paraId="1354DAA7" w14:textId="77777777" w:rsidR="00F166A5" w:rsidRPr="00F166A5" w:rsidRDefault="00F166A5" w:rsidP="00F166A5">
      <w:pPr>
        <w:rPr>
          <w:b/>
          <w:bCs/>
          <w:lang w:val="en-US"/>
        </w:rPr>
      </w:pPr>
      <w:r w:rsidRPr="00F166A5">
        <w:rPr>
          <w:b/>
          <w:bCs/>
          <w:lang w:val="en-US"/>
        </w:rPr>
        <w:t>Capitolul 3. Metodologia cercetării</w:t>
      </w:r>
    </w:p>
    <w:p w14:paraId="3954F80F" w14:textId="77777777" w:rsidR="00F166A5" w:rsidRPr="00F166A5" w:rsidRDefault="00F166A5" w:rsidP="00F166A5">
      <w:pPr>
        <w:rPr>
          <w:lang w:val="en-US"/>
        </w:rPr>
      </w:pPr>
      <w:r w:rsidRPr="00F166A5">
        <w:rPr>
          <w:lang w:val="en-US"/>
        </w:rPr>
        <w:pict w14:anchorId="76474085">
          <v:rect id="_x0000_i1211" style="width:0;height:1.5pt" o:hralign="center" o:hrstd="t" o:hr="t" fillcolor="#a0a0a0" stroked="f"/>
        </w:pict>
      </w:r>
    </w:p>
    <w:p w14:paraId="0BBD248E" w14:textId="77777777" w:rsidR="00F166A5" w:rsidRPr="00F166A5" w:rsidRDefault="00F166A5" w:rsidP="00F166A5">
      <w:pPr>
        <w:rPr>
          <w:b/>
          <w:bCs/>
          <w:lang w:val="en-US"/>
        </w:rPr>
      </w:pPr>
      <w:r w:rsidRPr="00F166A5">
        <w:rPr>
          <w:b/>
          <w:bCs/>
          <w:lang w:val="en-US"/>
        </w:rPr>
        <w:t>3.1 Modelul de regresie liniară multiplă</w:t>
      </w:r>
    </w:p>
    <w:p w14:paraId="72300B8A" w14:textId="77777777" w:rsidR="00F166A5" w:rsidRPr="00F166A5" w:rsidRDefault="00F166A5" w:rsidP="00F166A5">
      <w:pPr>
        <w:rPr>
          <w:lang w:val="en-US"/>
        </w:rPr>
      </w:pPr>
      <w:r w:rsidRPr="00F166A5">
        <w:rPr>
          <w:lang w:val="en-US"/>
        </w:rPr>
        <w:t>Regresia liniară multiplă reprezintă una dintre cele mai utilizate metode econometrice pentru analiza relațiilor cantitative dintre fenomenele economice. Conform lui Andrei și Bourbonnais (2008), modelul de regresie liniară multiplă descrie relația dintre o variabilă dependentă și mai multe variabile independente, permițând cuantificarea influenței fiecărui factor asupra variabilei de interes, în condițiile menținerii constante a celorlalți factori. Forma generală a modelului este:</w:t>
      </w:r>
    </w:p>
    <w:p w14:paraId="38379090" w14:textId="77777777" w:rsidR="00F166A5" w:rsidRPr="00F166A5" w:rsidRDefault="00F166A5" w:rsidP="00F166A5">
      <w:pPr>
        <w:rPr>
          <w:lang w:val="en-US"/>
        </w:rPr>
      </w:pPr>
      <w:r w:rsidRPr="00F166A5">
        <w:rPr>
          <w:i/>
          <w:iCs/>
          <w:lang w:val="en-US"/>
        </w:rPr>
        <w:t>y</w:t>
      </w:r>
      <w:r w:rsidRPr="00F166A5">
        <w:rPr>
          <w:rFonts w:ascii="Cambria Math" w:hAnsi="Cambria Math" w:cs="Cambria Math"/>
          <w:i/>
          <w:iCs/>
          <w:lang w:val="en-US"/>
        </w:rPr>
        <w:t>ₜ</w:t>
      </w:r>
      <w:r w:rsidRPr="00F166A5">
        <w:rPr>
          <w:i/>
          <w:iCs/>
          <w:lang w:val="en-US"/>
        </w:rPr>
        <w:t xml:space="preserve"> = </w:t>
      </w:r>
      <w:r w:rsidRPr="00F166A5">
        <w:rPr>
          <w:rFonts w:ascii="Calibri" w:hAnsi="Calibri" w:cs="Calibri"/>
          <w:i/>
          <w:iCs/>
          <w:lang w:val="en-US"/>
        </w:rPr>
        <w:t>β₀</w:t>
      </w:r>
      <w:r w:rsidRPr="00F166A5">
        <w:rPr>
          <w:i/>
          <w:iCs/>
          <w:lang w:val="en-US"/>
        </w:rPr>
        <w:t xml:space="preserve"> + </w:t>
      </w:r>
      <w:r w:rsidRPr="00F166A5">
        <w:rPr>
          <w:rFonts w:ascii="Calibri" w:hAnsi="Calibri" w:cs="Calibri"/>
          <w:i/>
          <w:iCs/>
          <w:lang w:val="en-US"/>
        </w:rPr>
        <w:t>β₁</w:t>
      </w:r>
      <w:r w:rsidRPr="00F166A5">
        <w:rPr>
          <w:i/>
          <w:iCs/>
          <w:lang w:val="en-US"/>
        </w:rPr>
        <w:t>x</w:t>
      </w:r>
      <w:r w:rsidRPr="00F166A5">
        <w:rPr>
          <w:rFonts w:ascii="Calibri" w:hAnsi="Calibri" w:cs="Calibri"/>
          <w:i/>
          <w:iCs/>
          <w:lang w:val="en-US"/>
        </w:rPr>
        <w:t>₁</w:t>
      </w:r>
      <w:r w:rsidRPr="00F166A5">
        <w:rPr>
          <w:rFonts w:ascii="Cambria Math" w:hAnsi="Cambria Math" w:cs="Cambria Math"/>
          <w:i/>
          <w:iCs/>
          <w:lang w:val="en-US"/>
        </w:rPr>
        <w:t>ₜ</w:t>
      </w:r>
      <w:r w:rsidRPr="00F166A5">
        <w:rPr>
          <w:i/>
          <w:iCs/>
          <w:lang w:val="en-US"/>
        </w:rPr>
        <w:t xml:space="preserve"> + </w:t>
      </w:r>
      <w:r w:rsidRPr="00F166A5">
        <w:rPr>
          <w:rFonts w:ascii="Calibri" w:hAnsi="Calibri" w:cs="Calibri"/>
          <w:i/>
          <w:iCs/>
          <w:lang w:val="en-US"/>
        </w:rPr>
        <w:t>β₂</w:t>
      </w:r>
      <w:r w:rsidRPr="00F166A5">
        <w:rPr>
          <w:i/>
          <w:iCs/>
          <w:lang w:val="en-US"/>
        </w:rPr>
        <w:t>x</w:t>
      </w:r>
      <w:r w:rsidRPr="00F166A5">
        <w:rPr>
          <w:rFonts w:ascii="Calibri" w:hAnsi="Calibri" w:cs="Calibri"/>
          <w:i/>
          <w:iCs/>
          <w:lang w:val="en-US"/>
        </w:rPr>
        <w:t>₂</w:t>
      </w:r>
      <w:r w:rsidRPr="00F166A5">
        <w:rPr>
          <w:rFonts w:ascii="Cambria Math" w:hAnsi="Cambria Math" w:cs="Cambria Math"/>
          <w:i/>
          <w:iCs/>
          <w:lang w:val="en-US"/>
        </w:rPr>
        <w:t>ₜ</w:t>
      </w:r>
      <w:r w:rsidRPr="00F166A5">
        <w:rPr>
          <w:i/>
          <w:iCs/>
          <w:lang w:val="en-US"/>
        </w:rPr>
        <w:t xml:space="preserve"> + ... + </w:t>
      </w:r>
      <w:r w:rsidRPr="00F166A5">
        <w:rPr>
          <w:rFonts w:ascii="Calibri" w:hAnsi="Calibri" w:cs="Calibri"/>
          <w:i/>
          <w:iCs/>
          <w:lang w:val="en-US"/>
        </w:rPr>
        <w:t>β</w:t>
      </w:r>
      <w:r w:rsidRPr="00F166A5">
        <w:rPr>
          <w:rFonts w:ascii="Cambria Math" w:hAnsi="Cambria Math" w:cs="Cambria Math"/>
          <w:i/>
          <w:iCs/>
          <w:lang w:val="en-US"/>
        </w:rPr>
        <w:t>ₖ</w:t>
      </w:r>
      <w:r w:rsidRPr="00F166A5">
        <w:rPr>
          <w:i/>
          <w:iCs/>
          <w:lang w:val="en-US"/>
        </w:rPr>
        <w:t>x</w:t>
      </w:r>
      <w:r w:rsidRPr="00F166A5">
        <w:rPr>
          <w:rFonts w:ascii="Cambria Math" w:hAnsi="Cambria Math" w:cs="Cambria Math"/>
          <w:i/>
          <w:iCs/>
          <w:lang w:val="en-US"/>
        </w:rPr>
        <w:t>ₖₜ</w:t>
      </w:r>
      <w:r w:rsidRPr="00F166A5">
        <w:rPr>
          <w:i/>
          <w:iCs/>
          <w:lang w:val="en-US"/>
        </w:rPr>
        <w:t xml:space="preserve"> + </w:t>
      </w:r>
      <w:r w:rsidRPr="00F166A5">
        <w:rPr>
          <w:rFonts w:ascii="Calibri" w:hAnsi="Calibri" w:cs="Calibri"/>
          <w:i/>
          <w:iCs/>
          <w:lang w:val="en-US"/>
        </w:rPr>
        <w:t>ε</w:t>
      </w:r>
      <w:r w:rsidRPr="00F166A5">
        <w:rPr>
          <w:rFonts w:ascii="Cambria Math" w:hAnsi="Cambria Math" w:cs="Cambria Math"/>
          <w:i/>
          <w:iCs/>
          <w:lang w:val="en-US"/>
        </w:rPr>
        <w:t>ₜ</w:t>
      </w:r>
    </w:p>
    <w:p w14:paraId="46B1BFA6" w14:textId="77777777" w:rsidR="00F166A5" w:rsidRPr="00F166A5" w:rsidRDefault="00F166A5" w:rsidP="00F166A5">
      <w:pPr>
        <w:rPr>
          <w:lang w:val="en-US"/>
        </w:rPr>
      </w:pPr>
      <w:r w:rsidRPr="00F166A5">
        <w:rPr>
          <w:lang w:val="en-US"/>
        </w:rPr>
        <w:t xml:space="preserve">unde </w:t>
      </w:r>
      <w:r w:rsidRPr="00F166A5">
        <w:rPr>
          <w:i/>
          <w:iCs/>
          <w:lang w:val="en-US"/>
        </w:rPr>
        <w:t>y</w:t>
      </w:r>
      <w:r w:rsidRPr="00F166A5">
        <w:rPr>
          <w:rFonts w:ascii="Cambria Math" w:hAnsi="Cambria Math" w:cs="Cambria Math"/>
          <w:i/>
          <w:iCs/>
          <w:lang w:val="en-US"/>
        </w:rPr>
        <w:t>ₜ</w:t>
      </w:r>
      <w:r w:rsidRPr="00F166A5">
        <w:rPr>
          <w:lang w:val="en-US"/>
        </w:rPr>
        <w:t xml:space="preserve"> reprezintă variabila dependentă, </w:t>
      </w:r>
      <w:r w:rsidRPr="00F166A5">
        <w:rPr>
          <w:i/>
          <w:iCs/>
          <w:lang w:val="en-US"/>
        </w:rPr>
        <w:t>x₁</w:t>
      </w:r>
      <w:r w:rsidRPr="00F166A5">
        <w:rPr>
          <w:rFonts w:ascii="Cambria Math" w:hAnsi="Cambria Math" w:cs="Cambria Math"/>
          <w:i/>
          <w:iCs/>
          <w:lang w:val="en-US"/>
        </w:rPr>
        <w:t>ₜ</w:t>
      </w:r>
      <w:r w:rsidRPr="00F166A5">
        <w:rPr>
          <w:i/>
          <w:iCs/>
          <w:lang w:val="en-US"/>
        </w:rPr>
        <w:t>, x</w:t>
      </w:r>
      <w:r w:rsidRPr="00F166A5">
        <w:rPr>
          <w:rFonts w:ascii="Calibri" w:hAnsi="Calibri" w:cs="Calibri"/>
          <w:i/>
          <w:iCs/>
          <w:lang w:val="en-US"/>
        </w:rPr>
        <w:t>₂</w:t>
      </w:r>
      <w:r w:rsidRPr="00F166A5">
        <w:rPr>
          <w:rFonts w:ascii="Cambria Math" w:hAnsi="Cambria Math" w:cs="Cambria Math"/>
          <w:i/>
          <w:iCs/>
          <w:lang w:val="en-US"/>
        </w:rPr>
        <w:t>ₜ</w:t>
      </w:r>
      <w:r w:rsidRPr="00F166A5">
        <w:rPr>
          <w:i/>
          <w:iCs/>
          <w:lang w:val="en-US"/>
        </w:rPr>
        <w:t>, ..., x</w:t>
      </w:r>
      <w:r w:rsidRPr="00F166A5">
        <w:rPr>
          <w:rFonts w:ascii="Cambria Math" w:hAnsi="Cambria Math" w:cs="Cambria Math"/>
          <w:i/>
          <w:iCs/>
          <w:lang w:val="en-US"/>
        </w:rPr>
        <w:t>ₖₜ</w:t>
      </w:r>
      <w:r w:rsidRPr="00F166A5">
        <w:rPr>
          <w:lang w:val="en-US"/>
        </w:rPr>
        <w:t xml:space="preserve"> sunt variabilele independente, </w:t>
      </w:r>
      <w:r w:rsidRPr="00F166A5">
        <w:rPr>
          <w:i/>
          <w:iCs/>
          <w:lang w:val="en-US"/>
        </w:rPr>
        <w:t>β₀</w:t>
      </w:r>
      <w:r w:rsidRPr="00F166A5">
        <w:rPr>
          <w:lang w:val="en-US"/>
        </w:rPr>
        <w:t xml:space="preserve"> este constanta modelului, </w:t>
      </w:r>
      <w:r w:rsidRPr="00F166A5">
        <w:rPr>
          <w:i/>
          <w:iCs/>
          <w:lang w:val="en-US"/>
        </w:rPr>
        <w:t>β₁, β₂, ..., β</w:t>
      </w:r>
      <w:r w:rsidRPr="00F166A5">
        <w:rPr>
          <w:rFonts w:ascii="Cambria Math" w:hAnsi="Cambria Math" w:cs="Cambria Math"/>
          <w:i/>
          <w:iCs/>
          <w:lang w:val="en-US"/>
        </w:rPr>
        <w:t>ₖ</w:t>
      </w:r>
      <w:r w:rsidRPr="00F166A5">
        <w:rPr>
          <w:lang w:val="en-US"/>
        </w:rPr>
        <w:t xml:space="preserve"> sunt coeficienții de regresie, </w:t>
      </w:r>
      <w:r w:rsidRPr="00F166A5">
        <w:rPr>
          <w:i/>
          <w:iCs/>
          <w:lang w:val="en-US"/>
        </w:rPr>
        <w:t>ε</w:t>
      </w:r>
      <w:r w:rsidRPr="00F166A5">
        <w:rPr>
          <w:rFonts w:ascii="Cambria Math" w:hAnsi="Cambria Math" w:cs="Cambria Math"/>
          <w:i/>
          <w:iCs/>
          <w:lang w:val="en-US"/>
        </w:rPr>
        <w:t>ₜ</w:t>
      </w:r>
      <w:r w:rsidRPr="00F166A5">
        <w:rPr>
          <w:lang w:val="en-US"/>
        </w:rPr>
        <w:t xml:space="preserve"> este termenul de eroare, iar </w:t>
      </w:r>
      <w:r w:rsidRPr="00F166A5">
        <w:rPr>
          <w:i/>
          <w:iCs/>
          <w:lang w:val="en-US"/>
        </w:rPr>
        <w:t>t = 1, 2, ..., T</w:t>
      </w:r>
      <w:r w:rsidRPr="00F166A5">
        <w:rPr>
          <w:lang w:val="en-US"/>
        </w:rPr>
        <w:t xml:space="preserve"> reprezintă numărul de observații. Coeficienții de regresie βᵢ măsoară modificarea medie a variabilei dependente la o variație cu o unitate a variabilei independente xᵢ, în condițiile în care toate celelalte variabile independente rămân constante, principiu cunoscut în literatura de specialitate drept </w:t>
      </w:r>
      <w:r w:rsidRPr="00F166A5">
        <w:rPr>
          <w:i/>
          <w:iCs/>
          <w:lang w:val="en-US"/>
        </w:rPr>
        <w:t>ceteris paribus</w:t>
      </w:r>
      <w:r w:rsidRPr="00F166A5">
        <w:rPr>
          <w:lang w:val="en-US"/>
        </w:rPr>
        <w:t xml:space="preserve"> (Andrei și Bourbonnais, 2008).</w:t>
      </w:r>
    </w:p>
    <w:p w14:paraId="2C122D41" w14:textId="77777777" w:rsidR="00F166A5" w:rsidRPr="00F166A5" w:rsidRDefault="00F166A5" w:rsidP="00F166A5">
      <w:pPr>
        <w:rPr>
          <w:lang w:val="en-US"/>
        </w:rPr>
      </w:pPr>
      <w:r w:rsidRPr="00F166A5">
        <w:rPr>
          <w:lang w:val="en-US"/>
        </w:rPr>
        <w:t xml:space="preserve">Validitatea estimatorilor este condiționată de îndeplinirea ipotezelor clasice ale modelului de regresie liniară. Andrei și Bourbonnais (2008) formulează aceste ipoteze după cum urmează: relația dintre variabila dependentă și variabilele independente este liniară în parametri; variabilele independente sunt necorelate cu termenul de eroare; varianța termenului de eroare </w:t>
      </w:r>
      <w:r w:rsidRPr="00F166A5">
        <w:rPr>
          <w:lang w:val="en-US"/>
        </w:rPr>
        <w:lastRenderedPageBreak/>
        <w:t>este constantă, proprietate denumită homoscedasticitate; termenii de eroare nu sunt corelați între ei, adică nu există autocorelare; termenii de eroare urmează o distribuție normală; variabilele independente nu sunt perfect corelate între ele, adică nu există multicoliniaritate perfectă. Dacă aceste ipoteze sunt îndeplinite, estimatorii obținuți prin metoda celor mai mici pătrate sunt liniari, nebiasați și au varianță minimă, proprietate cunoscută în literatura de specialitate drept teorema Gauss-Markov (Andrei și Bourbonnais, 2008).</w:t>
      </w:r>
    </w:p>
    <w:p w14:paraId="505EEA4F" w14:textId="77777777" w:rsidR="00F166A5" w:rsidRPr="00F166A5" w:rsidRDefault="00F166A5" w:rsidP="00F166A5">
      <w:pPr>
        <w:rPr>
          <w:lang w:val="en-US"/>
        </w:rPr>
      </w:pPr>
      <w:r w:rsidRPr="00F166A5">
        <w:rPr>
          <w:lang w:val="en-US"/>
        </w:rPr>
        <w:t>Parametrii modelului au fost estimați prin metoda celor mai mici pătrate, care determină valorile coeficienților β prin minimizarea sumei pătratelor diferențelor dintre valorile observate și cele estimate ale variabilei dependente. Andrei și Bourbonnais (2008) demonstrează că soluția acestei probleme de minimizare conduce la estimatori cu proprietăți statistice optime în condițiile respectării ipotezelor clasice.</w:t>
      </w:r>
    </w:p>
    <w:p w14:paraId="644FAE6A" w14:textId="77777777" w:rsidR="00F166A5" w:rsidRPr="00F166A5" w:rsidRDefault="00F166A5" w:rsidP="00F166A5">
      <w:pPr>
        <w:rPr>
          <w:lang w:val="en-US"/>
        </w:rPr>
      </w:pPr>
      <w:r w:rsidRPr="00F166A5">
        <w:rPr>
          <w:lang w:val="en-US"/>
        </w:rPr>
        <w:pict w14:anchorId="26833736">
          <v:rect id="_x0000_i1212" style="width:0;height:1.5pt" o:hralign="center" o:hrstd="t" o:hr="t" fillcolor="#a0a0a0" stroked="f"/>
        </w:pict>
      </w:r>
    </w:p>
    <w:p w14:paraId="5FE310EA" w14:textId="77777777" w:rsidR="00F166A5" w:rsidRPr="00F166A5" w:rsidRDefault="00F166A5" w:rsidP="00F166A5">
      <w:pPr>
        <w:rPr>
          <w:b/>
          <w:bCs/>
          <w:lang w:val="en-US"/>
        </w:rPr>
      </w:pPr>
      <w:r w:rsidRPr="00F166A5">
        <w:rPr>
          <w:b/>
          <w:bCs/>
          <w:lang w:val="en-US"/>
        </w:rPr>
        <w:t>3.2 Transformarea logaritmică a variabilei dependente</w:t>
      </w:r>
    </w:p>
    <w:p w14:paraId="250CDD3E" w14:textId="77777777" w:rsidR="00F166A5" w:rsidRPr="00F166A5" w:rsidRDefault="00F166A5" w:rsidP="00F166A5">
      <w:pPr>
        <w:rPr>
          <w:lang w:val="en-US"/>
        </w:rPr>
      </w:pPr>
      <w:r w:rsidRPr="00F166A5">
        <w:rPr>
          <w:lang w:val="en-US"/>
        </w:rPr>
        <w:t>În vederea îmbunătățirii proprietăților statistice ale modelului, variabila dependentă a fost supusă unei transformări logaritmice înainte de estimarea modelului. Andrei și Bourbonnais (2008) justifică această transformare prin mai multe avantaje. În primul rând, transformarea logaritmică stabilizează varianța seriei, reducând heteroscedasticitatea frecvent întâlnită în datele economice. În al doilea rând, reduce asimetria distribuției, apropiind-o de distribuția normală. În al treilea rând, permite o interpretare directă a coeficienților în termeni procentuali. Astfel, modelul estimat devine:</w:t>
      </w:r>
    </w:p>
    <w:p w14:paraId="79904D24" w14:textId="77777777" w:rsidR="00F166A5" w:rsidRPr="00F166A5" w:rsidRDefault="00F166A5" w:rsidP="00F166A5">
      <w:pPr>
        <w:rPr>
          <w:lang w:val="en-US"/>
        </w:rPr>
      </w:pPr>
      <w:r w:rsidRPr="00F166A5">
        <w:rPr>
          <w:i/>
          <w:iCs/>
          <w:lang w:val="en-US"/>
        </w:rPr>
        <w:t>Δln(y</w:t>
      </w:r>
      <w:r w:rsidRPr="00F166A5">
        <w:rPr>
          <w:rFonts w:ascii="Cambria Math" w:hAnsi="Cambria Math" w:cs="Cambria Math"/>
          <w:i/>
          <w:iCs/>
          <w:lang w:val="en-US"/>
        </w:rPr>
        <w:t>ₜ</w:t>
      </w:r>
      <w:r w:rsidRPr="00F166A5">
        <w:rPr>
          <w:i/>
          <w:iCs/>
          <w:lang w:val="en-US"/>
        </w:rPr>
        <w:t xml:space="preserve">) = </w:t>
      </w:r>
      <w:r w:rsidRPr="00F166A5">
        <w:rPr>
          <w:rFonts w:ascii="Calibri" w:hAnsi="Calibri" w:cs="Calibri"/>
          <w:i/>
          <w:iCs/>
          <w:lang w:val="en-US"/>
        </w:rPr>
        <w:t>β₀</w:t>
      </w:r>
      <w:r w:rsidRPr="00F166A5">
        <w:rPr>
          <w:i/>
          <w:iCs/>
          <w:lang w:val="en-US"/>
        </w:rPr>
        <w:t xml:space="preserve"> + </w:t>
      </w:r>
      <w:r w:rsidRPr="00F166A5">
        <w:rPr>
          <w:rFonts w:ascii="Calibri" w:hAnsi="Calibri" w:cs="Calibri"/>
          <w:i/>
          <w:iCs/>
          <w:lang w:val="en-US"/>
        </w:rPr>
        <w:t>β₁Δ</w:t>
      </w:r>
      <w:r w:rsidRPr="00F166A5">
        <w:rPr>
          <w:i/>
          <w:iCs/>
          <w:lang w:val="en-US"/>
        </w:rPr>
        <w:t>x</w:t>
      </w:r>
      <w:r w:rsidRPr="00F166A5">
        <w:rPr>
          <w:rFonts w:ascii="Calibri" w:hAnsi="Calibri" w:cs="Calibri"/>
          <w:i/>
          <w:iCs/>
          <w:lang w:val="en-US"/>
        </w:rPr>
        <w:t>₁</w:t>
      </w:r>
      <w:r w:rsidRPr="00F166A5">
        <w:rPr>
          <w:rFonts w:ascii="Cambria Math" w:hAnsi="Cambria Math" w:cs="Cambria Math"/>
          <w:i/>
          <w:iCs/>
          <w:lang w:val="en-US"/>
        </w:rPr>
        <w:t>ₜ</w:t>
      </w:r>
      <w:r w:rsidRPr="00F166A5">
        <w:rPr>
          <w:i/>
          <w:iCs/>
          <w:lang w:val="en-US"/>
        </w:rPr>
        <w:t xml:space="preserve"> + </w:t>
      </w:r>
      <w:r w:rsidRPr="00F166A5">
        <w:rPr>
          <w:rFonts w:ascii="Calibri" w:hAnsi="Calibri" w:cs="Calibri"/>
          <w:i/>
          <w:iCs/>
          <w:lang w:val="en-US"/>
        </w:rPr>
        <w:t>ε</w:t>
      </w:r>
      <w:r w:rsidRPr="00F166A5">
        <w:rPr>
          <w:rFonts w:ascii="Cambria Math" w:hAnsi="Cambria Math" w:cs="Cambria Math"/>
          <w:i/>
          <w:iCs/>
          <w:lang w:val="en-US"/>
        </w:rPr>
        <w:t>ₜ</w:t>
      </w:r>
    </w:p>
    <w:p w14:paraId="2FEC5212" w14:textId="77777777" w:rsidR="00F166A5" w:rsidRPr="00F166A5" w:rsidRDefault="00F166A5" w:rsidP="00F166A5">
      <w:pPr>
        <w:rPr>
          <w:lang w:val="en-US"/>
        </w:rPr>
      </w:pPr>
      <w:r w:rsidRPr="00F166A5">
        <w:rPr>
          <w:lang w:val="en-US"/>
        </w:rPr>
        <w:t>Interpretarea coeficientului β₁ în acest model este următoarea: o creștere cu un punct procentual a variabilei independente este asociată cu o modificare de β₁ × 100% a variabilei dependente, celelalte condiții rămânând nemodificate (Andrei și Bourbonnais, 2008).</w:t>
      </w:r>
    </w:p>
    <w:p w14:paraId="181536E9" w14:textId="77777777" w:rsidR="00F166A5" w:rsidRPr="00F166A5" w:rsidRDefault="00F166A5" w:rsidP="00F166A5">
      <w:pPr>
        <w:rPr>
          <w:lang w:val="en-US"/>
        </w:rPr>
      </w:pPr>
      <w:r w:rsidRPr="00F166A5">
        <w:rPr>
          <w:lang w:val="en-US"/>
        </w:rPr>
        <w:pict w14:anchorId="12E9E710">
          <v:rect id="_x0000_i1213" style="width:0;height:1.5pt" o:hralign="center" o:hrstd="t" o:hr="t" fillcolor="#a0a0a0" stroked="f"/>
        </w:pict>
      </w:r>
    </w:p>
    <w:p w14:paraId="00E84F3B" w14:textId="77777777" w:rsidR="00F166A5" w:rsidRPr="00F166A5" w:rsidRDefault="00F166A5" w:rsidP="00F166A5">
      <w:pPr>
        <w:rPr>
          <w:b/>
          <w:bCs/>
          <w:lang w:val="en-US"/>
        </w:rPr>
      </w:pPr>
      <w:r w:rsidRPr="00F166A5">
        <w:rPr>
          <w:b/>
          <w:bCs/>
          <w:lang w:val="en-US"/>
        </w:rPr>
        <w:t>3.3 Testarea stationarității seriilor de timp</w:t>
      </w:r>
    </w:p>
    <w:p w14:paraId="6B3441F4" w14:textId="77777777" w:rsidR="00F166A5" w:rsidRPr="00F166A5" w:rsidRDefault="00F166A5" w:rsidP="00F166A5">
      <w:pPr>
        <w:rPr>
          <w:lang w:val="en-US"/>
        </w:rPr>
      </w:pPr>
      <w:r w:rsidRPr="00F166A5">
        <w:rPr>
          <w:lang w:val="en-US"/>
        </w:rPr>
        <w:t xml:space="preserve">Întrucât analiza se realizează pe date de tip serie de timp, o condiție fundamentală pentru validitatea modelului de regresie este stationaritatea variabilelor. Hamilton (1994) definește o serie de timp ca fiind stationară dacă media, varianța și structura de autocorelare sunt constante în timp. Enders (2004) și Hamilton (1994) avertizează că utilizarea variabilelor nestationare în regresie poate conduce la regresia falsă, fenomen caracterizat prin valori ridicate ale coeficientului de determinare și statistici de test aparent semnificative, în absența unei relații reale între variabile. Granger și Newbold (1974) propun ca regulă practică de detectare a </w:t>
      </w:r>
      <w:r w:rsidRPr="00F166A5">
        <w:rPr>
          <w:lang w:val="en-US"/>
        </w:rPr>
        <w:lastRenderedPageBreak/>
        <w:t>regresiei false condiția în care coeficientul de determinare depășește valoarea statisticii Durbin-Watson.</w:t>
      </w:r>
    </w:p>
    <w:p w14:paraId="4ED31E55" w14:textId="77777777" w:rsidR="00F166A5" w:rsidRPr="00F166A5" w:rsidRDefault="00F166A5" w:rsidP="00F166A5">
      <w:pPr>
        <w:rPr>
          <w:lang w:val="en-US"/>
        </w:rPr>
      </w:pPr>
      <w:r w:rsidRPr="00F166A5">
        <w:rPr>
          <w:lang w:val="en-US"/>
        </w:rPr>
        <w:t>Stationaritatea fiecărei variabile a fost testată prin două teste complementare cu ipoteze nule opuse. Primul este testul Augmented Dickey-Fuller, care testează ipoteza nulă că seria conține o rădăcină unitară și este nestationară, față de ipoteza alternativă că seria este stationară. Respingerea ipotezei nule la un nivel de semnificație de 5% indică stationaritatea seriei (Enders, 2004). Al doilea este testul Kwiatkowski-Phillips-Schmidt-Shin, care testează ipoteza nulă că seria este stationară, față de ipoteza alternativă că seria este nestationară. Utilizarea simultană a celor două teste permite obținerea unor concluzii mai robuste, dat fiind că ipotezele nule sunt opuse, rezultatele concordante ale ambelor teste conferind un grad mai ridicat de certitudine concluziei privind stationaritatea sau nestationaritatea seriei (Popescu, 2000; Chatfield, 1996).</w:t>
      </w:r>
    </w:p>
    <w:p w14:paraId="143F8F74" w14:textId="77777777" w:rsidR="00F166A5" w:rsidRPr="00F166A5" w:rsidRDefault="00F166A5" w:rsidP="00F166A5">
      <w:pPr>
        <w:rPr>
          <w:lang w:val="en-US"/>
        </w:rPr>
      </w:pPr>
      <w:r w:rsidRPr="00F166A5">
        <w:rPr>
          <w:lang w:val="en-US"/>
        </w:rPr>
        <w:pict w14:anchorId="32521F7D">
          <v:rect id="_x0000_i1214" style="width:0;height:1.5pt" o:hralign="center" o:hrstd="t" o:hr="t" fillcolor="#a0a0a0" stroked="f"/>
        </w:pict>
      </w:r>
    </w:p>
    <w:p w14:paraId="656F102F" w14:textId="77777777" w:rsidR="00F166A5" w:rsidRPr="00F166A5" w:rsidRDefault="00F166A5" w:rsidP="00F166A5">
      <w:pPr>
        <w:rPr>
          <w:b/>
          <w:bCs/>
          <w:lang w:val="en-US"/>
        </w:rPr>
      </w:pPr>
      <w:r w:rsidRPr="00F166A5">
        <w:rPr>
          <w:b/>
          <w:bCs/>
          <w:lang w:val="en-US"/>
        </w:rPr>
        <w:t>3.4 Diferențierea seriilor nestationare și testarea cointegrării</w:t>
      </w:r>
    </w:p>
    <w:p w14:paraId="70CCBA01" w14:textId="77777777" w:rsidR="00F166A5" w:rsidRPr="00F166A5" w:rsidRDefault="00F166A5" w:rsidP="00F166A5">
      <w:pPr>
        <w:rPr>
          <w:lang w:val="en-US"/>
        </w:rPr>
      </w:pPr>
      <w:r w:rsidRPr="00F166A5">
        <w:rPr>
          <w:lang w:val="en-US"/>
        </w:rPr>
        <w:t>În cazul în care variabilele s-au dovedit a fi nestationare de ordinul întâi, a fost aplicat operatorul de diferențiere pentru a induce stationaritatea. Enders (2004) definește prima diferență a unei serii de timp ca diferența dintre valoarea curentă și valoarea anterioară a seriei. Chatfield (1996) precizează că diferențierea elimină trendul stochastic al seriei, transformând o serie nestationară de ordinul întâi într-o serie stationară. În cazul variabilei dependente log-transformate, prima diferență a logaritmului reprezintă rata de creștere a variabilei, ceea ce conferă o interpretare economică intuitivă rezultatelor modelului.</w:t>
      </w:r>
    </w:p>
    <w:p w14:paraId="7908BDE2" w14:textId="77777777" w:rsidR="00F166A5" w:rsidRPr="00F166A5" w:rsidRDefault="00F166A5" w:rsidP="00F166A5">
      <w:pPr>
        <w:rPr>
          <w:lang w:val="en-US"/>
        </w:rPr>
      </w:pPr>
      <w:r w:rsidRPr="00F166A5">
        <w:rPr>
          <w:lang w:val="en-US"/>
        </w:rPr>
        <w:t>Înainte de aplicarea diferențierii, a fost testată existența unei relații de cointegrare între variabile. Hamilton (1994) și Enders (2004) definesc cointegrarea ca proprietatea a două sau mai multe serii nestationare de ordinul întâi de a avea o combinație liniară stationară, indicând existența unei relații de echilibru pe termen lung între acestea. În acest scop a fost aplicată procedura Johansen (1991), care utilizează testul urmei pentru a verifica ipoteza nulă că nu există nicio relație de cointegrare între variabile. Factorul decizional îl reprezintă compararea statisticii test cu valorile critice la pragul de semnificație de 5% (Popescu, 2000). În absența cointegrării, Enders (2004) recomandă estimarea modelului pe primele diferențe ale variabilelor, cu mențiunea că relațiile pe termen lung nu pot fi identificate în acest caz.</w:t>
      </w:r>
    </w:p>
    <w:p w14:paraId="5F697B50" w14:textId="77777777" w:rsidR="00F166A5" w:rsidRPr="00F166A5" w:rsidRDefault="00F166A5" w:rsidP="00F166A5">
      <w:pPr>
        <w:rPr>
          <w:lang w:val="en-US"/>
        </w:rPr>
      </w:pPr>
      <w:r w:rsidRPr="00F166A5">
        <w:rPr>
          <w:lang w:val="en-US"/>
        </w:rPr>
        <w:pict w14:anchorId="138ECD9D">
          <v:rect id="_x0000_i1215" style="width:0;height:1.5pt" o:hralign="center" o:hrstd="t" o:hr="t" fillcolor="#a0a0a0" stroked="f"/>
        </w:pict>
      </w:r>
    </w:p>
    <w:p w14:paraId="6CACA1C6" w14:textId="77777777" w:rsidR="00F166A5" w:rsidRPr="00F166A5" w:rsidRDefault="00F166A5" w:rsidP="00F166A5">
      <w:pPr>
        <w:rPr>
          <w:b/>
          <w:bCs/>
          <w:lang w:val="en-US"/>
        </w:rPr>
      </w:pPr>
      <w:r w:rsidRPr="00F166A5">
        <w:rPr>
          <w:b/>
          <w:bCs/>
          <w:lang w:val="en-US"/>
        </w:rPr>
        <w:t>3.5 Verificarea ipotezelor modelului</w:t>
      </w:r>
    </w:p>
    <w:p w14:paraId="35C7107B" w14:textId="77777777" w:rsidR="00F166A5" w:rsidRPr="00F166A5" w:rsidRDefault="00F166A5" w:rsidP="00F166A5">
      <w:pPr>
        <w:rPr>
          <w:lang w:val="en-US"/>
        </w:rPr>
      </w:pPr>
      <w:r w:rsidRPr="00F166A5">
        <w:rPr>
          <w:lang w:val="en-US"/>
        </w:rPr>
        <w:t xml:space="preserve">Validitatea modelului estimat a fost verificată prin testarea ipotezelor clasice ale regresiei liniare. Normalitatea erorilor a fost testată prin testul Jarque-Bera, care verifică ipoteza nulă că reziduurile urmează o distribuție normală pe baza coeficienților de asimetrie și exces de </w:t>
      </w:r>
      <w:r w:rsidRPr="00F166A5">
        <w:rPr>
          <w:lang w:val="en-US"/>
        </w:rPr>
        <w:lastRenderedPageBreak/>
        <w:t>aplatizare. Andrei și Bourbonnais (2008) precizează că nerespectarea acestei ipoteze afectează validitatea testelor de semnificație în eșantioane mici, fără a invalida însă estimările modelului.</w:t>
      </w:r>
    </w:p>
    <w:p w14:paraId="30D019B9" w14:textId="77777777" w:rsidR="00F166A5" w:rsidRPr="00F166A5" w:rsidRDefault="00F166A5" w:rsidP="00F166A5">
      <w:pPr>
        <w:rPr>
          <w:lang w:val="en-US"/>
        </w:rPr>
      </w:pPr>
      <w:r w:rsidRPr="00F166A5">
        <w:rPr>
          <w:lang w:val="en-US"/>
        </w:rPr>
        <w:t>Autocorелarea erorilor a fost investigată prin testul Durbin-Watson, care detectează autocorелarea de ordinul întâi, și prin testul Breusch-Godfrey, care permite identificarea autocorелării de ordin superior. Ipoteza nulă a ambelor teste este absența autocorелării reziduurilor (Andrei și Bourbonnais, 2008). Prezența autocorелării conduce la estimatori ineficienți și intervale de încredere incorecte, fără a afecta însă proprietatea de nebiasare a acestora.</w:t>
      </w:r>
    </w:p>
    <w:p w14:paraId="3A779C48" w14:textId="77777777" w:rsidR="00F166A5" w:rsidRPr="00F166A5" w:rsidRDefault="00F166A5" w:rsidP="00F166A5">
      <w:pPr>
        <w:rPr>
          <w:lang w:val="en-US"/>
        </w:rPr>
      </w:pPr>
      <w:r w:rsidRPr="00F166A5">
        <w:rPr>
          <w:lang w:val="en-US"/>
        </w:rPr>
        <w:t>Homoscedasticitatea, adică constanța varianței erorilor, a fost testată prin testul Breusch-Pagan, care verifică ipoteza nulă că varianța reziduurilor este constantă. Peña, Tiao și Tsay (2001) precizează că heteroscedasticitatea conduce la estimatori ineficienți și statistici de test invalide, recomandând utilizarea erorilor standard robuste în cazul respingerii ipotezei nule.</w:t>
      </w:r>
    </w:p>
    <w:p w14:paraId="19B35A57" w14:textId="77777777" w:rsidR="00F166A5" w:rsidRPr="00F166A5" w:rsidRDefault="00F166A5" w:rsidP="00F166A5">
      <w:pPr>
        <w:rPr>
          <w:lang w:val="en-US"/>
        </w:rPr>
      </w:pPr>
      <w:r w:rsidRPr="00F166A5">
        <w:rPr>
          <w:lang w:val="en-US"/>
        </w:rPr>
        <w:t>Multicoliniaritatea, respectiv gradul de corelare dintre variabilele independente, a fost evaluată prin factorul de inflare a varianței. Andrei și Bourbonnais (2008) stabilesc că valori ale acestui factor sub 5 indică absența multicoliniarității, valorile între 5 și 10 semnalează o problemă moderată, iar valorile peste 10 indică o multicoliniaritate gravă care afectează stabilitatea estimatorilor.</w:t>
      </w:r>
    </w:p>
    <w:p w14:paraId="109D6977" w14:textId="77777777" w:rsidR="00F166A5" w:rsidRPr="00F166A5" w:rsidRDefault="00F166A5" w:rsidP="00F166A5">
      <w:pPr>
        <w:rPr>
          <w:lang w:val="en-US"/>
        </w:rPr>
      </w:pPr>
      <w:r w:rsidRPr="00F166A5">
        <w:rPr>
          <w:lang w:val="en-US"/>
        </w:rPr>
        <w:pict w14:anchorId="6872B349">
          <v:rect id="_x0000_i1216" style="width:0;height:1.5pt" o:hralign="center" o:hrstd="t" o:hr="t" fillcolor="#a0a0a0" stroked="f"/>
        </w:pict>
      </w:r>
    </w:p>
    <w:p w14:paraId="01E3B401" w14:textId="77777777" w:rsidR="00F166A5" w:rsidRPr="00F166A5" w:rsidRDefault="00F166A5" w:rsidP="00F166A5">
      <w:pPr>
        <w:rPr>
          <w:b/>
          <w:bCs/>
          <w:lang w:val="en-US"/>
        </w:rPr>
      </w:pPr>
      <w:r w:rsidRPr="00F166A5">
        <w:rPr>
          <w:b/>
          <w:bCs/>
          <w:lang w:val="en-US"/>
        </w:rPr>
        <w:t>3.6 Evaluarea calității modelului și prognoza</w:t>
      </w:r>
    </w:p>
    <w:p w14:paraId="177D3F91" w14:textId="77777777" w:rsidR="00F166A5" w:rsidRPr="00F166A5" w:rsidRDefault="00F166A5" w:rsidP="00F166A5">
      <w:pPr>
        <w:rPr>
          <w:lang w:val="en-US"/>
        </w:rPr>
      </w:pPr>
      <w:r w:rsidRPr="00F166A5">
        <w:rPr>
          <w:lang w:val="en-US"/>
        </w:rPr>
        <w:t>Calitatea modelului estimat a fost evaluată prin mai mulți indicatori complementari. Coeficientul de determinare măsoară proporția din variația totală a variabilei dependente explicată de variabilele independente incluse în model, valorile mai ridicate indicând o putere explicativă mai mare. Coeficientul de determinare ajustat corectează această măsură pentru numărul de variabile independente din model, penalizând introducerea de variabile care nu contribuie semnificativ la explicarea variabilei dependente (Andrei și Bourbonnais, 2008). Criteriile informaționale Akaike și Schwarz permit compararea modelelor estimate pentru țări diferite, modelul cu valorile cele mai mici ale acestor criterii fiind preferat deoarece realizează cel mai bun echilibru între calitatea ajustării și complexitatea modelului (Enders, 2004). Testul Fisher global verifică ipoteza nulă că toți coeficienții de regresie sunt simultan egali cu zero, respingerea acesteia la pragul de semnificație de 5% confirmând validitatea globală a modelului.</w:t>
      </w:r>
    </w:p>
    <w:p w14:paraId="3AFC4FCE" w14:textId="77777777" w:rsidR="00F166A5" w:rsidRPr="00F166A5" w:rsidRDefault="00F166A5" w:rsidP="00F166A5">
      <w:pPr>
        <w:rPr>
          <w:lang w:val="en-US"/>
        </w:rPr>
      </w:pPr>
      <w:r w:rsidRPr="00F166A5">
        <w:rPr>
          <w:lang w:val="en-US"/>
        </w:rPr>
        <w:t xml:space="preserve">Pe baza modelelor estimate, au fost realizate prognoze ale variabilei dependente pentru un orizont de cinci ani. Brockwell și Davis (2002) definesc intervalul de predicție ca intervalul în care se va situa valoarea viitoare a variabilei cu o probabilitate prestabilită, în cazul de față de 95%. Valorile prognozate au fost reconvertite din scala logaritmică în scala originală prin aplicarea </w:t>
      </w:r>
      <w:r w:rsidRPr="00F166A5">
        <w:rPr>
          <w:lang w:val="en-US"/>
        </w:rPr>
        <w:lastRenderedPageBreak/>
        <w:t>funcției exponențiale, obținând astfel estimări directe ale salariului mediu anual în unități monetare comparabile între țări.</w:t>
      </w:r>
    </w:p>
    <w:p w14:paraId="1527F2C2" w14:textId="77777777" w:rsidR="00F166A5" w:rsidRDefault="00F166A5"/>
    <w:p w14:paraId="1AFB12C8" w14:textId="77777777" w:rsidR="00F3111B" w:rsidRPr="00F3111B" w:rsidRDefault="00F3111B" w:rsidP="00F3111B">
      <w:pPr>
        <w:numPr>
          <w:ilvl w:val="0"/>
          <w:numId w:val="11"/>
        </w:numPr>
        <w:rPr>
          <w:lang w:val="en-US"/>
        </w:rPr>
      </w:pPr>
      <w:hyperlink r:id="rId5" w:history="1">
        <w:r w:rsidRPr="00F3111B">
          <w:rPr>
            <w:rStyle w:val="Hyperlink"/>
            <w:lang w:val="en-US"/>
          </w:rPr>
          <w:t>Forecasting: Principles and Practice</w:t>
        </w:r>
      </w:hyperlink>
    </w:p>
    <w:p w14:paraId="2D0C3502" w14:textId="77777777" w:rsidR="00F3111B" w:rsidRPr="00F3111B" w:rsidRDefault="00F3111B" w:rsidP="00F3111B">
      <w:pPr>
        <w:numPr>
          <w:ilvl w:val="0"/>
          <w:numId w:val="11"/>
        </w:numPr>
        <w:rPr>
          <w:lang w:val="en-US"/>
        </w:rPr>
      </w:pPr>
      <w:hyperlink r:id="rId6" w:history="1">
        <w:r w:rsidRPr="00F3111B">
          <w:rPr>
            <w:rStyle w:val="Hyperlink"/>
            <w:lang w:val="en-US"/>
          </w:rPr>
          <w:t>Time Series Analysis</w:t>
        </w:r>
      </w:hyperlink>
    </w:p>
    <w:p w14:paraId="485A69F7" w14:textId="77777777" w:rsidR="00F3111B" w:rsidRPr="00F3111B" w:rsidRDefault="00F3111B" w:rsidP="00F3111B">
      <w:pPr>
        <w:numPr>
          <w:ilvl w:val="0"/>
          <w:numId w:val="11"/>
        </w:numPr>
        <w:rPr>
          <w:lang w:val="en-US"/>
        </w:rPr>
      </w:pPr>
      <w:r w:rsidRPr="00F3111B">
        <w:rPr>
          <w:lang w:val="en-US"/>
        </w:rPr>
        <w:t>Tudorel Andrei, Regis Bourbonnais, Econometrie, Editura Economica, 2008</w:t>
      </w:r>
    </w:p>
    <w:p w14:paraId="4F9FF335" w14:textId="77777777" w:rsidR="00F3111B" w:rsidRPr="00F3111B" w:rsidRDefault="00F3111B" w:rsidP="00F3111B">
      <w:pPr>
        <w:numPr>
          <w:ilvl w:val="0"/>
          <w:numId w:val="11"/>
        </w:numPr>
        <w:rPr>
          <w:lang w:val="en-US"/>
        </w:rPr>
      </w:pPr>
      <w:r w:rsidRPr="00F3111B">
        <w:rPr>
          <w:lang w:val="en-US"/>
        </w:rPr>
        <w:t xml:space="preserve">T. Popescu, Serii de timp. Aplicatii in analiza sistemelor, ed. Tehnica, Bucuresti, 2000  </w:t>
      </w:r>
    </w:p>
    <w:p w14:paraId="46422739" w14:textId="77777777" w:rsidR="00F3111B" w:rsidRPr="00F3111B" w:rsidRDefault="00F3111B" w:rsidP="00F3111B">
      <w:pPr>
        <w:numPr>
          <w:ilvl w:val="0"/>
          <w:numId w:val="11"/>
        </w:numPr>
        <w:rPr>
          <w:lang w:val="en-US"/>
        </w:rPr>
      </w:pPr>
      <w:r w:rsidRPr="00F3111B">
        <w:rPr>
          <w:lang w:val="en-US"/>
        </w:rPr>
        <w:t>Walter Enders, Applied Economic time series, Wiley, 2004</w:t>
      </w:r>
    </w:p>
    <w:p w14:paraId="72E78FEB" w14:textId="77777777" w:rsidR="00F3111B" w:rsidRPr="00F3111B" w:rsidRDefault="00F3111B" w:rsidP="00F3111B">
      <w:pPr>
        <w:numPr>
          <w:ilvl w:val="0"/>
          <w:numId w:val="11"/>
        </w:numPr>
        <w:rPr>
          <w:lang w:val="en-US"/>
        </w:rPr>
      </w:pPr>
      <w:r w:rsidRPr="00F3111B">
        <w:rPr>
          <w:lang w:val="en-US"/>
        </w:rPr>
        <w:t>James D. Hamilton, Time Series Analysis, Princeton University Press, 1994  Brockwell P.J., Davis R.A., Introduction to time series forecasting, Springer, 2002</w:t>
      </w:r>
    </w:p>
    <w:p w14:paraId="38891EE3" w14:textId="77777777" w:rsidR="00F3111B" w:rsidRPr="00F3111B" w:rsidRDefault="00F3111B" w:rsidP="00F3111B">
      <w:pPr>
        <w:numPr>
          <w:ilvl w:val="0"/>
          <w:numId w:val="11"/>
        </w:numPr>
        <w:rPr>
          <w:lang w:val="en-US"/>
        </w:rPr>
      </w:pPr>
      <w:r w:rsidRPr="00F3111B">
        <w:rPr>
          <w:lang w:val="en-US"/>
        </w:rPr>
        <w:t>D. Peña, G. C. Tiao, R. S. Tsay. A course in time series analysis. John Wiley and  Sons, Inc. 2001</w:t>
      </w:r>
    </w:p>
    <w:p w14:paraId="7F72AF52" w14:textId="77777777" w:rsidR="00F3111B" w:rsidRPr="00F3111B" w:rsidRDefault="00F3111B" w:rsidP="00F3111B">
      <w:pPr>
        <w:numPr>
          <w:ilvl w:val="0"/>
          <w:numId w:val="11"/>
        </w:numPr>
        <w:rPr>
          <w:lang w:val="en-US"/>
        </w:rPr>
      </w:pPr>
      <w:r w:rsidRPr="00F3111B">
        <w:rPr>
          <w:lang w:val="en-US"/>
        </w:rPr>
        <w:t>C. Chatfield. The analysis of time series: an introduction. Chapman &amp; Hall, CRC,  1996.</w:t>
      </w:r>
    </w:p>
    <w:p w14:paraId="6DBCDA37" w14:textId="77777777" w:rsidR="00F3111B" w:rsidRPr="00F3111B" w:rsidRDefault="00F3111B" w:rsidP="00F3111B">
      <w:pPr>
        <w:numPr>
          <w:ilvl w:val="0"/>
          <w:numId w:val="11"/>
        </w:numPr>
        <w:rPr>
          <w:lang w:val="en-US"/>
        </w:rPr>
      </w:pPr>
      <w:r w:rsidRPr="00F3111B">
        <w:rPr>
          <w:lang w:val="en-US"/>
        </w:rPr>
        <w:t>Time Series Analysis: Forecasting and Control,5th Edition, by George E. P. Box, Gwilym M. Jenkins, Gregory C. Reinsel and Greta M. Ljung, 2015</w:t>
      </w:r>
    </w:p>
    <w:p w14:paraId="010C72E2" w14:textId="77777777" w:rsidR="00F3111B" w:rsidRPr="00F3111B" w:rsidRDefault="00F3111B" w:rsidP="00F3111B">
      <w:pPr>
        <w:numPr>
          <w:ilvl w:val="0"/>
          <w:numId w:val="11"/>
        </w:numPr>
        <w:rPr>
          <w:lang w:val="en-US"/>
        </w:rPr>
      </w:pPr>
      <w:r w:rsidRPr="00F3111B">
        <w:rPr>
          <w:lang w:val="en-US"/>
        </w:rPr>
        <w:t>C. Chatfield. Time-series forecasting. Chapman &amp; Hall, CRC, 2000.</w:t>
      </w:r>
    </w:p>
    <w:p w14:paraId="14407E04" w14:textId="77777777" w:rsidR="00E34107" w:rsidRPr="00A15E82" w:rsidRDefault="00E34107"/>
    <w:sectPr w:rsidR="00E34107" w:rsidRPr="00A15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4C36"/>
    <w:multiLevelType w:val="multilevel"/>
    <w:tmpl w:val="D04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D2146"/>
    <w:multiLevelType w:val="multilevel"/>
    <w:tmpl w:val="410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A3404"/>
    <w:multiLevelType w:val="multilevel"/>
    <w:tmpl w:val="8A3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503BB"/>
    <w:multiLevelType w:val="multilevel"/>
    <w:tmpl w:val="AD92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73A55"/>
    <w:multiLevelType w:val="multilevel"/>
    <w:tmpl w:val="F74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37AF4"/>
    <w:multiLevelType w:val="hybridMultilevel"/>
    <w:tmpl w:val="7BC4A282"/>
    <w:lvl w:ilvl="0" w:tplc="D5326D74">
      <w:start w:val="1"/>
      <w:numFmt w:val="bullet"/>
      <w:lvlText w:val="•"/>
      <w:lvlJc w:val="left"/>
      <w:pPr>
        <w:tabs>
          <w:tab w:val="num" w:pos="720"/>
        </w:tabs>
        <w:ind w:left="720" w:hanging="360"/>
      </w:pPr>
      <w:rPr>
        <w:rFonts w:ascii="Arial" w:hAnsi="Arial" w:hint="default"/>
      </w:rPr>
    </w:lvl>
    <w:lvl w:ilvl="1" w:tplc="8EB2E9F2" w:tentative="1">
      <w:start w:val="1"/>
      <w:numFmt w:val="bullet"/>
      <w:lvlText w:val="•"/>
      <w:lvlJc w:val="left"/>
      <w:pPr>
        <w:tabs>
          <w:tab w:val="num" w:pos="1440"/>
        </w:tabs>
        <w:ind w:left="1440" w:hanging="360"/>
      </w:pPr>
      <w:rPr>
        <w:rFonts w:ascii="Arial" w:hAnsi="Arial" w:hint="default"/>
      </w:rPr>
    </w:lvl>
    <w:lvl w:ilvl="2" w:tplc="857E9418" w:tentative="1">
      <w:start w:val="1"/>
      <w:numFmt w:val="bullet"/>
      <w:lvlText w:val="•"/>
      <w:lvlJc w:val="left"/>
      <w:pPr>
        <w:tabs>
          <w:tab w:val="num" w:pos="2160"/>
        </w:tabs>
        <w:ind w:left="2160" w:hanging="360"/>
      </w:pPr>
      <w:rPr>
        <w:rFonts w:ascii="Arial" w:hAnsi="Arial" w:hint="default"/>
      </w:rPr>
    </w:lvl>
    <w:lvl w:ilvl="3" w:tplc="E9E44EA8" w:tentative="1">
      <w:start w:val="1"/>
      <w:numFmt w:val="bullet"/>
      <w:lvlText w:val="•"/>
      <w:lvlJc w:val="left"/>
      <w:pPr>
        <w:tabs>
          <w:tab w:val="num" w:pos="2880"/>
        </w:tabs>
        <w:ind w:left="2880" w:hanging="360"/>
      </w:pPr>
      <w:rPr>
        <w:rFonts w:ascii="Arial" w:hAnsi="Arial" w:hint="default"/>
      </w:rPr>
    </w:lvl>
    <w:lvl w:ilvl="4" w:tplc="FCF2565A" w:tentative="1">
      <w:start w:val="1"/>
      <w:numFmt w:val="bullet"/>
      <w:lvlText w:val="•"/>
      <w:lvlJc w:val="left"/>
      <w:pPr>
        <w:tabs>
          <w:tab w:val="num" w:pos="3600"/>
        </w:tabs>
        <w:ind w:left="3600" w:hanging="360"/>
      </w:pPr>
      <w:rPr>
        <w:rFonts w:ascii="Arial" w:hAnsi="Arial" w:hint="default"/>
      </w:rPr>
    </w:lvl>
    <w:lvl w:ilvl="5" w:tplc="3716C98E" w:tentative="1">
      <w:start w:val="1"/>
      <w:numFmt w:val="bullet"/>
      <w:lvlText w:val="•"/>
      <w:lvlJc w:val="left"/>
      <w:pPr>
        <w:tabs>
          <w:tab w:val="num" w:pos="4320"/>
        </w:tabs>
        <w:ind w:left="4320" w:hanging="360"/>
      </w:pPr>
      <w:rPr>
        <w:rFonts w:ascii="Arial" w:hAnsi="Arial" w:hint="default"/>
      </w:rPr>
    </w:lvl>
    <w:lvl w:ilvl="6" w:tplc="FE6ADC4A" w:tentative="1">
      <w:start w:val="1"/>
      <w:numFmt w:val="bullet"/>
      <w:lvlText w:val="•"/>
      <w:lvlJc w:val="left"/>
      <w:pPr>
        <w:tabs>
          <w:tab w:val="num" w:pos="5040"/>
        </w:tabs>
        <w:ind w:left="5040" w:hanging="360"/>
      </w:pPr>
      <w:rPr>
        <w:rFonts w:ascii="Arial" w:hAnsi="Arial" w:hint="default"/>
      </w:rPr>
    </w:lvl>
    <w:lvl w:ilvl="7" w:tplc="A80C4FB6" w:tentative="1">
      <w:start w:val="1"/>
      <w:numFmt w:val="bullet"/>
      <w:lvlText w:val="•"/>
      <w:lvlJc w:val="left"/>
      <w:pPr>
        <w:tabs>
          <w:tab w:val="num" w:pos="5760"/>
        </w:tabs>
        <w:ind w:left="5760" w:hanging="360"/>
      </w:pPr>
      <w:rPr>
        <w:rFonts w:ascii="Arial" w:hAnsi="Arial" w:hint="default"/>
      </w:rPr>
    </w:lvl>
    <w:lvl w:ilvl="8" w:tplc="9366170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CDE09A3"/>
    <w:multiLevelType w:val="multilevel"/>
    <w:tmpl w:val="E3E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20BC1"/>
    <w:multiLevelType w:val="multilevel"/>
    <w:tmpl w:val="404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15EA2"/>
    <w:multiLevelType w:val="multilevel"/>
    <w:tmpl w:val="7E8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0588B"/>
    <w:multiLevelType w:val="multilevel"/>
    <w:tmpl w:val="25AC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A4E7F"/>
    <w:multiLevelType w:val="multilevel"/>
    <w:tmpl w:val="5E1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869047">
    <w:abstractNumId w:val="1"/>
  </w:num>
  <w:num w:numId="2" w16cid:durableId="1036269190">
    <w:abstractNumId w:val="3"/>
  </w:num>
  <w:num w:numId="3" w16cid:durableId="200244484">
    <w:abstractNumId w:val="10"/>
  </w:num>
  <w:num w:numId="4" w16cid:durableId="1114788074">
    <w:abstractNumId w:val="6"/>
  </w:num>
  <w:num w:numId="5" w16cid:durableId="532497438">
    <w:abstractNumId w:val="9"/>
  </w:num>
  <w:num w:numId="6" w16cid:durableId="222373866">
    <w:abstractNumId w:val="7"/>
  </w:num>
  <w:num w:numId="7" w16cid:durableId="32535626">
    <w:abstractNumId w:val="8"/>
  </w:num>
  <w:num w:numId="8" w16cid:durableId="690761298">
    <w:abstractNumId w:val="0"/>
  </w:num>
  <w:num w:numId="9" w16cid:durableId="955216191">
    <w:abstractNumId w:val="2"/>
  </w:num>
  <w:num w:numId="10" w16cid:durableId="901982182">
    <w:abstractNumId w:val="4"/>
  </w:num>
  <w:num w:numId="11" w16cid:durableId="1990094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561"/>
    <w:rsid w:val="00110242"/>
    <w:rsid w:val="001A0561"/>
    <w:rsid w:val="001C4317"/>
    <w:rsid w:val="002F2AC9"/>
    <w:rsid w:val="004A1CE5"/>
    <w:rsid w:val="00530110"/>
    <w:rsid w:val="006B7A28"/>
    <w:rsid w:val="0074475F"/>
    <w:rsid w:val="008830A0"/>
    <w:rsid w:val="008C6D1B"/>
    <w:rsid w:val="00A15E82"/>
    <w:rsid w:val="00B8440D"/>
    <w:rsid w:val="00C25D3E"/>
    <w:rsid w:val="00C81702"/>
    <w:rsid w:val="00E34107"/>
    <w:rsid w:val="00ED4B8C"/>
    <w:rsid w:val="00F166A5"/>
    <w:rsid w:val="00F31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A32BD"/>
  <w15:chartTrackingRefBased/>
  <w15:docId w15:val="{35A43840-814F-4B94-AA14-E1C1BC298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1A05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5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5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561"/>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1A0561"/>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1A0561"/>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1A0561"/>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1A0561"/>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1A0561"/>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1A0561"/>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1A0561"/>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1A0561"/>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1A0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561"/>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1A0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561"/>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1A0561"/>
    <w:pPr>
      <w:spacing w:before="160"/>
      <w:jc w:val="center"/>
    </w:pPr>
    <w:rPr>
      <w:i/>
      <w:iCs/>
      <w:color w:val="404040" w:themeColor="text1" w:themeTint="BF"/>
    </w:rPr>
  </w:style>
  <w:style w:type="character" w:customStyle="1" w:styleId="QuoteChar">
    <w:name w:val="Quote Char"/>
    <w:basedOn w:val="DefaultParagraphFont"/>
    <w:link w:val="Quote"/>
    <w:uiPriority w:val="29"/>
    <w:rsid w:val="001A0561"/>
    <w:rPr>
      <w:i/>
      <w:iCs/>
      <w:color w:val="404040" w:themeColor="text1" w:themeTint="BF"/>
      <w:lang w:val="ro-RO"/>
    </w:rPr>
  </w:style>
  <w:style w:type="paragraph" w:styleId="ListParagraph">
    <w:name w:val="List Paragraph"/>
    <w:basedOn w:val="Normal"/>
    <w:uiPriority w:val="34"/>
    <w:qFormat/>
    <w:rsid w:val="001A0561"/>
    <w:pPr>
      <w:ind w:left="720"/>
      <w:contextualSpacing/>
    </w:pPr>
  </w:style>
  <w:style w:type="character" w:styleId="IntenseEmphasis">
    <w:name w:val="Intense Emphasis"/>
    <w:basedOn w:val="DefaultParagraphFont"/>
    <w:uiPriority w:val="21"/>
    <w:qFormat/>
    <w:rsid w:val="001A0561"/>
    <w:rPr>
      <w:i/>
      <w:iCs/>
      <w:color w:val="2F5496" w:themeColor="accent1" w:themeShade="BF"/>
    </w:rPr>
  </w:style>
  <w:style w:type="paragraph" w:styleId="IntenseQuote">
    <w:name w:val="Intense Quote"/>
    <w:basedOn w:val="Normal"/>
    <w:next w:val="Normal"/>
    <w:link w:val="IntenseQuoteChar"/>
    <w:uiPriority w:val="30"/>
    <w:qFormat/>
    <w:rsid w:val="001A0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561"/>
    <w:rPr>
      <w:i/>
      <w:iCs/>
      <w:color w:val="2F5496" w:themeColor="accent1" w:themeShade="BF"/>
      <w:lang w:val="ro-RO"/>
    </w:rPr>
  </w:style>
  <w:style w:type="character" w:styleId="IntenseReference">
    <w:name w:val="Intense Reference"/>
    <w:basedOn w:val="DefaultParagraphFont"/>
    <w:uiPriority w:val="32"/>
    <w:qFormat/>
    <w:rsid w:val="001A0561"/>
    <w:rPr>
      <w:b/>
      <w:bCs/>
      <w:smallCaps/>
      <w:color w:val="2F5496" w:themeColor="accent1" w:themeShade="BF"/>
      <w:spacing w:val="5"/>
    </w:rPr>
  </w:style>
  <w:style w:type="character" w:styleId="Hyperlink">
    <w:name w:val="Hyperlink"/>
    <w:basedOn w:val="DefaultParagraphFont"/>
    <w:uiPriority w:val="99"/>
    <w:unhideWhenUsed/>
    <w:rsid w:val="00F3111B"/>
    <w:rPr>
      <w:color w:val="0563C1" w:themeColor="hyperlink"/>
      <w:u w:val="single"/>
    </w:rPr>
  </w:style>
  <w:style w:type="character" w:styleId="UnresolvedMention">
    <w:name w:val="Unresolved Mention"/>
    <w:basedOn w:val="DefaultParagraphFont"/>
    <w:uiPriority w:val="99"/>
    <w:semiHidden/>
    <w:unhideWhenUsed/>
    <w:rsid w:val="00F31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onomodel.com/time-series-analysis" TargetMode="External"/><Relationship Id="rId5" Type="http://schemas.openxmlformats.org/officeDocument/2006/relationships/hyperlink" Target="https://otexts.com/fpp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7</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Eftimie</dc:creator>
  <cp:keywords/>
  <dc:description/>
  <cp:lastModifiedBy>Luca Eftimie</cp:lastModifiedBy>
  <cp:revision>6</cp:revision>
  <dcterms:created xsi:type="dcterms:W3CDTF">2026-05-29T10:18:00Z</dcterms:created>
  <dcterms:modified xsi:type="dcterms:W3CDTF">2026-05-29T14:07:00Z</dcterms:modified>
</cp:coreProperties>
</file>