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Regresia în analiza datelor panel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Rezumat metodologic — Analiza pieței forței de muncă la nivelul țărilor europene</w:t>
      </w:r>
    </w:p>
    <w:p>
      <w:pPr>
        <w:pBdr>
          <w:bottom w:val="single" w:color="534AB7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Rolul general al regresiei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Regresia este instrumentul econometric central prin care se cuantifică relația dintre o variabilă dependentă și una sau mai multe variabile independente. În contextul acestei lucrări, scopul regresiei este de a determina în ce măsură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cheltuielile cu cercetarea-dezvoltarea</w:t>
      </w:r>
      <w:r>
        <w:rPr>
          <w:rFonts w:ascii="Arial" w:cs="Arial" w:eastAsia="Arial" w:hAnsi="Arial"/>
          <w:sz w:val="22"/>
          <w:szCs w:val="22"/>
        </w:rPr>
        <w:t xml:space="preserve"> și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rata de ocupare</w:t>
      </w:r>
      <w:r>
        <w:rPr>
          <w:rFonts w:ascii="Arial" w:cs="Arial" w:eastAsia="Arial" w:hAnsi="Arial"/>
          <w:sz w:val="22"/>
          <w:szCs w:val="22"/>
        </w:rPr>
        <w:t xml:space="preserve"> explică evoluția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venitului anual</w:t>
      </w:r>
      <w:r>
        <w:rPr>
          <w:rFonts w:ascii="Arial" w:cs="Arial" w:eastAsia="Arial" w:hAnsi="Arial"/>
          <w:sz w:val="22"/>
          <w:szCs w:val="22"/>
        </w:rPr>
        <w:t xml:space="preserve"> la nivelul țărilor europene, în perioada 2010–2024.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Regresia nu răspunde doar la întrebarea exista o relatie, ci oferă și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direcția</w:t>
      </w:r>
      <w:r>
        <w:rPr>
          <w:rFonts w:ascii="Arial" w:cs="Arial" w:eastAsia="Arial" w:hAnsi="Arial"/>
          <w:sz w:val="22"/>
          <w:szCs w:val="22"/>
        </w:rPr>
        <w:t xml:space="preserve"> (pozitivă sau negativă),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intensitatea</w:t>
      </w:r>
      <w:r>
        <w:rPr>
          <w:rFonts w:ascii="Arial" w:cs="Arial" w:eastAsia="Arial" w:hAnsi="Arial"/>
          <w:sz w:val="22"/>
          <w:szCs w:val="22"/>
        </w:rPr>
        <w:t xml:space="preserve"> (coeficienții estimați) și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semnificația statistică</w:t>
      </w:r>
      <w:r>
        <w:rPr>
          <w:rFonts w:ascii="Arial" w:cs="Arial" w:eastAsia="Arial" w:hAnsi="Arial"/>
          <w:sz w:val="22"/>
          <w:szCs w:val="22"/>
        </w:rPr>
        <w:t xml:space="preserve"> a acestei relații. Aceste trei dimensiuni sunt esențiale pentru a transforma o observație descriptivă — țările cu cheltuieli mari au venituri mari - într-o concluzie econometrică riguroasă.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În lucrarea de față, regresia vine ca un al treilea nivel de analiză, după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analiza componentelor principale (ACP)</w:t>
      </w:r>
      <w:r>
        <w:rPr>
          <w:rFonts w:ascii="Arial" w:cs="Arial" w:eastAsia="Arial" w:hAnsi="Arial"/>
          <w:sz w:val="22"/>
          <w:szCs w:val="22"/>
        </w:rPr>
        <w:t xml:space="preserve">, care a identificat dimensiunile latente ale pieței muncii, și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analiza cluster</w:t>
      </w:r>
      <w:r>
        <w:rPr>
          <w:rFonts w:ascii="Arial" w:cs="Arial" w:eastAsia="Arial" w:hAnsi="Arial"/>
          <w:sz w:val="22"/>
          <w:szCs w:val="22"/>
        </w:rPr>
        <w:t xml:space="preserve">, care a grupat țările în tipare distincte. Regresia testează dacă relațiile observate descriptiv sunt susținute statistic.</w:t>
      </w:r>
    </w:p>
    <w:p>
      <w:pPr>
        <w:pBdr>
          <w:bottom w:val="single" w:color="534AB7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Date panel și comparația între țări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Datele utilizate sunt de tip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panel</w:t>
      </w:r>
      <w:r>
        <w:rPr>
          <w:rFonts w:ascii="Arial" w:cs="Arial" w:eastAsia="Arial" w:hAnsi="Arial"/>
          <w:sz w:val="22"/>
          <w:szCs w:val="22"/>
        </w:rPr>
        <w:t xml:space="preserve">: 26 de țări europene observate pe parcursul a 15 ani (2010–2024). Structura panel combină două surse de variație simultanee: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Variația între țări</w:t>
      </w:r>
      <w:r>
        <w:rPr>
          <w:rFonts w:ascii="Arial" w:cs="Arial" w:eastAsia="Arial" w:hAnsi="Arial"/>
          <w:sz w:val="22"/>
          <w:szCs w:val="22"/>
        </w:rPr>
        <w:t xml:space="preserve"> — diferențele structurale permanente: Luxemburg are venituri mai mari decât Bulgaria indiferent de cheltuielile cu dezvoltarea, din motive istorice, instituționale și geografice.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Variația în timp</w:t>
      </w:r>
      <w:r>
        <w:rPr>
          <w:rFonts w:ascii="Arial" w:cs="Arial" w:eastAsia="Arial" w:hAnsi="Arial"/>
          <w:sz w:val="22"/>
          <w:szCs w:val="22"/>
        </w:rPr>
        <w:t xml:space="preserve"> — evoluția în interiorul fiecărei țări: România în 2024 față de România în 2010.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Abordarea adoptată în această lucrare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OLS separat per țară</w:t>
      </w:r>
      <w:r>
        <w:rPr>
          <w:rFonts w:ascii="Arial" w:cs="Arial" w:eastAsia="Arial" w:hAnsi="Arial"/>
          <w:sz w:val="22"/>
          <w:szCs w:val="22"/>
        </w:rPr>
        <w:t xml:space="preserve"> — tratează fiecare economie independent, ceea ce permite identificarea relațiilor specifice fiecărui context național. Aceasta este o abordare exploratorie valoroasă, care răspunde la întrebarea: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Relatia dintre cheltuieli, ocupare si venit este uniforma la nivel european sau variaza de la o tara la alta?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Rezultatele confirmă că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relația nu este omogenă</w:t>
      </w:r>
      <w:r>
        <w:rPr>
          <w:rFonts w:ascii="Arial" w:cs="Arial" w:eastAsia="Arial" w:hAnsi="Arial"/>
          <w:sz w:val="22"/>
          <w:szCs w:val="22"/>
        </w:rPr>
        <w:t xml:space="preserve">: țările din Europa de Vest prezintă coeficienți semnificativi și putere explicativă ridicată, în timp ce economiile în tranziție din Europa Centrală și de Est prezintă pattern-uri mai eterogene — concluzie care se aliniază cu grupările identificate prin analiza cluster.</w:t>
      </w:r>
    </w:p>
    <w:p>
      <w:pPr>
        <w:pBdr>
          <w:bottom w:val="single" w:color="534AB7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Puterea explicativă a modelului — R²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Coeficientul de determinare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R²</w:t>
      </w:r>
      <w:r>
        <w:rPr>
          <w:rFonts w:ascii="Arial" w:cs="Arial" w:eastAsia="Arial" w:hAnsi="Arial"/>
          <w:sz w:val="22"/>
          <w:szCs w:val="22"/>
        </w:rPr>
        <w:t xml:space="preserve"> măsoară proporția din variația venitului anual care este explicată de cheltuielile cu dezvoltarea și rata de ocupare. Un R² de 0,85 înseamnă că 85% din evoluția venitului dintr-o țară este capturată de modelul estimat, restul de 15% provenind din factori neincluși.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Analiza comparativă a R² per țară relevă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eterogenitate semnificativă</w:t>
      </w:r>
      <w:r>
        <w:rPr>
          <w:rFonts w:ascii="Arial" w:cs="Arial" w:eastAsia="Arial" w:hAnsi="Arial"/>
          <w:sz w:val="22"/>
          <w:szCs w:val="22"/>
        </w:rPr>
        <w:t xml:space="preserve"> la nivel european. Țările cu economii mature și stabile (Germania, Franța, Austria, Țările de Jos) prezintă valori ridicate ale R², ceea ce sugerează că relația dintre cele două variabile independente și venit este mai previzibilă și mai sistematică. În schimb, economii mai volatile sau cu structuri de piață a muncii mai puțin convenționale (Norvegia, Grecia, Malta) prezintă valori mai reduse, indicând că alți factori — rente din resurse naturale, turism, structura sectorială — joacă un rol comparabil sau chiar dominant.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Această variație a puterii explicative nu invalidează modelul, ci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confirmă concluzia centrală a lucrării</w:t>
      </w:r>
      <w:r>
        <w:rPr>
          <w:rFonts w:ascii="Arial" w:cs="Arial" w:eastAsia="Arial" w:hAnsi="Arial"/>
          <w:sz w:val="22"/>
          <w:szCs w:val="22"/>
        </w:rPr>
        <w:t xml:space="preserve">: piața forței de muncă europeană nu este omogenă, iar instrumentele analitice utilizate — ACP, cluster și regresie — surprind în mod consistent această eterogenitate.</w:t>
      </w:r>
    </w:p>
    <w:p>
      <w:pPr>
        <w:pBdr>
          <w:bottom w:val="single" w:color="534AB7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Erori corelate și autocorelare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4.1 Ce este autocorелarea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Într-un model de regresie, termenul de eroare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ε</w:t>
      </w:r>
      <w:r>
        <w:rPr>
          <w:rFonts w:ascii="Arial" w:cs="Arial" w:eastAsia="Arial" w:hAnsi="Arial"/>
          <w:sz w:val="22"/>
          <w:szCs w:val="22"/>
        </w:rPr>
        <w:t xml:space="preserve"> reprezintă tot ceea ce modelul nu reușește să explice. În condiții ideale, aceste erori sunt independente în timp — eroarea din 2015 nu ar trebui să influențeze eroarea din 2016. Când această condiție este încălcată, vorbim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autocorelare</w:t>
      </w:r>
      <w:r>
        <w:rPr>
          <w:rFonts w:ascii="Arial" w:cs="Arial" w:eastAsia="Arial" w:hAnsi="Arial"/>
          <w:sz w:val="22"/>
          <w:szCs w:val="22"/>
        </w:rPr>
        <w:t xml:space="preserve">: erorile dintr-o perioadă sunt corelate cu erorile din perioadele anterioare.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esențial să distingem între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variabile corelate</w:t>
      </w:r>
      <w:r>
        <w:rPr>
          <w:rFonts w:ascii="Arial" w:cs="Arial" w:eastAsia="Arial" w:hAnsi="Arial"/>
          <w:sz w:val="22"/>
          <w:szCs w:val="22"/>
        </w:rPr>
        <w:t xml:space="preserve"> și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erori corelate</w:t>
      </w:r>
      <w:r>
        <w:rPr>
          <w:rFonts w:ascii="Arial" w:cs="Arial" w:eastAsia="Arial" w:hAnsi="Arial"/>
          <w:sz w:val="22"/>
          <w:szCs w:val="22"/>
        </w:rPr>
        <w:t xml:space="preserve">. Corelația între cheltuielile cu dezvoltarea și venit este exact ce ne propunem să investigăm — este subiectul regresiei. Corelația erorilor, în schimb, semnalează că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există un factor omis care evoluează sistematic în timp</w:t>
      </w:r>
      <w:r>
        <w:rPr>
          <w:rFonts w:ascii="Arial" w:cs="Arial" w:eastAsia="Arial" w:hAnsi="Arial"/>
          <w:sz w:val="22"/>
          <w:szCs w:val="22"/>
        </w:rPr>
        <w:t xml:space="preserve"> și pe care modelul nu îl capturează.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4.2 De ce apare autocorелarea în datele macroeconomice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În contextul acestei lucrări, autocorелarea are o explicație economică directă: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șocurile macroeconomice comune</w:t>
      </w:r>
      <w:r>
        <w:rPr>
          <w:rFonts w:ascii="Arial" w:cs="Arial" w:eastAsia="Arial" w:hAnsi="Arial"/>
          <w:sz w:val="22"/>
          <w:szCs w:val="22"/>
        </w:rPr>
        <w:t xml:space="preserve">. Pandemia COVID-19 (2020–2021) a generat scăderi bruște ale venitului care depășeau ce puteau anticipa cheltuielile cu dezvoltarea sau rata de ocupare — ambele variabile au scăzut, dar venitul a scăzut mai mult și mai brusc decât relația normală dintre ele ar fi sugerat.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Surplusul de scădere neexplicat în 2020 intră în termenul de eroare ε. Întrucât efectele pandemiei s-au propagat și în 2021, eroarea din 2021 seamănă cu cea din 2020. De aceea erorile sunt corelate — nu pentru că variabilele sunt greșit alese, ci pentru că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modelul nu știe de pandemie</w:t>
      </w:r>
      <w:r>
        <w:rPr>
          <w:rFonts w:ascii="Arial" w:cs="Arial" w:eastAsia="Arial" w:hAnsi="Arial"/>
          <w:sz w:val="22"/>
          <w:szCs w:val="22"/>
        </w:rPr>
        <w:t xml:space="preserve">. Același mecanism se aplică crizei financiare din 2008–2009 și crizei energetice din 2022.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O soluție tehnică ar fi includerea unor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variabile dummy</w:t>
      </w:r>
      <w:r>
        <w:rPr>
          <w:rFonts w:ascii="Arial" w:cs="Arial" w:eastAsia="Arial" w:hAnsi="Arial"/>
          <w:sz w:val="22"/>
          <w:szCs w:val="22"/>
        </w:rPr>
        <w:t xml:space="preserve"> pentru aceste perioade de soc (de exemplu, o variabila cu valoarea 1 pentru 2020-2021 si 0 in rest), care ar informa modelul ca in acei ani s-a intamplat ceva exceptional. Totusi, cu 15 observatii per tara, adaugarea mai multor parametri reduce semnificativ gradele de libertate ale modelului, ceea ce reprezinta un compromis real.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4.3 Implicații pentru interpretarea rezultatelor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Prezența autocorелării, detectată prin testul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Breusch-Godfrey</w:t>
      </w:r>
      <w:r>
        <w:rPr>
          <w:rFonts w:ascii="Arial" w:cs="Arial" w:eastAsia="Arial" w:hAnsi="Arial"/>
          <w:sz w:val="22"/>
          <w:szCs w:val="22"/>
        </w:rPr>
        <w:t xml:space="preserve">, nu invalidează direcția sau sensul coeficienților estimați — aceștia rămân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nebiasați</w:t>
      </w:r>
      <w:r>
        <w:rPr>
          <w:rFonts w:ascii="Arial" w:cs="Arial" w:eastAsia="Arial" w:hAnsi="Arial"/>
          <w:sz w:val="22"/>
          <w:szCs w:val="22"/>
        </w:rPr>
        <w:t xml:space="preserve">. Ea afectează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eficiența</w:t>
      </w:r>
      <w:r>
        <w:rPr>
          <w:rFonts w:ascii="Arial" w:cs="Arial" w:eastAsia="Arial" w:hAnsi="Arial"/>
          <w:sz w:val="22"/>
          <w:szCs w:val="22"/>
        </w:rPr>
        <w:t xml:space="preserve"> estimatorilor și acuratețea erorilor standard, ceea ce înseamnă că testele de semnificație trebuie tratate cu prudență pentru țările afectate.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Concluzia practică este că venitul anual nu poate fi explicat în totalitate de cheltuielile cu dezvoltarea și rata de ocupare singure. Intervin factori externi — șocuri globale, politici conjuncturale, specificități sectoriale — care se manifestă tocmai prin corelarea sistematică a erorilor. Recunoașterea explicită a acestei limitări reprezintă o poziție academică solidă, demonstrând că analiza nu supraestimează puterea explicativă a modelului ales.</w:t>
      </w:r>
    </w:p>
    <w:p>
      <w:pPr>
        <w:pBdr>
          <w:bottom w:val="single" w:color="534AB7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Concluzie integrativă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Cele trei instrumente utilizate — ACP, cluster și regresie OLS per țară — construiesc împreună o imagine coerentă a pieței forței de muncă europene. ACP a redus complexitatea informațională la trei dimensiuni esențiale. Clusterizarea a grupat țările în tipare cu caracteristici similare. Regresia a testat dacă relațiile dintre variabilele cheie — cheltuieli cu dezvoltarea, rata de ocupare și venit — sunt sistematice și semnificative statistic.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Rezultatele confirmă că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relația există și este semnificativă</w:t>
      </w:r>
      <w:r>
        <w:rPr>
          <w:rFonts w:ascii="Arial" w:cs="Arial" w:eastAsia="Arial" w:hAnsi="Arial"/>
          <w:sz w:val="22"/>
          <w:szCs w:val="22"/>
        </w:rPr>
        <w:t xml:space="preserve"> pentru majoritatea țărilor, dar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intensitatea și puterea explicativă variază considerabil</w:t>
      </w:r>
      <w:r>
        <w:rPr>
          <w:rFonts w:ascii="Arial" w:cs="Arial" w:eastAsia="Arial" w:hAnsi="Arial"/>
          <w:sz w:val="22"/>
          <w:szCs w:val="22"/>
        </w:rPr>
        <w:t xml:space="preserve">. Acolo unde autocorелarea este prezentă, aceasta reflectă impactul unor șocuri macroeconomice externe — în primul rând pandemia COVID-19 — care nu pot fi capturate complet de variabilele incluse în model. Aceasta reprezintă o limitare firească a oricărei analize bazate pe date macroeconomice agregate pe intervale scurte de timp, și nu o eroare de specificație a modelului.</w:t>
      </w:r>
    </w:p>
    <w:p>
      <w:pPr>
        <w:spacing w:after="80" w:before="8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Tabloul de ansamblu este consistent: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Europa nu este o piață a muncii omogenă</w:t>
      </w:r>
      <w:r>
        <w:rPr>
          <w:rFonts w:ascii="Arial" w:cs="Arial" w:eastAsia="Arial" w:hAnsi="Arial"/>
          <w:sz w:val="22"/>
          <w:szCs w:val="22"/>
        </w:rPr>
        <w:t xml:space="preserve">, iar diferențele identificate descriptiv prin ACP și cluster sunt confirmate econometric prin variabilitatea R² și a coeficienților de regresie între grupuri de țări.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2026-05-24T19:34:51.879Z</dcterms:created>
  <dcterms:modified xsi:type="dcterms:W3CDTF">2026-05-24T19:34:51.879Z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