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B2C5E"/>
          <w:sz w:val="18"/>
          <w:szCs w:val="18"/>
        </w:rPr>
        <w:t xml:space="preserve">TEACHING UNIT · YEAR 5 · ENGLISH LANGUAGE AND LITERATURE</w:t>
      </w:r>
    </w:p>
    <w:p>
      <w:pPr>
        <w:spacing w:after="100"/>
      </w:pPr>
      <w:r>
        <w:rPr>
          <w:rFonts w:ascii="Georgia" w:cs="Georgia" w:eastAsia="Georgia" w:hAnsi="Georgia"/>
          <w:b/>
          <w:bCs/>
          <w:color w:val="1F3864"/>
          <w:sz w:val="44"/>
          <w:szCs w:val="44"/>
        </w:rPr>
        <w:t xml:space="preserve">Women and Society in the Victorian Age</w:t>
      </w:r>
    </w:p>
    <w:p>
      <w:pPr>
        <w:spacing w:after="200"/>
      </w:pPr>
      <w:r>
        <w:rPr>
          <w:rFonts w:ascii="Georgia" w:cs="Georgia" w:eastAsia="Georgia" w:hAnsi="Georgia"/>
          <w:i/>
          <w:iCs/>
          <w:color w:val="7B2C5E"/>
          <w:sz w:val="26"/>
          <w:szCs w:val="26"/>
        </w:rPr>
        <w:t xml:space="preserve">Emily Brontë, Wuthering Heights — five 50-minute lessons on textbook pp. 279–287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Class</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Year 5 (quinto anno), Liceo Artistico e Musicale — CEFR B2/B2+</w:t>
            </w:r>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Textbook pages</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pp. 279–287: Reading and Writing Women in the Victorian Age · Getting to Know Emily Brontë, Wuthering Heights · Narrative structure, language and style · “The dilemma between heart and reason” (Ch. 9, part 1) · “Hell or Heaven?” (Ch. 9, part 2) · HERSTORY: Virginia Woolf on Wuthering Heights</w:t>
            </w:r>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Cultural focus</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The condition of women in Victorian society: the domestic sphere, the female reading public, women writers and male pseudonyms; marriage as an economic institution; the clash between individual aspirations and social constraints.</w:t>
            </w:r>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Language focus</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Activating and revising the language needed to discuss a novel: chunks for describing social context, summarising plot, analysing narrators and structure, interpreting figurative language, and debating. Recycled deliberately across all five lessons.</w:t>
            </w:r>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Speaking core</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Every lesson is built around a structured oral task: jigsaw teach-back, timed mini-presentations, story circle, think–pair–share, and a full-class cooperative debate.</w:t>
            </w:r>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Educazione Civica</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Gender equality then and now (SDG 5 / SDG 10 links in the textbook): equality in access to education, publication, and marriage choice; connects to Art. 3 and Art. 37 of the Italian Constitution.</w:t>
            </w:r>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Assessment</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Formative: exit tickets, chunk retrieval, oracy tasks. Summative options: debate performance (rubric in Teacher’s Booklet) and Writing Lab task (success criteria in Lesson 5 and rubric in Teacher’s Booklet).</w:t>
            </w:r>
          </w:p>
        </w:tc>
      </w:tr>
    </w:tbl>
    <w:p>
      <w:pPr>
        <w:spacing w:after="120"/>
      </w:pPr>
    </w:p>
    <w:p>
      <w:pPr>
        <w:pStyle w:val="Heading2"/>
        <w:spacing w:after="120" w:before="200"/>
      </w:pPr>
      <w:r>
        <w:rPr>
          <w:rFonts w:ascii="Georgia" w:cs="Georgia" w:eastAsia="Georgia" w:hAnsi="Georgia"/>
          <w:b/>
          <w:bCs/>
          <w:color w:val="1F3864"/>
          <w:sz w:val="26"/>
          <w:szCs w:val="26"/>
        </w:rPr>
        <w:t xml:space="preserve">How the unit works</w:t>
      </w:r>
    </w:p>
    <w:p>
      <w:pPr>
        <w:spacing w:after="120" w:before="0"/>
      </w:pPr>
      <w:r>
        <w:rPr>
          <w:rFonts w:ascii="Arial" w:cs="Arial" w:eastAsia="Arial" w:hAnsi="Arial"/>
          <w:sz w:val="21"/>
          <w:szCs w:val="21"/>
        </w:rPr>
        <w:t xml:space="preserve">Each lesson opens by retrieving the previous lesson’s chunks and closes by producing new ones. The five chunk banks are the connective tissue of the unit: students meet each chunk receptively in the textbook, notice it explicitly in the bank, drill it orally, and are then pushed to use it in a freer speaking task. By Lesson 5 the class should be able to discuss </w:t>
      </w:r>
      <w:r>
        <w:rPr>
          <w:rFonts w:ascii="Arial" w:cs="Arial" w:eastAsia="Arial" w:hAnsi="Arial"/>
          <w:i/>
          <w:iCs/>
          <w:sz w:val="21"/>
          <w:szCs w:val="21"/>
        </w:rPr>
        <w:t xml:space="preserve">Wuthering Heights</w:t>
      </w:r>
      <w:r>
        <w:rPr>
          <w:rFonts w:ascii="Arial" w:cs="Arial" w:eastAsia="Arial" w:hAnsi="Arial"/>
          <w:sz w:val="21"/>
          <w:szCs w:val="21"/>
        </w:rPr>
        <w:t xml:space="preserve"> — its context, plot, narration and central dilemma — in connected, idiomatic English, and to argue a position about Catherine’s choice.</w:t>
      </w:r>
    </w:p>
    <w:p>
      <w:pPr>
        <w:spacing w:after="120" w:before="0"/>
      </w:pPr>
      <w:r>
        <w:rPr>
          <w:rFonts w:ascii="Arial" w:cs="Arial" w:eastAsia="Arial" w:hAnsi="Arial"/>
          <w:sz w:val="21"/>
          <w:szCs w:val="21"/>
        </w:rPr>
        <w:t xml:space="preserve">Literature is treated both as content and as language-rich input: the Chapter 9 extracts are exploited first for meaning (comprehension), then for language (chunks, opposites, figurative language), then for personal response and debate — moving from efferent to aesthetic reading.</w:t>
      </w:r>
    </w:p>
    <w:p>
      <w:r>
        <w:br w:type="page"/>
      </w:r>
    </w:p>
    <w:p>
      <w:pPr>
        <w:pStyle w:val="Heading1"/>
        <w:spacing w:after="160" w:before="240"/>
      </w:pPr>
      <w:r>
        <w:rPr>
          <w:rFonts w:ascii="Georgia" w:cs="Georgia" w:eastAsia="Georgia" w:hAnsi="Georgia"/>
          <w:b/>
          <w:bCs/>
          <w:color w:val="1F3864"/>
          <w:sz w:val="32"/>
          <w:szCs w:val="32"/>
        </w:rPr>
        <w:t xml:space="preserve">Lesson 1 · The Angel in the House? Women as Readers and Writers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Textbook</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p. 279 — Literature and Culture: Reading and Writing Women in the Victorian Age</w:t>
            </w:r>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Aims</w:t>
            </w:r>
          </w:p>
        </w:tc>
        <w:tc>
          By the end of the lesson, students can describe the position of women in Victorian society and the rise of women readers and writers, using at least four chunks from Chunk Bank 1 in connected speech.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Materials</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Textbook p. 279; Chunk Bank 1 (board or projected); stereograph image (Lead 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B2C5E" w:val="clear"/>
            <w:tcMar>
              <w:top w:type="dxa" w:w="80"/>
              <w:left w:type="dxa" w:w="120"/>
              <w:bottom w:type="dxa" w:w="80"/>
              <w:right w:type="dxa" w:w="120"/>
            </w:tcMar>
          </w:tcPr>
          <w:p>
            <w:pPr>
              <w:spacing w:after="40"/>
            </w:pPr>
            <w:r>
              <w:rPr>
                <w:rFonts w:ascii="Georgia" w:cs="Georgia" w:eastAsia="Georgia" w:hAnsi="Georgia"/>
                <w:b/>
                <w:bCs/>
                <w:color w:val="FFFFFF"/>
                <w:sz w:val="22"/>
                <w:szCs w:val="22"/>
              </w:rPr>
              <w:t xml:space="preserve">CHUNK BANK 1 · Talking about women and society</w:t>
            </w:r>
          </w:p>
        </w:tc>
      </w:tr>
      <w:tr>
        <w:tc>
          <w:tcPr>
            <w:tcW w:type="dxa" w:w="9360"/>
            <w:tcBorders>
              <w:top w:val="single" w:color="BFBFBF" w:sz="4"/>
              <w:left w:val="single" w:color="BFBFBF" w:sz="4"/>
              <w:bottom w:val="single" w:color="BFBFBF" w:sz="4"/>
              <w:right w:val="single" w:color="BFBFBF" w:sz="4"/>
            </w:tcBorders>
            <w:shd w:fill="F6EEF4" w:val="clear"/>
            <w:tcMar>
              <w:top w:type="dxa" w:w="80"/>
              <w:left w:type="dxa" w:w="120"/>
              <w:bottom w:type="dxa" w:w="80"/>
              <w:right w:type="dxa" w:w="120"/>
            </w:tcMar>
          </w:tcPr>
          <w:p>
            <w:pPr>
              <w:spacing w:after="40"/>
            </w:pPr>
            <w:r>
              <w:rPr>
                <w:rFonts w:ascii="Arial" w:cs="Arial" w:eastAsia="Arial" w:hAnsi="Arial"/>
                <w:i/>
                <w:iCs/>
                <w:color w:val="595959"/>
                <w:sz w:val="19"/>
                <w:szCs w:val="19"/>
              </w:rPr>
              <w:t xml:space="preserve">Notice these in the texts on p. 279. You will need them in every lesson of this unit.</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be confined to the domestic sphere</w:t>
            </w:r>
            <w:r>
              <w:rPr>
                <w:rFonts w:ascii="Arial" w:cs="Arial" w:eastAsia="Arial" w:hAnsi="Arial"/>
                <w:i/>
                <w:iCs/>
                <w:color w:val="595959"/>
                <w:sz w:val="20"/>
                <w:szCs w:val="20"/>
              </w:rPr>
              <w:t xml:space="preserve">  —  limited to home and family life</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be denied access to formal education</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a virtuous and acceptable pastime</w:t>
            </w:r>
            <w:r>
              <w:rPr>
                <w:rFonts w:ascii="Arial" w:cs="Arial" w:eastAsia="Arial" w:hAnsi="Arial"/>
                <w:i/>
                <w:iCs/>
                <w:color w:val="595959"/>
                <w:sz w:val="20"/>
                <w:szCs w:val="20"/>
              </w:rPr>
              <w:t xml:space="preserve">  —  how reading was seen for women</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the rise of the female reading public</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publish under a male pseudonym</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conform to strict gender norms</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face challenges and constrictions</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raise awareness of women-related issues</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gain financial independence</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challenge literary conventions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6500"/>
      </w:tblGrid>
      <w:tr>
        <w:trPr>
          <w:tblHeader/>
        </w:trPr>
        <w:tc>
          <w:tcPr>
            <w:tcW w:type="dxa" w:w="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pPr>
            <w:r>
              <w:rPr>
                <w:rFonts w:ascii="Arial" w:cs="Arial" w:eastAsia="Arial" w:hAnsi="Arial"/>
                <w:b/>
                <w:bCs/>
                <w:color w:val="FFFFFF"/>
                <w:sz w:val="21"/>
                <w:szCs w:val="21"/>
              </w:rPr>
              <w:t xml:space="preserve">Time</w:t>
            </w:r>
          </w:p>
        </w:tc>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pPr>
            <w:r>
              <w:rPr>
                <w:rFonts w:ascii="Arial" w:cs="Arial" w:eastAsia="Arial" w:hAnsi="Arial"/>
                <w:b/>
                <w:bCs/>
                <w:color w:val="FFFFFF"/>
                <w:sz w:val="21"/>
                <w:szCs w:val="21"/>
              </w:rPr>
              <w:t xml:space="preserve">Stage &amp; interaction</w:t>
            </w:r>
          </w:p>
        </w:tc>
        <w:tc>
          <w:tcPr>
            <w:tcW w:type="dxa" w:w="6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pPr>
            <w:r>
              <w:rPr>
                <w:rFonts w:ascii="Arial" w:cs="Arial" w:eastAsia="Arial" w:hAnsi="Arial"/>
                <w:b/>
                <w:bCs/>
                <w:color w:val="FFFFFF"/>
                <w:sz w:val="21"/>
                <w:szCs w:val="21"/>
              </w:rPr>
              <w:t xml:space="preserve">Procedure</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6′</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Lead-in: the “new woman”</w:t>
            </w:r>
          </w:p>
          <w:p>
            <w:pPr>
              <w:spacing w:after="40"/>
            </w:pPr>
            <w:r>
              <w:rPr>
                <w:rFonts w:ascii="Arial" w:cs="Arial" w:eastAsia="Arial" w:hAnsi="Arial"/>
                <w:i/>
                <w:iCs/>
                <w:color w:val="595959"/>
                <w:sz w:val="19"/>
                <w:szCs w:val="19"/>
              </w:rPr>
              <w:t xml:space="preserve">Pairs → open class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Project the stereograph (Lead In, p. 279). Pairs answer the three questions: what is the woman doing? What is the man doing? What does the picture reveal about how “reading women” were perceived?</w:t>
            </w:r>
          </w:p>
          <w:p>
            <w:pPr>
              <w:spacing w:after="40"/>
            </w:pPr>
            <w:r>
              <w:rPr>
                <w:rFonts w:ascii="Arial" w:cs="Arial" w:eastAsia="Arial" w:hAnsi="Arial"/>
                <w:sz w:val="21"/>
                <w:szCs w:val="21"/>
              </w:rPr>
              <w:t xml:space="preserve">Elicit: the image is satirical — the woman reads while the man does the washing. Reading women were seen as a comic threat to the “natural” order of the household.</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10′</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Chunk Bank 1: notice &amp; drill</w:t>
            </w:r>
          </w:p>
          <w:p>
            <w:pPr>
              <w:spacing w:after="40"/>
            </w:pPr>
            <w:r>
              <w:rPr>
                <w:rFonts w:ascii="Arial" w:cs="Arial" w:eastAsia="Arial" w:hAnsi="Arial"/>
                <w:i/>
                <w:iCs/>
                <w:color w:val="595959"/>
                <w:sz w:val="19"/>
                <w:szCs w:val="19"/>
              </w:rPr>
              <w:t xml:space="preserve">Open class → pairs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Present the chunks. Concept-check the difficult ones (domestic sphere, pseudonym, pastime). Choral and individual drilling for stress and linking: confined TO the doMEStic sphere.</w:t>
            </w:r>
          </w:p>
          <w:p>
            <w:pPr>
              <w:spacing w:after="40"/>
            </w:pPr>
            <w:r>
              <w:rPr>
                <w:rFonts w:ascii="Arial" w:cs="Arial" w:eastAsia="Arial" w:hAnsi="Arial"/>
                <w:sz w:val="21"/>
                <w:szCs w:val="21"/>
              </w:rPr>
              <w:t xml:space="preserve">Quick oral drill “chunk in context”: give a prompt (e.g. “Why Currer Bell?”), pairs answer in one full sentence containing the chunk.</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15′</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Jigsaw reading (expert groups)</w:t>
            </w:r>
          </w:p>
          <w:p>
            <w:pPr>
              <w:spacing w:after="40"/>
            </w:pPr>
            <w:r>
              <w:rPr>
                <w:rFonts w:ascii="Arial" w:cs="Arial" w:eastAsia="Arial" w:hAnsi="Arial"/>
                <w:i/>
                <w:iCs/>
                <w:color w:val="595959"/>
                <w:sz w:val="19"/>
                <w:szCs w:val="19"/>
              </w:rPr>
              <w:t xml:space="preserve">Groups of 3</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Divide the page into three texts: A — Women as readers; B — Women writers; C — The “golden isolation” of the Brontë sisters.</w:t>
            </w:r>
          </w:p>
          <w:p>
            <w:pPr>
              <w:spacing w:after="40"/>
            </w:pPr>
            <w:r>
              <w:rPr>
                <w:rFonts w:ascii="Arial" w:cs="Arial" w:eastAsia="Arial" w:hAnsi="Arial"/>
                <w:sz w:val="21"/>
                <w:szCs w:val="21"/>
              </w:rPr>
              <w:t xml:space="preserve">Expert groups: all A-students together, etc. Each group reads its text and prepares to teach it, using at least three chunks from the bank. They may note five key words only — no full sentences.</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12′</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Teach-back + Checkpoint</w:t>
            </w:r>
          </w:p>
          <w:p>
            <w:pPr>
              <w:spacing w:after="40"/>
            </w:pPr>
            <w:r>
              <w:rPr>
                <w:rFonts w:ascii="Arial" w:cs="Arial" w:eastAsia="Arial" w:hAnsi="Arial"/>
                <w:i/>
                <w:iCs/>
                <w:color w:val="595959"/>
                <w:sz w:val="19"/>
                <w:szCs w:val="19"/>
              </w:rPr>
              <w:t xml:space="preserve">Home groups of 3</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Re-form home groups (one A, one B, one C). Each expert teaches their text in c. 90 seconds; listeners take brief notes.</w:t>
            </w:r>
          </w:p>
          <w:p>
            <w:pPr>
              <w:spacing w:after="40"/>
            </w:pPr>
            <w:r>
              <w:rPr>
                <w:rFonts w:ascii="Arial" w:cs="Arial" w:eastAsia="Arial" w:hAnsi="Arial"/>
                <w:sz w:val="21"/>
                <w:szCs w:val="21"/>
              </w:rPr>
              <w:t xml:space="preserve">Groups then answer Checkpoint questions 1–5 (p. 279) orally, taking turns. Monitor and note chunk use for feedback.</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7′</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Feedback + exit task</w:t>
            </w:r>
          </w:p>
          <w:p>
            <w:pPr>
              <w:spacing w:after="40"/>
            </w:pPr>
            <w:r>
              <w:rPr>
                <w:rFonts w:ascii="Arial" w:cs="Arial" w:eastAsia="Arial" w:hAnsi="Arial"/>
                <w:i/>
                <w:iCs/>
                <w:color w:val="595959"/>
                <w:sz w:val="19"/>
                <w:szCs w:val="19"/>
              </w:rPr>
              <w:t xml:space="preserve">Open class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Whole-class check of Checkpoint answers (key in Teacher’s Booklet). Delayed error correction on the board.</w:t>
            </w:r>
          </w:p>
          <w:p>
            <w:pPr>
              <w:spacing w:after="40"/>
            </w:pPr>
            <w:r>
              <w:rPr>
                <w:rFonts w:ascii="Arial" w:cs="Arial" w:eastAsia="Arial" w:hAnsi="Arial"/>
                <w:sz w:val="21"/>
                <w:szCs w:val="21"/>
              </w:rPr>
              <w:t xml:space="preserve">Exit ticket: each student says (or writes) one sentence about Victorian women containing one chunk they had never used before.</w:t>
            </w:r>
          </w:p>
          <w:p>
            <w:pPr>
              <w:spacing w:after="40"/>
            </w:pPr>
            <w:r>
              <w:rPr>
                <w:rFonts w:ascii="Arial" w:cs="Arial" w:eastAsia="Arial" w:hAnsi="Arial"/>
                <w:sz w:val="21"/>
                <w:szCs w:val="21"/>
              </w:rPr>
              <w:t xml:space="preserve">Set homework: prepare the Oracy Lab 2-minute presentation (Ex. 3, p. 279) on the role of women in Victorian literary history — delivered in pairs at the start of Lesson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0"/>
                <w:szCs w:val="20"/>
              </w:rPr>
              <w:t xml:space="preserve">Teacher notes</w:t>
            </w:r>
          </w:p>
          <w:p>
            <w:pPr>
              <w:spacing w:after="50"/>
            </w:pPr>
            <w:r>
              <w:rPr>
                <w:rFonts w:ascii="Arial" w:cs="Arial" w:eastAsia="Arial" w:hAnsi="Arial"/>
                <w:color w:val="1F3864"/>
                <w:sz w:val="20"/>
                <w:szCs w:val="20"/>
              </w:rPr>
              <w:t xml:space="preserve">• </w:t>
            </w:r>
            <w:r>
              <w:rPr>
                <w:rFonts w:ascii="Arial" w:cs="Arial" w:eastAsia="Arial" w:hAnsi="Arial"/>
                <w:sz w:val="20"/>
                <w:szCs w:val="20"/>
              </w:rPr>
              <w:t xml:space="preserve">Exploit the artistic identity of the class: the Birket Foster illustration and the Branwell Brontë portrait invite quick visual analysis (composition, the painted-out brother) that feeds directly into the theme of female visibility and erasure.</w:t>
            </w:r>
          </w:p>
          <w:p>
            <w:pPr>
              <w:spacing w:after="50"/>
            </w:pPr>
            <w:r>
              <w:rPr>
                <w:rFonts w:ascii="Arial" w:cs="Arial" w:eastAsia="Arial" w:hAnsi="Arial"/>
                <w:color w:val="1F3864"/>
                <w:sz w:val="20"/>
                <w:szCs w:val="20"/>
              </w:rPr>
              <w:t xml:space="preserve">• </w:t>
            </w:r>
            <w:r>
              <w:rPr>
                <w:rFonts w:ascii="Arial" w:cs="Arial" w:eastAsia="Arial" w:hAnsi="Arial"/>
                <w:sz w:val="20"/>
                <w:szCs w:val="20"/>
              </w:rPr>
              <w:t xml:space="preserve">DSA students: give the jigsaw text in advance or highlight its topic sentences; allow keyword cards for the teach-back.</w:t>
            </w:r>
          </w:p>
          <w:p>
            <w:pPr>
              <w:spacing w:after="50"/>
            </w:pPr>
            <w:r>
              <w:rPr>
                <w:rFonts w:ascii="Arial" w:cs="Arial" w:eastAsia="Arial" w:hAnsi="Arial"/>
                <w:color w:val="1F3864"/>
                <w:sz w:val="20"/>
                <w:szCs w:val="20"/>
              </w:rPr>
              <w:t xml:space="preserve">• </w:t>
            </w:r>
            <w:r>
              <w:rPr>
                <w:rFonts w:ascii="Arial" w:cs="Arial" w:eastAsia="Arial" w:hAnsi="Arial"/>
                <w:sz w:val="20"/>
                <w:szCs w:val="20"/>
              </w:rPr>
              <w:t xml:space="preserve">If the class is strong, add the question: is reading still gendered today? (links forward to the Educazione Civica strand).</w:t>
            </w:r>
          </w:p>
        </w:tc>
      </w:tr>
    </w:tbl>
    <w:p>
      <w:r>
        <w:br w:type="page"/>
      </w:r>
    </w:p>
    <w:p>
      <w:pPr>
        <w:pStyle w:val="Heading1"/>
        <w:spacing w:after="160" w:before="240"/>
      </w:pPr>
      <w:r>
        <w:rPr>
          <w:rFonts w:ascii="Georgia" w:cs="Georgia" w:eastAsia="Georgia" w:hAnsi="Georgia"/>
          <w:b/>
          <w:bCs/>
          <w:color w:val="1F3864"/>
          <w:sz w:val="32"/>
          <w:szCs w:val="32"/>
        </w:rPr>
        <w:t xml:space="preserve">Lesson 2 · Getting to Know Wuthering Heights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Textbook</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pp. 280–281 — Emily Brontë biography, plot, main themes, Key Topics: Equality</w:t>
            </w:r>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Aims</w:t>
            </w:r>
          </w:p>
        </w:tc>
        <w:tc>
          Students can retell the plot of Wuthering Heights as a chain of connected events and name its four main themes, using Chunk Bank 2; they consolidate listening skills through the biography gap-fill.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Materials</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Textbook pp. 280–281; audio track 125; Chunk Bank 2; theme cards (optional)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B2C5E" w:val="clear"/>
            <w:tcMar>
              <w:top w:type="dxa" w:w="80"/>
              <w:left w:type="dxa" w:w="120"/>
              <w:bottom w:type="dxa" w:w="80"/>
              <w:right w:type="dxa" w:w="120"/>
            </w:tcMar>
          </w:tcPr>
          <w:p>
            <w:pPr>
              <w:spacing w:after="40"/>
            </w:pPr>
            <w:r>
              <w:rPr>
                <w:rFonts w:ascii="Georgia" w:cs="Georgia" w:eastAsia="Georgia" w:hAnsi="Georgia"/>
                <w:b/>
                <w:bCs/>
                <w:color w:val="FFFFFF"/>
                <w:sz w:val="22"/>
                <w:szCs w:val="22"/>
              </w:rPr>
              <w:t xml:space="preserve">CHUNK BANK 2 · Telling the story of a novel</w:t>
            </w:r>
          </w:p>
        </w:tc>
      </w:tr>
      <w:tr>
        <w:tc>
          <w:tcPr>
            <w:tcW w:type="dxa" w:w="9360"/>
            <w:tcBorders>
              <w:top w:val="single" w:color="BFBFBF" w:sz="4"/>
              <w:left w:val="single" w:color="BFBFBF" w:sz="4"/>
              <w:bottom w:val="single" w:color="BFBFBF" w:sz="4"/>
              <w:right w:val="single" w:color="BFBFBF" w:sz="4"/>
            </w:tcBorders>
            <w:shd w:fill="F6EEF4" w:val="clear"/>
            <w:tcMar>
              <w:top w:type="dxa" w:w="80"/>
              <w:left w:type="dxa" w:w="120"/>
              <w:bottom w:type="dxa" w:w="80"/>
              <w:right w:type="dxa" w:w="120"/>
            </w:tcMar>
          </w:tcPr>
          <w:p>
            <w:pPr>
              <w:spacing w:after="40"/>
            </w:pPr>
            <w:r>
              <w:rPr>
                <w:rFonts w:ascii="Arial" w:cs="Arial" w:eastAsia="Arial" w:hAnsi="Arial"/>
                <w:i/>
                <w:iCs/>
                <w:color w:val="595959"/>
                <w:sz w:val="19"/>
                <w:szCs w:val="19"/>
              </w:rPr>
              <w:t xml:space="preserve">The all-purpose toolkit for plot and themes — you will reuse these for every novel this year.</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the novel opens with…</w:t>
            </w:r>
            <w:r>
              <w:rPr>
                <w:rFonts w:ascii="Arial" w:cs="Arial" w:eastAsia="Arial" w:hAnsi="Arial"/>
                <w:i/>
                <w:iCs/>
                <w:color w:val="595959"/>
                <w:sz w:val="20"/>
                <w:szCs w:val="20"/>
              </w:rPr>
              <w:t xml:space="preserve">  —  e.g. the retrospective narration of Mr Lockwood</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the story is told in retrospect</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the novel revolves around…</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grow attached to somebody</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be torn between passion and social conventions</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run away and return a rich man</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exact revenge on somebody</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be haunted by somebody’s ghost</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a devastating, all-consuming love</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the clash between individual aspirations and material conditions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6500"/>
      </w:tblGrid>
      <w:tr>
        <w:trPr>
          <w:tblHeader/>
        </w:trPr>
        <w:tc>
          <w:tcPr>
            <w:tcW w:type="dxa" w:w="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pPr>
            <w:r>
              <w:rPr>
                <w:rFonts w:ascii="Arial" w:cs="Arial" w:eastAsia="Arial" w:hAnsi="Arial"/>
                <w:b/>
                <w:bCs/>
                <w:color w:val="FFFFFF"/>
                <w:sz w:val="21"/>
                <w:szCs w:val="21"/>
              </w:rPr>
              <w:t xml:space="preserve">Time</w:t>
            </w:r>
          </w:p>
        </w:tc>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pPr>
            <w:r>
              <w:rPr>
                <w:rFonts w:ascii="Arial" w:cs="Arial" w:eastAsia="Arial" w:hAnsi="Arial"/>
                <w:b/>
                <w:bCs/>
                <w:color w:val="FFFFFF"/>
                <w:sz w:val="21"/>
                <w:szCs w:val="21"/>
              </w:rPr>
              <w:t xml:space="preserve">Stage &amp; interaction</w:t>
            </w:r>
          </w:p>
        </w:tc>
        <w:tc>
          <w:tcPr>
            <w:tcW w:type="dxa" w:w="6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pPr>
            <w:r>
              <w:rPr>
                <w:rFonts w:ascii="Arial" w:cs="Arial" w:eastAsia="Arial" w:hAnsi="Arial"/>
                <w:b/>
                <w:bCs/>
                <w:color w:val="FFFFFF"/>
                <w:sz w:val="21"/>
                <w:szCs w:val="21"/>
              </w:rPr>
              <w:t xml:space="preserve">Procedure</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8′</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Warm-up: 2-minute presentations</w:t>
            </w:r>
          </w:p>
          <w:p>
            <w:pPr>
              <w:spacing w:after="40"/>
            </w:pPr>
            <w:r>
              <w:rPr>
                <w:rFonts w:ascii="Arial" w:cs="Arial" w:eastAsia="Arial" w:hAnsi="Arial"/>
                <w:i/>
                <w:iCs/>
                <w:color w:val="595959"/>
                <w:sz w:val="19"/>
                <w:szCs w:val="19"/>
              </w:rPr>
              <w:t xml:space="preserve">Pairs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Homework check: students deliver their Oracy Lab presentation (p. 279) to a partner, who listens with a simple checklist: Did they mention readers? Writers? Pseudonyms? The Brontës? Which chunks did they use?</w:t>
            </w:r>
          </w:p>
          <w:p>
            <w:pPr>
              <w:spacing w:after="40"/>
            </w:pPr>
            <w:r>
              <w:rPr>
                <w:rFonts w:ascii="Arial" w:cs="Arial" w:eastAsia="Arial" w:hAnsi="Arial"/>
                <w:sz w:val="21"/>
                <w:szCs w:val="21"/>
              </w:rPr>
              <w:t xml:space="preserve">Two or three volunteers give a 30-second highlight to the class.</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5′</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Lead In: impossible love</w:t>
            </w:r>
          </w:p>
          <w:p>
            <w:pPr>
              <w:spacing w:after="40"/>
            </w:pPr>
            <w:r>
              <w:rPr>
                <w:rFonts w:ascii="Arial" w:cs="Arial" w:eastAsia="Arial" w:hAnsi="Arial"/>
                <w:i/>
                <w:iCs/>
                <w:color w:val="595959"/>
                <w:sz w:val="19"/>
                <w:szCs w:val="19"/>
              </w:rPr>
              <w:t xml:space="preserve">Open class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Lead In, p. 280: name stories of “impossible love” from literature and cinema. What do they have in common? Expect Romeo and Juliet (recycles Year 3), Titanic, etc. Board the obstacles students mention: family, class, money, death.</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8′</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Listening: who was Emily Brontë?</w:t>
            </w:r>
          </w:p>
          <w:p>
            <w:pPr>
              <w:spacing w:after="40"/>
            </w:pPr>
            <w:r>
              <w:rPr>
                <w:rFonts w:ascii="Arial" w:cs="Arial" w:eastAsia="Arial" w:hAnsi="Arial"/>
                <w:i/>
                <w:iCs/>
                <w:color w:val="595959"/>
                <w:sz w:val="19"/>
                <w:szCs w:val="19"/>
              </w:rPr>
              <w:t xml:space="preserve">Individual → pairs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Ex. 2, p. 280: students complete the biography with the eight words (when / some / age / later / life / used / after / were), then listen to track 125 and check.</w:t>
            </w:r>
          </w:p>
          <w:p>
            <w:pPr>
              <w:spacing w:after="40"/>
            </w:pPr>
            <w:r>
              <w:rPr>
                <w:rFonts w:ascii="Arial" w:cs="Arial" w:eastAsia="Arial" w:hAnsi="Arial"/>
                <w:sz w:val="21"/>
                <w:szCs w:val="21"/>
              </w:rPr>
              <w:t xml:space="preserve">Quick oral follow-up: which facts connect to Lesson 1? (Pseudonyms — Poems by Currer, Ellis, and Acton Bell; isolation in Haworth.)</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14′</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Plot: story circle</w:t>
            </w:r>
          </w:p>
          <w:p>
            <w:pPr>
              <w:spacing w:after="40"/>
            </w:pPr>
            <w:r>
              <w:rPr>
                <w:rFonts w:ascii="Arial" w:cs="Arial" w:eastAsia="Arial" w:hAnsi="Arial"/>
                <w:i/>
                <w:iCs/>
                <w:color w:val="595959"/>
                <w:sz w:val="19"/>
                <w:szCs w:val="19"/>
              </w:rPr>
              <w:t xml:space="preserve">Groups of 5–6</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Students read “Wuthering Heights — The plot” silently (3′). Books closed.</w:t>
            </w:r>
          </w:p>
          <w:p>
            <w:pPr>
              <w:spacing w:after="40"/>
            </w:pPr>
            <w:r>
              <w:rPr>
                <w:rFonts w:ascii="Arial" w:cs="Arial" w:eastAsia="Arial" w:hAnsi="Arial"/>
                <w:sz w:val="21"/>
                <w:szCs w:val="21"/>
              </w:rPr>
              <w:t xml:space="preserve">Present Chunk Bank 2. Story circle: going round the group, each student advances the plot by one sentence, and each sentence must contain one chunk from the bank. If a student is stuck, the group may “rewind” one turn to help.</w:t>
            </w:r>
          </w:p>
          <w:p>
            <w:pPr>
              <w:spacing w:after="40"/>
            </w:pPr>
            <w:r>
              <w:rPr>
                <w:rFonts w:ascii="Arial" w:cs="Arial" w:eastAsia="Arial" w:hAnsi="Arial"/>
                <w:sz w:val="21"/>
                <w:szCs w:val="21"/>
              </w:rPr>
              <w:t xml:space="preserve">Second round at speed for fluency: same story, half the time.</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10′</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Themes + Vocabulary Lab</w:t>
            </w:r>
          </w:p>
          <w:p>
            <w:pPr>
              <w:spacing w:after="40"/>
            </w:pPr>
            <w:r>
              <w:rPr>
                <w:rFonts w:ascii="Arial" w:cs="Arial" w:eastAsia="Arial" w:hAnsi="Arial"/>
                <w:i/>
                <w:iCs/>
                <w:color w:val="595959"/>
                <w:sz w:val="19"/>
                <w:szCs w:val="19"/>
              </w:rPr>
              <w:t xml:space="preserve">Pairs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Pairs divide the four themes (love and passion / revenge / nature vs civilisation / the supernatural): each student reads two and explains them to the partner in their own words.</w:t>
            </w:r>
          </w:p>
          <w:p>
            <w:pPr>
              <w:spacing w:after="40"/>
            </w:pPr>
            <w:r>
              <w:rPr>
                <w:rFonts w:ascii="Arial" w:cs="Arial" w:eastAsia="Arial" w:hAnsi="Arial"/>
                <w:sz w:val="21"/>
                <w:szCs w:val="21"/>
              </w:rPr>
              <w:t xml:space="preserve">Vocabulary Lab Ex. 3, p. 281: find the English translations (legame, vendetta, raccapricciante, morboso, indomabile, ville, incontrollabile) in “The main themes”. Check in open class — these feed straight back into the retell.</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5′</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Exit: Reflect &amp; Discuss</w:t>
            </w:r>
          </w:p>
          <w:p>
            <w:pPr>
              <w:spacing w:after="40"/>
            </w:pPr>
            <w:r>
              <w:rPr>
                <w:rFonts w:ascii="Arial" w:cs="Arial" w:eastAsia="Arial" w:hAnsi="Arial"/>
                <w:i/>
                <w:iCs/>
                <w:color w:val="595959"/>
                <w:sz w:val="19"/>
                <w:szCs w:val="19"/>
              </w:rPr>
              <w:t xml:space="preserve">Open class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Reflect &amp; Discuss Ex. 4 Q1, p. 281: what causes Heathcliff’s and Catherine’s “isolation”, and what effects does it have? One-minute paired rehearsal, then two answers to the class.</w:t>
            </w:r>
          </w:p>
          <w:p>
            <w:pPr>
              <w:spacing w:after="40"/>
            </w:pPr>
            <w:r>
              <w:rPr>
                <w:rFonts w:ascii="Arial" w:cs="Arial" w:eastAsia="Arial" w:hAnsi="Arial"/>
                <w:sz w:val="21"/>
                <w:szCs w:val="21"/>
              </w:rPr>
              <w:t xml:space="preserve">Preview: next lesson we look at who tells this story — and why that matters.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0"/>
                <w:szCs w:val="20"/>
              </w:rPr>
              <w:t xml:space="preserve">Teacher notes</w:t>
            </w:r>
          </w:p>
          <w:p>
            <w:pPr>
              <w:spacing w:after="50"/>
            </w:pPr>
            <w:r>
              <w:rPr>
                <w:rFonts w:ascii="Arial" w:cs="Arial" w:eastAsia="Arial" w:hAnsi="Arial"/>
                <w:color w:val="1F3864"/>
                <w:sz w:val="20"/>
                <w:szCs w:val="20"/>
              </w:rPr>
              <w:t xml:space="preserve">• </w:t>
            </w:r>
            <w:r>
              <w:rPr>
                <w:rFonts w:ascii="Arial" w:cs="Arial" w:eastAsia="Arial" w:hAnsi="Arial"/>
                <w:sz w:val="20"/>
                <w:szCs w:val="20"/>
              </w:rPr>
              <w:t xml:space="preserve">The story circle is the heart of the lesson: keep it strictly oral, monitor for chunk use, and run delayed correction only after the second round.</w:t>
            </w:r>
          </w:p>
          <w:p>
            <w:pPr>
              <w:spacing w:after="50"/>
            </w:pPr>
            <w:r>
              <w:rPr>
                <w:rFonts w:ascii="Arial" w:cs="Arial" w:eastAsia="Arial" w:hAnsi="Arial"/>
                <w:color w:val="1F3864"/>
                <w:sz w:val="20"/>
                <w:szCs w:val="20"/>
              </w:rPr>
              <w:t xml:space="preserve">• </w:t>
            </w:r>
            <w:r>
              <w:rPr>
                <w:rFonts w:ascii="Arial" w:cs="Arial" w:eastAsia="Arial" w:hAnsi="Arial"/>
                <w:sz w:val="20"/>
                <w:szCs w:val="20"/>
              </w:rPr>
              <w:t xml:space="preserve">The Key Topics: Equality box (p. 281) can be read aloud at the end of the themes stage — it frames marriage as an economic question and sets up Lessons 3–5.</w:t>
            </w:r>
          </w:p>
          <w:p>
            <w:pPr>
              <w:spacing w:after="50"/>
            </w:pPr>
            <w:r>
              <w:rPr>
                <w:rFonts w:ascii="Arial" w:cs="Arial" w:eastAsia="Arial" w:hAnsi="Arial"/>
                <w:color w:val="1F3864"/>
                <w:sz w:val="20"/>
                <w:szCs w:val="20"/>
              </w:rPr>
              <w:t xml:space="preserve">• </w:t>
            </w:r>
            <w:r>
              <w:rPr>
                <w:rFonts w:ascii="Arial" w:cs="Arial" w:eastAsia="Arial" w:hAnsi="Arial"/>
                <w:sz w:val="20"/>
                <w:szCs w:val="20"/>
              </w:rPr>
              <w:t xml:space="preserve">DSA: for the gap-fill, reduce the word bank to the exact number needed per paragraph; for the story circle, provide a sequenced picture strip of the plot.</w:t>
            </w:r>
          </w:p>
        </w:tc>
      </w:tr>
    </w:tbl>
    <w:p>
      <w:r>
        <w:br w:type="page"/>
      </w:r>
    </w:p>
    <w:p>
      <w:pPr>
        <w:pStyle w:val="Heading1"/>
        <w:spacing w:after="160" w:before="240"/>
      </w:pPr>
      <w:r>
        <w:rPr>
          <w:rFonts w:ascii="Georgia" w:cs="Georgia" w:eastAsia="Georgia" w:hAnsi="Georgia"/>
          <w:b/>
          <w:bCs/>
          <w:color w:val="1F3864"/>
          <w:sz w:val="32"/>
          <w:szCs w:val="32"/>
        </w:rPr>
        <w:t xml:space="preserve">Lesson 3 · Two Unreliable Narrators — Heart or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Textbook</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pp. 282–284 — Narrative structure, language and style; “The dilemma between heart and reason” (Ch. 9, part 1)</w:t>
            </w:r>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Aims</w:t>
            </w:r>
          </w:p>
        </w:tc>
        <w:tc>
          Students can describe the frame-narrative structure of the novel using Chunk Bank 3, and can follow and analyse the first half of the Chapter 9 dialogue, identifying Catherine’s stated reasons for accepting Edgar.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Materials</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Textbook pp. 282–284; audio track 126; Chunk Bank 3; “THE READER” concentric diagram (p. 282)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B2C5E" w:val="clear"/>
            <w:tcMar>
              <w:top w:type="dxa" w:w="80"/>
              <w:left w:type="dxa" w:w="120"/>
              <w:bottom w:type="dxa" w:w="80"/>
              <w:right w:type="dxa" w:w="120"/>
            </w:tcMar>
          </w:tcPr>
          <w:p>
            <w:pPr>
              <w:spacing w:after="40"/>
            </w:pPr>
            <w:r>
              <w:rPr>
                <w:rFonts w:ascii="Georgia" w:cs="Georgia" w:eastAsia="Georgia" w:hAnsi="Georgia"/>
                <w:b/>
                <w:bCs/>
                <w:color w:val="FFFFFF"/>
                <w:sz w:val="22"/>
                <w:szCs w:val="22"/>
              </w:rPr>
              <w:t xml:space="preserve">CHUNK BANK 3 · Talking about narrators and structure</w:t>
            </w:r>
          </w:p>
        </w:tc>
      </w:tr>
      <w:tr>
        <w:tc>
          <w:tcPr>
            <w:tcW w:type="dxa" w:w="9360"/>
            <w:tcBorders>
              <w:top w:val="single" w:color="BFBFBF" w:sz="4"/>
              <w:left w:val="single" w:color="BFBFBF" w:sz="4"/>
              <w:bottom w:val="single" w:color="BFBFBF" w:sz="4"/>
              <w:right w:val="single" w:color="BFBFBF" w:sz="4"/>
            </w:tcBorders>
            <w:shd w:fill="F6EEF4" w:val="clear"/>
            <w:tcMar>
              <w:top w:type="dxa" w:w="80"/>
              <w:left w:type="dxa" w:w="120"/>
              <w:bottom w:type="dxa" w:w="80"/>
              <w:right w:type="dxa" w:w="120"/>
            </w:tcMar>
          </w:tcPr>
          <w:p>
            <w:pPr>
              <w:spacing w:after="40"/>
            </w:pPr>
            <w:r>
              <w:rPr>
                <w:rFonts w:ascii="Arial" w:cs="Arial" w:eastAsia="Arial" w:hAnsi="Arial"/>
                <w:i/>
                <w:iCs/>
                <w:color w:val="595959"/>
                <w:sz w:val="19"/>
                <w:szCs w:val="19"/>
              </w:rPr>
              <w:t xml:space="preserve">The technical vocabulary of narration — essential for the Esame di Stato oral.</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a frame narrative / an embedded narrative</w:t>
            </w:r>
            <w:r>
              <w:rPr>
                <w:rFonts w:ascii="Arial" w:cs="Arial" w:eastAsia="Arial" w:hAnsi="Arial"/>
                <w:i/>
                <w:iCs/>
                <w:color w:val="595959"/>
                <w:sz w:val="20"/>
                <w:szCs w:val="20"/>
              </w:rPr>
              <w:t xml:space="preserve">  —  a story inside a story</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an unreliable narrator</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be told from the point of view of…</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an eye-witness to the events</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move backwards and forwards through flashbacks</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create an effect of impersonality</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enhance the sense of mystery</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in the Gothic tradition</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a poetic and evocative narrative style</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the story starts at the end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6500"/>
      </w:tblGrid>
      <w:tr>
        <w:trPr>
          <w:tblHeader/>
        </w:trPr>
        <w:tc>
          <w:tcPr>
            <w:tcW w:type="dxa" w:w="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pPr>
            <w:r>
              <w:rPr>
                <w:rFonts w:ascii="Arial" w:cs="Arial" w:eastAsia="Arial" w:hAnsi="Arial"/>
                <w:b/>
                <w:bCs/>
                <w:color w:val="FFFFFF"/>
                <w:sz w:val="21"/>
                <w:szCs w:val="21"/>
              </w:rPr>
              <w:t xml:space="preserve">Time</w:t>
            </w:r>
          </w:p>
        </w:tc>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pPr>
            <w:r>
              <w:rPr>
                <w:rFonts w:ascii="Arial" w:cs="Arial" w:eastAsia="Arial" w:hAnsi="Arial"/>
                <w:b/>
                <w:bCs/>
                <w:color w:val="FFFFFF"/>
                <w:sz w:val="21"/>
                <w:szCs w:val="21"/>
              </w:rPr>
              <w:t xml:space="preserve">Stage &amp; interaction</w:t>
            </w:r>
          </w:p>
        </w:tc>
        <w:tc>
          <w:tcPr>
            <w:tcW w:type="dxa" w:w="6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pPr>
            <w:r>
              <w:rPr>
                <w:rFonts w:ascii="Arial" w:cs="Arial" w:eastAsia="Arial" w:hAnsi="Arial"/>
                <w:b/>
                <w:bCs/>
                <w:color w:val="FFFFFF"/>
                <w:sz w:val="21"/>
                <w:szCs w:val="21"/>
              </w:rPr>
              <w:t xml:space="preserve">Procedure</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5′</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Warm-up: chunk retrieval race</w:t>
            </w:r>
          </w:p>
          <w:p>
            <w:pPr>
              <w:spacing w:after="40"/>
            </w:pPr>
            <w:r>
              <w:rPr>
                <w:rFonts w:ascii="Arial" w:cs="Arial" w:eastAsia="Arial" w:hAnsi="Arial"/>
                <w:i/>
                <w:iCs/>
                <w:color w:val="595959"/>
                <w:sz w:val="19"/>
                <w:szCs w:val="19"/>
              </w:rPr>
              <w:t xml:space="preserve">Pairs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Board six Italian prompts (e.g. vendetta su, perseguitato da un fantasma, diviso tra passione e convenzioni sociali). Pairs race to produce the English chunk from Banks 1–2. First pair to six wins.</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10′</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Narrative structure</w:t>
            </w:r>
          </w:p>
          <w:p>
            <w:pPr>
              <w:spacing w:after="40"/>
            </w:pPr>
            <w:r>
              <w:rPr>
                <w:rFonts w:ascii="Arial" w:cs="Arial" w:eastAsia="Arial" w:hAnsi="Arial"/>
                <w:i/>
                <w:iCs/>
                <w:color w:val="595959"/>
                <w:sz w:val="19"/>
                <w:szCs w:val="19"/>
              </w:rPr>
              <w:t xml:space="preserve">Individual → open class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Students read “Narrative structure, language and style” (p. 282) and study the concentric diagram: Lockwood’s narrative → Nelly’s narrative → Wuthering Heights.</w:t>
            </w:r>
          </w:p>
          <w:p>
            <w:pPr>
              <w:spacing w:after="40"/>
            </w:pPr>
            <w:r>
              <w:rPr>
                <w:rFonts w:ascii="Arial" w:cs="Arial" w:eastAsia="Arial" w:hAnsi="Arial"/>
                <w:sz w:val="21"/>
                <w:szCs w:val="21"/>
              </w:rPr>
              <w:t xml:space="preserve">Elicit with Chunk Bank 3 on the board: Why two narrators? Why are they unreliable (Nelly’s superstitions and prejudices; Lockwood the outsider)? What effect is created? (Impersonality, mystery.)</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10′</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Oracy Lab: the Russian doll</w:t>
            </w:r>
          </w:p>
          <w:p>
            <w:pPr>
              <w:spacing w:after="40"/>
            </w:pPr>
            <w:r>
              <w:rPr>
                <w:rFonts w:ascii="Arial" w:cs="Arial" w:eastAsia="Arial" w:hAnsi="Arial"/>
                <w:i/>
                <w:iCs/>
                <w:color w:val="595959"/>
                <w:sz w:val="19"/>
                <w:szCs w:val="19"/>
              </w:rPr>
              <w:t xml:space="preserve">Pairs (A/B)</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Oracy Lab Ex. 6, p. 282: using the diagram only (text covered), Student A gives a 2-minute presentation of the narrative structure to Student B, who ticks the Chunk Bank 3 items used. Swap roles with a new constraint: B must use at least two chunks A did not use.</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4′</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Lead In: heart or $?</w:t>
            </w:r>
          </w:p>
          <w:p>
            <w:pPr>
              <w:spacing w:after="40"/>
            </w:pPr>
            <w:r>
              <w:rPr>
                <w:rFonts w:ascii="Arial" w:cs="Arial" w:eastAsia="Arial" w:hAnsi="Arial"/>
                <w:i/>
                <w:iCs/>
                <w:color w:val="595959"/>
                <w:sz w:val="19"/>
                <w:szCs w:val="19"/>
              </w:rPr>
              <w:t xml:space="preserve">Open class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Lead In, p. 283: which would you choose — and is it always possible to make a free choice? Board the question; return to it in the exit stage.</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12′</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Text: Catherine’s confession</w:t>
            </w:r>
          </w:p>
          <w:p>
            <w:pPr>
              <w:spacing w:after="40"/>
            </w:pPr>
            <w:r>
              <w:rPr>
                <w:rFonts w:ascii="Arial" w:cs="Arial" w:eastAsia="Arial" w:hAnsi="Arial"/>
                <w:i/>
                <w:iCs/>
                <w:color w:val="595959"/>
                <w:sz w:val="19"/>
                <w:szCs w:val="19"/>
              </w:rPr>
              <w:t xml:space="preserve">Individual → pairs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Set the scene (rubric, p. 283): Catherine tells Nelly she has accepted Edgar’s proposal. Play track 126 while students follow lines 1–67.</w:t>
            </w:r>
          </w:p>
          <w:p>
            <w:pPr>
              <w:spacing w:after="40"/>
            </w:pPr>
            <w:r>
              <w:rPr>
                <w:rFonts w:ascii="Arial" w:cs="Arial" w:eastAsia="Arial" w:hAnsi="Arial"/>
                <w:sz w:val="21"/>
                <w:szCs w:val="21"/>
              </w:rPr>
              <w:t xml:space="preserve">Comprehension Ex. 3, p. 284: complete the summary with the seven words (conflict / superficial / handsome / shares / proposal / loves / understand). Pairs compare; open-class check.</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9′</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First analysis + opposites</w:t>
            </w:r>
          </w:p>
          <w:p>
            <w:pPr>
              <w:spacing w:after="40"/>
            </w:pPr>
            <w:r>
              <w:rPr>
                <w:rFonts w:ascii="Arial" w:cs="Arial" w:eastAsia="Arial" w:hAnsi="Arial"/>
                <w:i/>
                <w:iCs/>
                <w:color w:val="595959"/>
                <w:sz w:val="19"/>
                <w:szCs w:val="19"/>
              </w:rPr>
              <w:t xml:space="preserve">Trios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Vocabulary Lab Ex. 2, p. 284: arrange the ten words as five pairs of opposites (consent–denial, love–hate, right–wrong, handsome–ugly, silly–wise). Point out that the extract itself is built on these oppositions.</w:t>
            </w:r>
          </w:p>
          <w:p>
            <w:pPr>
              <w:spacing w:after="40"/>
            </w:pPr>
            <w:r>
              <w:rPr>
                <w:rFonts w:ascii="Arial" w:cs="Arial" w:eastAsia="Arial" w:hAnsi="Arial"/>
                <w:sz w:val="21"/>
                <w:szCs w:val="21"/>
              </w:rPr>
              <w:t xml:space="preserve">Trios begin Analysis &amp; Interpretation Ex. 4, questions 1–3 (Nelly’s two questions; why Catherine’s replies leave Nelly unhappy). Finish for homework; full discussion opens Lesson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0"/>
                <w:szCs w:val="20"/>
              </w:rPr>
              <w:t xml:space="preserve">Teacher notes</w:t>
            </w:r>
          </w:p>
          <w:p>
            <w:pPr>
              <w:spacing w:after="50"/>
            </w:pPr>
            <w:r>
              <w:rPr>
                <w:rFonts w:ascii="Arial" w:cs="Arial" w:eastAsia="Arial" w:hAnsi="Arial"/>
                <w:color w:val="1F3864"/>
                <w:sz w:val="20"/>
                <w:szCs w:val="20"/>
              </w:rPr>
              <w:t xml:space="preserve">• </w:t>
            </w:r>
            <w:r>
              <w:rPr>
                <w:rFonts w:ascii="Arial" w:cs="Arial" w:eastAsia="Arial" w:hAnsi="Arial"/>
                <w:sz w:val="20"/>
                <w:szCs w:val="20"/>
              </w:rPr>
              <w:t xml:space="preserve">The catechism (ll. 20–46) rewards a dramatic read-aloud: assign Nelly and Catherine to two confident students and have the class listen for the moment where Catherine’s certainty cracks (“Here! and here!”).</w:t>
            </w:r>
          </w:p>
          <w:p>
            <w:pPr>
              <w:spacing w:after="50"/>
            </w:pPr>
            <w:r>
              <w:rPr>
                <w:rFonts w:ascii="Arial" w:cs="Arial" w:eastAsia="Arial" w:hAnsi="Arial"/>
                <w:color w:val="1F3864"/>
                <w:sz w:val="20"/>
                <w:szCs w:val="20"/>
              </w:rPr>
              <w:t xml:space="preserve">• </w:t>
            </w:r>
            <w:r>
              <w:rPr>
                <w:rFonts w:ascii="Arial" w:cs="Arial" w:eastAsia="Arial" w:hAnsi="Arial"/>
                <w:sz w:val="20"/>
                <w:szCs w:val="20"/>
              </w:rPr>
              <w:t xml:space="preserve">Language to pre-teach or gloss quickly: winsome, peevishly, pledged, hinder — the marginal glosses do most of the work.</w:t>
            </w:r>
          </w:p>
          <w:p>
            <w:pPr>
              <w:spacing w:after="50"/>
            </w:pPr>
            <w:r>
              <w:rPr>
                <w:rFonts w:ascii="Arial" w:cs="Arial" w:eastAsia="Arial" w:hAnsi="Arial"/>
                <w:color w:val="1F3864"/>
                <w:sz w:val="20"/>
                <w:szCs w:val="20"/>
              </w:rPr>
              <w:t xml:space="preserve">• </w:t>
            </w:r>
            <w:r>
              <w:rPr>
                <w:rFonts w:ascii="Arial" w:cs="Arial" w:eastAsia="Arial" w:hAnsi="Arial"/>
                <w:sz w:val="20"/>
                <w:szCs w:val="20"/>
              </w:rPr>
              <w:t xml:space="preserve">Link to Lesson 1: Catherine’s “I shall be the greatest woman of the neighbourhood” is only achievable through marriage — a woman’s status is marital status.</w:t>
            </w:r>
          </w:p>
        </w:tc>
      </w:tr>
    </w:tbl>
    <w:p>
      <w:r>
        <w:br w:type="page"/>
      </w:r>
    </w:p>
    <w:p>
      <w:pPr>
        <w:pStyle w:val="Heading1"/>
        <w:spacing w:after="160" w:before="240"/>
      </w:pPr>
      <w:r>
        <w:rPr>
          <w:rFonts w:ascii="Georgia" w:cs="Georgia" w:eastAsia="Georgia" w:hAnsi="Georgia"/>
          <w:b/>
          <w:bCs/>
          <w:color w:val="1F3864"/>
          <w:sz w:val="32"/>
          <w:szCs w:val="32"/>
        </w:rPr>
        <w:t xml:space="preserve">Lesson 4 · “Hell or Heaven?” — I Am Heathcliff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Textbook</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pp. 285–287 — “Hell or Heaven?” (Ch. 9, part 2); HERSTORY: Virginia Woolf, “There is no ‘I’ in Wuthering Heights”; Key Topics: Equality</w:t>
            </w:r>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Aims</w:t>
            </w:r>
          </w:p>
        </w:tc>
        <w:tc>
          Students can interpret Catherine’s dream and her figurative language (moonbeam/lightning, frost/fire) using the hedging chunks of Bank 4, and can relate Woolf’s reading of Emily Brontë to the themes of the unit.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Materials</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Textbook pp. 285–287; audio track 127; Chunk Bank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B2C5E" w:val="clear"/>
            <w:tcMar>
              <w:top w:type="dxa" w:w="80"/>
              <w:left w:type="dxa" w:w="120"/>
              <w:bottom w:type="dxa" w:w="80"/>
              <w:right w:type="dxa" w:w="120"/>
            </w:tcMar>
          </w:tcPr>
          <w:p>
            <w:pPr>
              <w:spacing w:after="40"/>
            </w:pPr>
            <w:r>
              <w:rPr>
                <w:rFonts w:ascii="Georgia" w:cs="Georgia" w:eastAsia="Georgia" w:hAnsi="Georgia"/>
                <w:b/>
                <w:bCs/>
                <w:color w:val="FFFFFF"/>
                <w:sz w:val="22"/>
                <w:szCs w:val="22"/>
              </w:rPr>
              <w:t xml:space="preserve">CHUNK BANK 4 · Interpreting a literary text</w:t>
            </w:r>
          </w:p>
        </w:tc>
      </w:tr>
      <w:tr>
        <w:tc>
          <w:tcPr>
            <w:tcW w:type="dxa" w:w="9360"/>
            <w:tcBorders>
              <w:top w:val="single" w:color="BFBFBF" w:sz="4"/>
              <w:left w:val="single" w:color="BFBFBF" w:sz="4"/>
              <w:bottom w:val="single" w:color="BFBFBF" w:sz="4"/>
              <w:right w:val="single" w:color="BFBFBF" w:sz="4"/>
            </w:tcBorders>
            <w:shd w:fill="F6EEF4" w:val="clear"/>
            <w:tcMar>
              <w:top w:type="dxa" w:w="80"/>
              <w:left w:type="dxa" w:w="120"/>
              <w:bottom w:type="dxa" w:w="80"/>
              <w:right w:type="dxa" w:w="120"/>
            </w:tcMar>
          </w:tcPr>
          <w:p>
            <w:pPr>
              <w:spacing w:after="40"/>
            </w:pPr>
            <w:r>
              <w:rPr>
                <w:rFonts w:ascii="Arial" w:cs="Arial" w:eastAsia="Arial" w:hAnsi="Arial"/>
                <w:i/>
                <w:iCs/>
                <w:color w:val="595959"/>
                <w:sz w:val="19"/>
                <w:szCs w:val="19"/>
              </w:rPr>
              <w:t xml:space="preserve">The language of careful interpretation — for saying what a text might mean without overclaiming.</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on a literal / figurative level</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this image suggests that…</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it could be read as…</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what strikes me most is…</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the passage hinges on…</w:t>
            </w:r>
            <w:r>
              <w:rPr>
                <w:rFonts w:ascii="Arial" w:cs="Arial" w:eastAsia="Arial" w:hAnsi="Arial"/>
                <w:i/>
                <w:iCs/>
                <w:color w:val="595959"/>
                <w:sz w:val="20"/>
                <w:szCs w:val="20"/>
              </w:rPr>
              <w:t xml:space="preserve">  —  everything depends on this point</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a striking metaphor / simile / hyperbole</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this reveals a great deal about…</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if you read between the lines…</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I’d argue that…</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some extent…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6500"/>
      </w:tblGrid>
      <w:tr>
        <w:trPr>
          <w:tblHeader/>
        </w:trPr>
        <w:tc>
          <w:tcPr>
            <w:tcW w:type="dxa" w:w="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pPr>
            <w:r>
              <w:rPr>
                <w:rFonts w:ascii="Arial" w:cs="Arial" w:eastAsia="Arial" w:hAnsi="Arial"/>
                <w:b/>
                <w:bCs/>
                <w:color w:val="FFFFFF"/>
                <w:sz w:val="21"/>
                <w:szCs w:val="21"/>
              </w:rPr>
              <w:t xml:space="preserve">Time</w:t>
            </w:r>
          </w:p>
        </w:tc>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pPr>
            <w:r>
              <w:rPr>
                <w:rFonts w:ascii="Arial" w:cs="Arial" w:eastAsia="Arial" w:hAnsi="Arial"/>
                <w:b/>
                <w:bCs/>
                <w:color w:val="FFFFFF"/>
                <w:sz w:val="21"/>
                <w:szCs w:val="21"/>
              </w:rPr>
              <w:t xml:space="preserve">Stage &amp; interaction</w:t>
            </w:r>
          </w:p>
        </w:tc>
        <w:tc>
          <w:tcPr>
            <w:tcW w:type="dxa" w:w="6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pPr>
            <w:r>
              <w:rPr>
                <w:rFonts w:ascii="Arial" w:cs="Arial" w:eastAsia="Arial" w:hAnsi="Arial"/>
                <w:b/>
                <w:bCs/>
                <w:color w:val="FFFFFF"/>
                <w:sz w:val="21"/>
                <w:szCs w:val="21"/>
              </w:rPr>
              <w:t xml:space="preserve">Procedure</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4′</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Warm-up: the dilemma so far</w:t>
            </w:r>
          </w:p>
          <w:p>
            <w:pPr>
              <w:spacing w:after="40"/>
            </w:pPr>
            <w:r>
              <w:rPr>
                <w:rFonts w:ascii="Arial" w:cs="Arial" w:eastAsia="Arial" w:hAnsi="Arial"/>
                <w:i/>
                <w:iCs/>
                <w:color w:val="595959"/>
                <w:sz w:val="19"/>
                <w:szCs w:val="19"/>
              </w:rPr>
              <w:t xml:space="preserve">Open class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Homework check on Analysis Ex. 4 (p. 284), focusing on Q6: what is the “obstacle”? Elicit Catherine’s gesture — “Here! and here!” (forehead and breast): the obstacle is inside her.</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5′</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Pre-teach: Vocabulary Lab</w:t>
            </w:r>
          </w:p>
          <w:p>
            <w:pPr>
              <w:spacing w:after="40"/>
            </w:pPr>
            <w:r>
              <w:rPr>
                <w:rFonts w:ascii="Arial" w:cs="Arial" w:eastAsia="Arial" w:hAnsi="Arial"/>
                <w:i/>
                <w:iCs/>
                <w:color w:val="595959"/>
                <w:sz w:val="19"/>
                <w:szCs w:val="19"/>
              </w:rPr>
              <w:t xml:space="preserve">Pairs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Lead In Qs 1–2 (p. 286) briefly: ideas associated with Heaven and Hell.</w:t>
            </w:r>
          </w:p>
          <w:p>
            <w:pPr>
              <w:spacing w:after="40"/>
            </w:pPr>
            <w:r>
              <w:rPr>
                <w:rFonts w:ascii="Arial" w:cs="Arial" w:eastAsia="Arial" w:hAnsi="Arial"/>
                <w:sz w:val="21"/>
                <w:szCs w:val="21"/>
              </w:rPr>
              <w:t xml:space="preserve">Vocabulary Lab Ex. 2, p. 286: find the English for sogni, fantasmi, visioni, profezia, catastrofe, cielo, angeli, anime — the lexical field of the passage.</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10′</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Text: Catherine’s dream</w:t>
            </w:r>
          </w:p>
          <w:p>
            <w:pPr>
              <w:spacing w:after="40"/>
            </w:pPr>
            <w:r>
              <w:rPr>
                <w:rFonts w:ascii="Arial" w:cs="Arial" w:eastAsia="Arial" w:hAnsi="Arial"/>
                <w:i/>
                <w:iCs/>
                <w:color w:val="595959"/>
                <w:sz w:val="19"/>
                <w:szCs w:val="19"/>
              </w:rPr>
              <w:t xml:space="preserve">Individual</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Play track 127; students follow the extract (p. 286). First reading for gist: why is heaven not Catherine’s home?</w:t>
            </w:r>
          </w:p>
          <w:p>
            <w:pPr>
              <w:spacing w:after="40"/>
            </w:pPr>
            <w:r>
              <w:rPr>
                <w:rFonts w:ascii="Arial" w:cs="Arial" w:eastAsia="Arial" w:hAnsi="Arial"/>
                <w:sz w:val="21"/>
                <w:szCs w:val="21"/>
              </w:rPr>
              <w:t xml:space="preserve">Comprehension Ex. 3, p. 287: complete the summary (dream / sad / earth / marry / her / bond / never). Quick pair check.</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12′</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Analysis: images and hyperbole</w:t>
            </w:r>
          </w:p>
          <w:p>
            <w:pPr>
              <w:spacing w:after="40"/>
            </w:pPr>
            <w:r>
              <w:rPr>
                <w:rFonts w:ascii="Arial" w:cs="Arial" w:eastAsia="Arial" w:hAnsi="Arial"/>
                <w:i/>
                <w:iCs/>
                <w:color w:val="595959"/>
                <w:sz w:val="19"/>
                <w:szCs w:val="19"/>
              </w:rPr>
              <w:t xml:space="preserve">Trios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Chunk Bank 4 on the board. Trios work through Analysis &amp; Interpretation Ex. 4, p. 287 (Qs 1–5): the wine-through-water metaphor; the dream; why she cannot marry Heathcliff (“it would degrade me”); the hyperbole of shared souls; moonbeam vs lightning, frost vs fire.</w:t>
            </w:r>
          </w:p>
          <w:p>
            <w:pPr>
              <w:spacing w:after="40"/>
            </w:pPr>
            <w:r>
              <w:rPr>
                <w:rFonts w:ascii="Arial" w:cs="Arial" w:eastAsia="Arial" w:hAnsi="Arial"/>
                <w:sz w:val="21"/>
                <w:szCs w:val="21"/>
              </w:rPr>
              <w:t xml:space="preserve">Rule of the stage: every answer must open with a Bank 4 chunk. Monitor and collect good sentences for feedback.</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12′</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HERSTORY: Woolf reads Brontë</w:t>
            </w:r>
          </w:p>
          <w:p>
            <w:pPr>
              <w:spacing w:after="40"/>
            </w:pPr>
            <w:r>
              <w:rPr>
                <w:rFonts w:ascii="Arial" w:cs="Arial" w:eastAsia="Arial" w:hAnsi="Arial"/>
                <w:i/>
                <w:iCs/>
                <w:color w:val="595959"/>
                <w:sz w:val="19"/>
                <w:szCs w:val="19"/>
              </w:rPr>
              <w:t xml:space="preserve">Pairs → open class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Read the Woolf extract (p. 285) aloud once, slowly. Pairs answer Ex. 6, Qs 1–4: love “not the love of men and women”; the metaphor of the “world cleft into gigantic disorder” which she had “the power to unite in a book”; where Emily’s greatness lies; the role of her isolation (recycles Lesson 1’s “golden isolation”).</w:t>
            </w:r>
          </w:p>
          <w:p>
            <w:pPr>
              <w:spacing w:after="40"/>
            </w:pPr>
            <w:r>
              <w:rPr>
                <w:rFonts w:ascii="Arial" w:cs="Arial" w:eastAsia="Arial" w:hAnsi="Arial"/>
                <w:sz w:val="21"/>
                <w:szCs w:val="21"/>
              </w:rPr>
              <w:t xml:space="preserve">Open-class synthesis: Woolf turns Brontë’s limitations into the source of her power.</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7′</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Reflect &amp; Discuss: equality</w:t>
            </w:r>
          </w:p>
          <w:p>
            <w:pPr>
              <w:spacing w:after="40"/>
            </w:pPr>
            <w:r>
              <w:rPr>
                <w:rFonts w:ascii="Arial" w:cs="Arial" w:eastAsia="Arial" w:hAnsi="Arial"/>
                <w:i/>
                <w:iCs/>
                <w:color w:val="595959"/>
                <w:sz w:val="19"/>
                <w:szCs w:val="19"/>
              </w:rPr>
              <w:t xml:space="preserve">Think–pair–share</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Key Topics box + Reflect &amp; Discuss Ex. 5, p. 287: Why is Catherine not free to choose? Did Victorian economic growth reach women? Does the imbalance still exist today?</w:t>
            </w:r>
          </w:p>
          <w:p>
            <w:pPr>
              <w:spacing w:after="40"/>
            </w:pPr>
            <w:r>
              <w:rPr>
                <w:rFonts w:ascii="Arial" w:cs="Arial" w:eastAsia="Arial" w:hAnsi="Arial"/>
                <w:sz w:val="21"/>
                <w:szCs w:val="21"/>
              </w:rPr>
              <w:t xml:space="preserve">One minute silent thinking → two minutes pairs → share. Close by announcing next lesson’s debate motion: “Catherine has made the right decision in accepting Edgar’s proposal.” Assign teams (Rational vs Romantics) so students arrive prepared.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0"/>
                <w:szCs w:val="20"/>
              </w:rPr>
              <w:t xml:space="preserve">Teacher notes</w:t>
            </w:r>
          </w:p>
          <w:p>
            <w:pPr>
              <w:spacing w:after="50"/>
            </w:pPr>
            <w:r>
              <w:rPr>
                <w:rFonts w:ascii="Arial" w:cs="Arial" w:eastAsia="Arial" w:hAnsi="Arial"/>
                <w:color w:val="1F3864"/>
                <w:sz w:val="20"/>
                <w:szCs w:val="20"/>
              </w:rPr>
              <w:t xml:space="preserve">• </w:t>
            </w:r>
            <w:r>
              <w:rPr>
                <w:rFonts w:ascii="Arial" w:cs="Arial" w:eastAsia="Arial" w:hAnsi="Arial"/>
                <w:sz w:val="20"/>
                <w:szCs w:val="20"/>
              </w:rPr>
              <w:t xml:space="preserve">The Pukirev painting The Unequal Marriage (p. 287) is a gift for this class: five minutes of visual analysis (the groom’s medal, the bride’s downcast eyes, the candle-light) makes the abstract point about marriage and inequality concrete. Use it as the bridge into Reflect &amp; Discuss.</w:t>
            </w:r>
          </w:p>
          <w:p>
            <w:pPr>
              <w:spacing w:after="50"/>
            </w:pPr>
            <w:r>
              <w:rPr>
                <w:rFonts w:ascii="Arial" w:cs="Arial" w:eastAsia="Arial" w:hAnsi="Arial"/>
                <w:color w:val="1F3864"/>
                <w:sz w:val="20"/>
                <w:szCs w:val="20"/>
              </w:rPr>
              <w:t xml:space="preserve">• </w:t>
            </w:r>
            <w:r>
              <w:rPr>
                <w:rFonts w:ascii="Arial" w:cs="Arial" w:eastAsia="Arial" w:hAnsi="Arial"/>
                <w:sz w:val="20"/>
                <w:szCs w:val="20"/>
              </w:rPr>
              <w:t xml:space="preserve">Woolf’s prose is C1+: read it aloud yourself first, gloss cleft and thwarted (marginal notes), and let pairs reconstruct meaning collaboratively rather than sentence-parsing.</w:t>
            </w:r>
          </w:p>
          <w:p>
            <w:pPr>
              <w:spacing w:after="50"/>
            </w:pPr>
            <w:r>
              <w:rPr>
                <w:rFonts w:ascii="Arial" w:cs="Arial" w:eastAsia="Arial" w:hAnsi="Arial"/>
                <w:color w:val="1F3864"/>
                <w:sz w:val="20"/>
                <w:szCs w:val="20"/>
              </w:rPr>
              <w:t xml:space="preserve">• </w:t>
            </w:r>
            <w:r>
              <w:rPr>
                <w:rFonts w:ascii="Arial" w:cs="Arial" w:eastAsia="Arial" w:hAnsi="Arial"/>
                <w:sz w:val="20"/>
                <w:szCs w:val="20"/>
              </w:rPr>
              <w:t xml:space="preserve">DSA: provide the Woolf questions with line references added.</w:t>
            </w:r>
          </w:p>
        </w:tc>
      </w:tr>
    </w:tbl>
    <w:p>
      <w:r>
        <w:br w:type="page"/>
      </w:r>
    </w:p>
    <w:p>
      <w:pPr>
        <w:pStyle w:val="Heading1"/>
        <w:spacing w:after="160" w:before="240"/>
      </w:pPr>
      <w:r>
        <w:rPr>
          <w:rFonts w:ascii="Georgia" w:cs="Georgia" w:eastAsia="Georgia" w:hAnsi="Georgia"/>
          <w:b/>
          <w:bCs/>
          <w:color w:val="1F3864"/>
          <w:sz w:val="32"/>
          <w:szCs w:val="32"/>
        </w:rPr>
        <w:t xml:space="preserve">Lesson 5 · The Debate — Did Catherine Choose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Textbook</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p. 285 — Debate Ex. 5; p. 279 Writing Lab Ex. 4 / p. 287 Writing Lab Ex. 6</w:t>
            </w:r>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Aims</w:t>
            </w:r>
          </w:p>
        </w:tc>
        <w:tc>
          Students can argue a position on Catherine’s decision in a structured debate, deploying content from the whole unit and the discourse chunks of Bank 5; they leave with a scaffolded written task.
          <w:p/>
        </w:tc>
      </w:tr>
      <w:tr>
        <w:tc>
          <w:tcPr>
            <w:tcW w:type="dxa" w:w="210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1"/>
                <w:szCs w:val="21"/>
              </w:rPr>
              <w:t xml:space="preserve">Materials</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Chunk Bank 5; role cards; debate rubric (Teacher’s Booklet); board timer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7B2C5E" w:val="clear"/>
            <w:tcMar>
              <w:top w:type="dxa" w:w="80"/>
              <w:left w:type="dxa" w:w="120"/>
              <w:bottom w:type="dxa" w:w="80"/>
              <w:right w:type="dxa" w:w="120"/>
            </w:tcMar>
          </w:tcPr>
          <w:p>
            <w:pPr>
              <w:spacing w:after="40"/>
            </w:pPr>
            <w:r>
              <w:rPr>
                <w:rFonts w:ascii="Georgia" w:cs="Georgia" w:eastAsia="Georgia" w:hAnsi="Georgia"/>
                <w:b/>
                <w:bCs/>
                <w:color w:val="FFFFFF"/>
                <w:sz w:val="22"/>
                <w:szCs w:val="22"/>
              </w:rPr>
              <w:t xml:space="preserve">CHUNK BANK 5 · The language of debate</w:t>
            </w:r>
          </w:p>
        </w:tc>
      </w:tr>
      <w:tr>
        <w:tc>
          <w:tcPr>
            <w:tcW w:type="dxa" w:w="9360"/>
            <w:tcBorders>
              <w:top w:val="single" w:color="BFBFBF" w:sz="4"/>
              <w:left w:val="single" w:color="BFBFBF" w:sz="4"/>
              <w:bottom w:val="single" w:color="BFBFBF" w:sz="4"/>
              <w:right w:val="single" w:color="BFBFBF" w:sz="4"/>
            </w:tcBorders>
            <w:shd w:fill="F6EEF4" w:val="clear"/>
            <w:tcMar>
              <w:top w:type="dxa" w:w="80"/>
              <w:left w:type="dxa" w:w="120"/>
              <w:bottom w:type="dxa" w:w="80"/>
              <w:right w:type="dxa" w:w="120"/>
            </w:tcMar>
          </w:tcPr>
          <w:p>
            <w:pPr>
              <w:spacing w:after="40"/>
            </w:pPr>
            <w:r>
              <w:rPr>
                <w:rFonts w:ascii="Arial" w:cs="Arial" w:eastAsia="Arial" w:hAnsi="Arial"/>
                <w:i/>
                <w:iCs/>
                <w:color w:val="595959"/>
                <w:sz w:val="19"/>
                <w:szCs w:val="19"/>
              </w:rPr>
              <w:t xml:space="preserve">Revision of the debate toolkit — insist on these during the free floor.</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Let me start by making one thing clear:</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That may be true, but…</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The evidence points the other way.</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Let’s not forget that…</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My opponents seem to assume that…</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With respect, that misses the point.</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As we saw in the text, …</w:t>
            </w:r>
            <w:r>
              <w:rPr>
                <w:rFonts w:ascii="Arial" w:cs="Arial" w:eastAsia="Arial" w:hAnsi="Arial"/>
                <w:i/>
                <w:iCs/>
                <w:color w:val="595959"/>
                <w:sz w:val="20"/>
                <w:szCs w:val="20"/>
              </w:rPr>
              <w:t xml:space="preserve">  —  always anchor claims in the extract</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In the nineteenth century, unlike today, …</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To sum up our position, …</w:t>
            </w:r>
          </w:p>
          <w:p>
            <w:pPr>
              <w:spacing w:after="50"/>
            </w:pPr>
            <w:r>
              <w:rPr>
                <w:rFonts w:ascii="Arial" w:cs="Arial" w:eastAsia="Arial" w:hAnsi="Arial"/>
                <w:color w:val="7B2C5E"/>
                <w:sz w:val="21"/>
                <w:szCs w:val="21"/>
              </w:rPr>
              <w:t xml:space="preserve">▸ </w:t>
            </w:r>
            <w:r>
              <w:rPr>
                <w:rFonts w:ascii="Arial" w:cs="Arial" w:eastAsia="Arial" w:hAnsi="Arial"/>
                <w:b/>
                <w:bCs/>
                <w:sz w:val="21"/>
                <w:szCs w:val="21"/>
              </w:rPr>
              <w:t xml:space="preserve">At the end of the day,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6500"/>
      </w:tblGrid>
      <w:tr>
        <w:trPr>
          <w:tblHeader/>
        </w:trPr>
        <w:tc>
          <w:tcPr>
            <w:tcW w:type="dxa" w:w="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pPr>
            <w:r>
              <w:rPr>
                <w:rFonts w:ascii="Arial" w:cs="Arial" w:eastAsia="Arial" w:hAnsi="Arial"/>
                <w:b/>
                <w:bCs/>
                <w:color w:val="FFFFFF"/>
                <w:sz w:val="21"/>
                <w:szCs w:val="21"/>
              </w:rPr>
              <w:t xml:space="preserve">Time</w:t>
            </w:r>
          </w:p>
        </w:tc>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pPr>
            <w:r>
              <w:rPr>
                <w:rFonts w:ascii="Arial" w:cs="Arial" w:eastAsia="Arial" w:hAnsi="Arial"/>
                <w:b/>
                <w:bCs/>
                <w:color w:val="FFFFFF"/>
                <w:sz w:val="21"/>
                <w:szCs w:val="21"/>
              </w:rPr>
              <w:t xml:space="preserve">Stage &amp; interaction</w:t>
            </w:r>
          </w:p>
        </w:tc>
        <w:tc>
          <w:tcPr>
            <w:tcW w:type="dxa" w:w="6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pPr>
            <w:r>
              <w:rPr>
                <w:rFonts w:ascii="Arial" w:cs="Arial" w:eastAsia="Arial" w:hAnsi="Arial"/>
                <w:b/>
                <w:bCs/>
                <w:color w:val="FFFFFF"/>
                <w:sz w:val="21"/>
                <w:szCs w:val="21"/>
              </w:rPr>
              <w:t xml:space="preserve">Procedure</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8′</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Set-up: motion and teams</w:t>
            </w:r>
          </w:p>
          <w:p>
            <w:pPr>
              <w:spacing w:after="40"/>
            </w:pPr>
            <w:r>
              <w:rPr>
                <w:rFonts w:ascii="Arial" w:cs="Arial" w:eastAsia="Arial" w:hAnsi="Arial"/>
                <w:i/>
                <w:iCs/>
                <w:color w:val="595959"/>
                <w:sz w:val="19"/>
                <w:szCs w:val="19"/>
              </w:rPr>
              <w:t xml:space="preserve">Open class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Board the motion (Debate Ex. 5, p. 285): “Catherine has made the right decision in accepting Edgar’s proposal.” Team A — the Rational — supports it; Team B — the Romantics — opposes it.</w:t>
            </w:r>
          </w:p>
          <w:p>
            <w:pPr>
              <w:spacing w:after="40"/>
            </w:pPr>
            <w:r>
              <w:rPr>
                <w:rFonts w:ascii="Arial" w:cs="Arial" w:eastAsia="Arial" w:hAnsi="Arial"/>
                <w:sz w:val="21"/>
                <w:szCs w:val="21"/>
              </w:rPr>
              <w:t xml:space="preserve">Present Chunk Bank 5. Remind teams of the textbook’s suggested angles: economic stability and social status in the 19th century; Edgar’s attractive qualities; heart vs head; whether a young woman today faces the same constraints.</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12′</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Team preparation</w:t>
            </w:r>
          </w:p>
          <w:p>
            <w:pPr>
              <w:spacing w:after="40"/>
            </w:pPr>
            <w:r>
              <w:rPr>
                <w:rFonts w:ascii="Arial" w:cs="Arial" w:eastAsia="Arial" w:hAnsi="Arial"/>
                <w:i/>
                <w:iCs/>
                <w:color w:val="595959"/>
                <w:sz w:val="19"/>
                <w:szCs w:val="19"/>
              </w:rPr>
              <w:t xml:space="preserve">Teams (sub-groups of 3–4)</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Within each team, sub-groups take one role card each: Openers (write the 2-minute opening statement), Anticipators (predict and prepare rebuttals to the other side’s two strongest arguments), Evidence-hunters (find and mark three quotable lines from pp. 283–286), Closers (draft the summary).</w:t>
            </w:r>
          </w:p>
          <w:p>
            <w:pPr>
              <w:spacing w:after="40"/>
            </w:pPr>
            <w:r>
              <w:rPr>
                <w:rFonts w:ascii="Arial" w:cs="Arial" w:eastAsia="Arial" w:hAnsi="Arial"/>
                <w:sz w:val="21"/>
                <w:szCs w:val="21"/>
              </w:rPr>
              <w:t xml:space="preserve">Circulate: push every sub-group to anchor at least one argument in the text and one in the Lesson 1 context (women’s economic dependence).</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16′</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The debate</w:t>
            </w:r>
          </w:p>
          <w:p>
            <w:pPr>
              <w:spacing w:after="40"/>
            </w:pPr>
            <w:r>
              <w:rPr>
                <w:rFonts w:ascii="Arial" w:cs="Arial" w:eastAsia="Arial" w:hAnsi="Arial"/>
                <w:i/>
                <w:iCs/>
                <w:color w:val="595959"/>
                <w:sz w:val="19"/>
                <w:szCs w:val="19"/>
              </w:rPr>
              <w:t xml:space="preserve">Whole class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Format on the board — Openings: A 2′, B 2′ · Rebuttals: A 2′, B 2′ · Free floor: 6′ (hands, alternating sides; every contribution must start with a Bank 5 chunk) · Closings: B 1′, A 1′.</w:t>
            </w:r>
          </w:p>
          <w:p>
            <w:pPr>
              <w:spacing w:after="40"/>
            </w:pPr>
            <w:r>
              <w:rPr>
                <w:rFonts w:ascii="Arial" w:cs="Arial" w:eastAsia="Arial" w:hAnsi="Arial"/>
                <w:sz w:val="21"/>
                <w:szCs w:val="21"/>
              </w:rPr>
              <w:t xml:space="preserve">Teacher chairs strictly, keeps time visibly, and scores with the rubric. No interruptions except through the chair.</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6′</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Debrief and vote</w:t>
            </w:r>
          </w:p>
          <w:p>
            <w:pPr>
              <w:spacing w:after="40"/>
            </w:pPr>
            <w:r>
              <w:rPr>
                <w:rFonts w:ascii="Arial" w:cs="Arial" w:eastAsia="Arial" w:hAnsi="Arial"/>
                <w:i/>
                <w:iCs/>
                <w:color w:val="595959"/>
                <w:sz w:val="19"/>
                <w:szCs w:val="19"/>
              </w:rPr>
              <w:t xml:space="preserve">Open class</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Secret vote on the motion as themselves, not as team members. Compare the result with team allegiance: did anyone argue against their own view? What did that feel like?</w:t>
            </w:r>
          </w:p>
          <w:p>
            <w:pPr>
              <w:spacing w:after="40"/>
            </w:pPr>
            <w:r>
              <w:rPr>
                <w:rFonts w:ascii="Arial" w:cs="Arial" w:eastAsia="Arial" w:hAnsi="Arial"/>
                <w:sz w:val="21"/>
                <w:szCs w:val="21"/>
              </w:rPr>
              <w:t xml:space="preserve">Content feedback with the rubric headings; delayed language feedback from notes.</w:t>
            </w:r>
          </w:p>
        </w:tc>
      </w:tr>
      <w:tr>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sz w:val="21"/>
                <w:szCs w:val="21"/>
              </w:rPr>
              <w:t xml:space="preserve">8′</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b/>
                <w:bCs/>
                <w:color w:val="7B2C5E"/>
                <w:sz w:val="21"/>
                <w:szCs w:val="21"/>
              </w:rPr>
              <w:t xml:space="preserve">Writing Lab set-up + exit</w:t>
            </w:r>
          </w:p>
          <w:p>
            <w:pPr>
              <w:spacing w:after="40"/>
            </w:pPr>
            <w:r>
              <w:rPr>
                <w:rFonts w:ascii="Arial" w:cs="Arial" w:eastAsia="Arial" w:hAnsi="Arial"/>
                <w:i/>
                <w:iCs/>
                <w:color w:val="595959"/>
                <w:sz w:val="19"/>
                <w:szCs w:val="19"/>
              </w:rPr>
              <w:t xml:space="preserve">Open class → individual</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Arial" w:cs="Arial" w:eastAsia="Arial" w:hAnsi="Arial"/>
                <w:sz w:val="21"/>
                <w:szCs w:val="21"/>
              </w:rPr>
              <w:t xml:space="preserve">Set the written task (choice of two): (a) Short essay, p. 279 Ex. 4 — the Lead In picture and Victorian society: which aspects does it highlight, and are they still relevant? (max 250 words); or (b) Short text, p. 287 Ex. 6 — you are Nelly: what advice would you give Catherine? (max 150 words, argumentative).</w:t>
            </w:r>
          </w:p>
          <w:p>
            <w:pPr>
              <w:spacing w:after="40"/>
            </w:pPr>
            <w:r>
              <w:rPr>
                <w:rFonts w:ascii="Arial" w:cs="Arial" w:eastAsia="Arial" w:hAnsi="Arial"/>
                <w:sz w:val="21"/>
                <w:szCs w:val="21"/>
              </w:rPr>
              <w:t xml:space="preserve">Go through the success criteria (below). Exit ticket: “Three chunks from this unit I will keep” — each student writes three and reads one aloud.</w:t>
            </w:r>
          </w:p>
        </w:tc>
      </w:tr>
    </w:tbl>
    <w:p>
      <w:pPr>
        <w:spacing w:after="120"/>
      </w:pPr>
    </w:p>
    <w:p>
      <w:pPr>
        <w:spacing w:after="100" w:before="160"/>
      </w:pPr>
      <w:r>
        <w:rPr>
          <w:rFonts w:ascii="Georgia" w:cs="Georgia" w:eastAsia="Georgia" w:hAnsi="Georgia"/>
          <w:b/>
          <w:bCs/>
          <w:color w:val="1F3864"/>
          <w:sz w:val="23"/>
          <w:szCs w:val="23"/>
        </w:rPr>
        <w:t xml:space="preserve">Success criteria for the Writing Lab task</w:t>
      </w:r>
    </w:p>
    <w:p>
      <w:pPr>
        <w:pStyle w:val="ListParagraph"/>
        <w:numPr>
          <w:ilvl w:val="0"/>
          <w:numId w:val="2"/>
        </w:numPr>
        <w:spacing w:after="60"/>
      </w:pPr>
      <w:r>
        <w:rPr>
          <w:rFonts w:ascii="Arial" w:cs="Arial" w:eastAsia="Arial" w:hAnsi="Arial"/>
          <w:sz w:val="21"/>
          <w:szCs w:val="21"/>
        </w:rPr>
        <w:t xml:space="preserve">A clear position stated in the first two sentences.</w:t>
      </w:r>
    </w:p>
    <w:p>
      <w:pPr>
        <w:pStyle w:val="ListParagraph"/>
        <w:numPr>
          <w:ilvl w:val="0"/>
          <w:numId w:val="2"/>
        </w:numPr>
        <w:spacing w:after="60"/>
      </w:pPr>
      <w:r>
        <w:rPr>
          <w:rFonts w:ascii="Arial" w:cs="Arial" w:eastAsia="Arial" w:hAnsi="Arial"/>
          <w:sz w:val="21"/>
          <w:szCs w:val="21"/>
        </w:rPr>
        <w:t xml:space="preserve">At least two arguments, each supported by a reference to the text or to the Victorian context (Lesson 1).</w:t>
      </w:r>
    </w:p>
    <w:p>
      <w:pPr>
        <w:pStyle w:val="ListParagraph"/>
        <w:numPr>
          <w:ilvl w:val="0"/>
          <w:numId w:val="2"/>
        </w:numPr>
        <w:spacing w:after="60"/>
      </w:pPr>
      <w:r>
        <w:rPr>
          <w:rFonts w:ascii="Arial" w:cs="Arial" w:eastAsia="Arial" w:hAnsi="Arial"/>
          <w:sz w:val="21"/>
          <w:szCs w:val="21"/>
        </w:rPr>
        <w:t xml:space="preserve">At least five chunks from Banks 1–5, used accurately and naturally.</w:t>
      </w:r>
    </w:p>
    <w:p>
      <w:pPr>
        <w:pStyle w:val="ListParagraph"/>
        <w:numPr>
          <w:ilvl w:val="0"/>
          <w:numId w:val="2"/>
        </w:numPr>
        <w:spacing w:after="60"/>
      </w:pPr>
      <w:r>
        <w:rPr>
          <w:rFonts w:ascii="Arial" w:cs="Arial" w:eastAsia="Arial" w:hAnsi="Arial"/>
          <w:sz w:val="21"/>
          <w:szCs w:val="21"/>
        </w:rPr>
        <w:t xml:space="preserve">A counter-argument acknowledged and answered (essential in option b).</w:t>
      </w:r>
    </w:p>
    <w:p>
      <w:pPr>
        <w:pStyle w:val="ListParagraph"/>
        <w:numPr>
          <w:ilvl w:val="0"/>
          <w:numId w:val="2"/>
        </w:numPr>
        <w:spacing w:after="60"/>
      </w:pPr>
      <w:r>
        <w:rPr>
          <w:rFonts w:ascii="Arial" w:cs="Arial" w:eastAsia="Arial" w:hAnsi="Arial"/>
          <w:sz w:val="21"/>
          <w:szCs w:val="21"/>
        </w:rPr>
        <w:t xml:space="preserve">Within the word limit; paragraphs; British English spelling.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DF1F8" w:val="clear"/>
            <w:tcMar>
              <w:top w:type="dxa" w:w="80"/>
              <w:left w:type="dxa" w:w="120"/>
              <w:bottom w:type="dxa" w:w="80"/>
              <w:right w:type="dxa" w:w="120"/>
            </w:tcMar>
          </w:tcPr>
          <w:p>
            <w:pPr>
              <w:spacing w:after="40"/>
            </w:pPr>
            <w:r>
              <w:rPr>
                <w:rFonts w:ascii="Arial" w:cs="Arial" w:eastAsia="Arial" w:hAnsi="Arial"/>
                <w:b/>
                <w:bCs/>
                <w:color w:val="1F3864"/>
                <w:sz w:val="20"/>
                <w:szCs w:val="20"/>
              </w:rPr>
              <w:t xml:space="preserve">Teacher notes</w:t>
            </w:r>
          </w:p>
          <w:p>
            <w:pPr>
              <w:spacing w:after="50"/>
            </w:pPr>
            <w:r>
              <w:rPr>
                <w:rFonts w:ascii="Arial" w:cs="Arial" w:eastAsia="Arial" w:hAnsi="Arial"/>
                <w:color w:val="1F3864"/>
                <w:sz w:val="20"/>
                <w:szCs w:val="20"/>
              </w:rPr>
              <w:t xml:space="preserve">• </w:t>
            </w:r>
            <w:r>
              <w:rPr>
                <w:rFonts w:ascii="Arial" w:cs="Arial" w:eastAsia="Arial" w:hAnsi="Arial"/>
                <w:sz w:val="20"/>
                <w:szCs w:val="20"/>
              </w:rPr>
              <w:t xml:space="preserve">Assigning students to argue against their instinct is deliberate (perspective-taking); the debrief vote makes the gap visible and is often the richest discussion of the unit.</w:t>
            </w:r>
          </w:p>
          <w:p>
            <w:pPr>
              <w:spacing w:after="50"/>
            </w:pPr>
            <w:r>
              <w:rPr>
                <w:rFonts w:ascii="Arial" w:cs="Arial" w:eastAsia="Arial" w:hAnsi="Arial"/>
                <w:color w:val="1F3864"/>
                <w:sz w:val="20"/>
                <w:szCs w:val="20"/>
              </w:rPr>
              <w:t xml:space="preserve">• </w:t>
            </w:r>
            <w:r>
              <w:rPr>
                <w:rFonts w:ascii="Arial" w:cs="Arial" w:eastAsia="Arial" w:hAnsi="Arial"/>
                <w:sz w:val="20"/>
                <w:szCs w:val="20"/>
              </w:rPr>
              <w:t xml:space="preserve">The debate rubric and a marking rubric for both writing options are in the Teacher’s Booklet.</w:t>
            </w:r>
          </w:p>
          <w:p>
            <w:pPr>
              <w:spacing w:after="50"/>
            </w:pPr>
            <w:r>
              <w:rPr>
                <w:rFonts w:ascii="Arial" w:cs="Arial" w:eastAsia="Arial" w:hAnsi="Arial"/>
                <w:color w:val="1F3864"/>
                <w:sz w:val="20"/>
                <w:szCs w:val="20"/>
              </w:rPr>
              <w:t xml:space="preserve">• </w:t>
            </w:r>
            <w:r>
              <w:rPr>
                <w:rFonts w:ascii="Arial" w:cs="Arial" w:eastAsia="Arial" w:hAnsi="Arial"/>
                <w:sz w:val="20"/>
                <w:szCs w:val="20"/>
              </w:rPr>
              <w:t xml:space="preserve">DSA: role cards double as scaffolds — Evidence-hunter and Closer roles are the most supported; sentence starters from Bank 5 may be kept visible throughout.</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2026-07-13T09:06:33.430Z</dcterms:created>
  <dcterms:modified xsi:type="dcterms:W3CDTF">2026-07-13T09:06:33.451Z</dcterms:modified>
</cp:coreProperties>
</file>

<file path=docProps/custom.xml><?xml version="1.0" encoding="utf-8"?>
<Properties xmlns="http://schemas.openxmlformats.org/officeDocument/2006/custom-properties" xmlns:vt="http://schemas.openxmlformats.org/officeDocument/2006/docPropsVTypes"/>
</file>