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3249"/>
          <w:sz w:val="44"/>
        </w:rPr>
        <w:t>Bayesian Statistics for Reliability Assessment</w:t>
      </w:r>
    </w:p>
    <w:p>
      <w:r>
        <w:rPr>
          <w:b/>
          <w:color w:val="007A6E"/>
          <w:sz w:val="24"/>
        </w:rPr>
        <w:t>Speaker script  ·  RAMS Bi-Weekly Technical Exchange  ·  Luca Lizza</w:t>
      </w:r>
    </w:p>
    <w:p>
      <w:r>
        <w:rPr>
          <w:i/>
          <w:color w:val="555F66"/>
          <w:sz w:val="21"/>
        </w:rPr>
        <w:t>The words alone run about 19 minutes; with the pauses, pointing at the figures, and audience reactions built into the per-slide timings below, plan on roughly 22–23 minutes of talking — comfortably inside the 20–25 minute target, leaving a few minutes for discussion. Italicised “Delivery” lines are cues for you, not to be read aloud.</w:t>
      </w:r>
    </w:p>
    <w:p/>
    <w:p>
      <w:pPr>
        <w:spacing w:before="200" w:after="80"/>
      </w:pPr>
      <w:r>
        <w:rPr>
          <w:rFonts w:ascii="Calibri" w:hAnsi="Calibri"/>
          <w:b/>
          <w:color w:val="003249"/>
          <w:sz w:val="28"/>
        </w:rPr>
        <w:t>Slide 1 — Cover — Opening</w:t>
      </w:r>
      <w:r>
        <w:rPr>
          <w:i/>
          <w:color w:val="007A6E"/>
          <w:sz w:val="22"/>
        </w:rPr>
        <w:t xml:space="preserve">     (~1.0 min)</w:t>
      </w:r>
    </w:p>
    <w:p>
      <w:pPr>
        <w:spacing w:after="160"/>
      </w:pPr>
      <w:r>
        <w:rPr>
          <w:sz w:val="23"/>
        </w:rPr>
        <w:t>Thanks, everyone. For my slot today I want to talk about what I’m spending most of my time on here: the use of Bayesian statistics for reliability assessment.</w:t>
      </w:r>
    </w:p>
    <w:p>
      <w:pPr>
        <w:spacing w:after="160"/>
      </w:pPr>
      <w:r>
        <w:rPr>
          <w:sz w:val="23"/>
        </w:rPr>
        <w:t>I’m very aware of the room I’m in. All of you have far more experience than I do in reliability, in risk analysis, and in how these assessments actually get used on projects. So I’m not going to try to teach you reliability engineering. Instead I want to share the statistical machinery I’m working with — the part that’s a little less standard in our day-to-day — and, honestly, get your read on where it helps and where it doesn’t.</w:t>
      </w:r>
    </w:p>
    <w:p>
      <w:pPr>
        <w:spacing w:after="160"/>
      </w:pPr>
      <w:r>
        <w:rPr>
          <w:sz w:val="23"/>
        </w:rPr>
        <w:t>So treat this as a conversation starter, not a lecture. Let’s get into it.</w:t>
      </w:r>
    </w:p>
    <w:p>
      <w:pPr>
        <w:spacing w:after="120"/>
        <w:ind w:left="360"/>
      </w:pPr>
      <w:r>
        <w:rPr>
          <w:i/>
          <w:color w:val="555F66"/>
          <w:sz w:val="21"/>
        </w:rPr>
        <w:t>Delivery — Relaxed, make eye contact. Say the humility line once and mean it — then move on; don’t over-apologise for being the junior in the room.</w:t>
      </w:r>
    </w:p>
    <w:p>
      <w:pPr>
        <w:spacing w:before="200" w:after="80"/>
      </w:pPr>
      <w:r>
        <w:rPr>
          <w:rFonts w:ascii="Calibri" w:hAnsi="Calibri"/>
          <w:b/>
          <w:color w:val="003249"/>
          <w:sz w:val="28"/>
        </w:rPr>
        <w:t>Slide 2 — Outline</w:t>
      </w:r>
      <w:r>
        <w:rPr>
          <w:i/>
          <w:color w:val="007A6E"/>
          <w:sz w:val="22"/>
        </w:rPr>
        <w:t xml:space="preserve">     (~0.5 min)</w:t>
      </w:r>
    </w:p>
    <w:p>
      <w:pPr>
        <w:spacing w:after="160"/>
      </w:pPr>
      <w:r>
        <w:rPr>
          <w:sz w:val="23"/>
        </w:rPr>
        <w:t>Quick roadmap. I’ll start from a problem we all recognise — the gap between our reliability predictions and what actually happens in orbit. Then I’ll lay out the Bayesian idea in plain terms, show you the one model that does most of the work, and walk through a concrete worked example.</w:t>
      </w:r>
    </w:p>
    <w:p>
      <w:pPr>
        <w:spacing w:after="160"/>
      </w:pPr>
      <w:r>
        <w:rPr>
          <w:sz w:val="23"/>
        </w:rPr>
        <w:t>After that, three open questions that my thesis is built around — and those are exactly the parts where I’d value your input — and finally a frank look at when this approach is worth it and when it isn’t. I’ll keep the last few minutes for discussion.</w:t>
      </w:r>
    </w:p>
    <w:p>
      <w:pPr>
        <w:spacing w:after="120"/>
        <w:ind w:left="360"/>
      </w:pPr>
      <w:r>
        <w:rPr>
          <w:i/>
          <w:color w:val="555F66"/>
          <w:sz w:val="21"/>
        </w:rPr>
        <w:t>Delivery — Brisk. This is signposting — don’t linger.</w:t>
      </w:r>
    </w:p>
    <w:p>
      <w:pPr>
        <w:spacing w:before="200" w:after="80"/>
      </w:pPr>
      <w:r>
        <w:rPr>
          <w:rFonts w:ascii="Calibri" w:hAnsi="Calibri"/>
          <w:b/>
          <w:color w:val="003249"/>
          <w:sz w:val="28"/>
        </w:rPr>
        <w:t>Slide 3 — The problem we all know</w:t>
      </w:r>
      <w:r>
        <w:rPr>
          <w:i/>
          <w:color w:val="007A6E"/>
          <w:sz w:val="22"/>
        </w:rPr>
        <w:t xml:space="preserve">     (~2.0 min)</w:t>
      </w:r>
    </w:p>
    <w:p>
      <w:pPr>
        <w:spacing w:after="160"/>
      </w:pPr>
      <w:r>
        <w:rPr>
          <w:sz w:val="23"/>
        </w:rPr>
        <w:t>The starting point. Our reliability predictions — ECSS-Q-ST-30, MIL-HDBK-217, and the like — are built on ground-test data and a deliberately conservative set of assumptions. That conservatism is a feature, not a bug: when you don’t know, you err on the safe side.</w:t>
      </w:r>
    </w:p>
    <w:p>
      <w:pPr>
        <w:spacing w:after="160"/>
      </w:pPr>
      <w:r>
        <w:rPr>
          <w:sz w:val="23"/>
        </w:rPr>
        <w:t>But the consequence is that the numbers we predict are often not very representative of what the hardware actually does once it’s in orbit. Over a mission, the predicted reliability and the observed reliability drift apart — and fairly systematically, as this sketch suggests: the prediction sits low, the real behaviour sits higher.</w:t>
      </w:r>
    </w:p>
    <w:p>
      <w:pPr>
        <w:spacing w:after="160"/>
      </w:pPr>
      <w:r>
        <w:rPr>
          <w:sz w:val="23"/>
        </w:rPr>
        <w:t>What makes this timely is REX. ESA’s Return-of-Experience initiative is, for the first time, systematically collecting in-orbit operational data across past and current missions. So we’re moving from a world where the prediction was all we had, to a world where we have the prediction and a growing body of real evidence.</w:t>
      </w:r>
    </w:p>
    <w:p>
      <w:pPr>
        <w:spacing w:after="160"/>
      </w:pPr>
      <w:r>
        <w:rPr>
          <w:sz w:val="23"/>
        </w:rPr>
        <w:t>And that reframes the problem. The question is no longer “what does the handbook say.” It’s “how do I combine a prior prediction with real operational evidence, in a way that’s rigorous and defensible?” That combination is exactly what Bayesian inference is built to do — that’s the whole talk in one sentence.</w:t>
      </w:r>
    </w:p>
    <w:p>
      <w:pPr>
        <w:spacing w:after="120"/>
        <w:ind w:left="360"/>
      </w:pPr>
      <w:r>
        <w:rPr>
          <w:i/>
          <w:color w:val="555F66"/>
          <w:sz w:val="21"/>
        </w:rPr>
        <w:t>Delivery — Familiar ground for them — move briskly, don’t dwell on conservatism. Land the final sentence and pause.</w:t>
      </w:r>
    </w:p>
    <w:p>
      <w:pPr>
        <w:spacing w:before="200" w:after="80"/>
      </w:pPr>
      <w:r>
        <w:rPr>
          <w:rFonts w:ascii="Calibri" w:hAnsi="Calibri"/>
          <w:b/>
          <w:color w:val="003249"/>
          <w:sz w:val="28"/>
        </w:rPr>
        <w:t>Slide 4 — Why classical estimates break on sparse data</w:t>
      </w:r>
      <w:r>
        <w:rPr>
          <w:i/>
          <w:color w:val="007A6E"/>
          <w:sz w:val="22"/>
        </w:rPr>
        <w:t xml:space="preserve">     (~2.0 min)</w:t>
      </w:r>
    </w:p>
    <w:p>
      <w:pPr>
        <w:spacing w:after="160"/>
      </w:pPr>
      <w:r>
        <w:rPr>
          <w:sz w:val="23"/>
        </w:rPr>
        <w:t>Let me make that concrete with the situation we hit constantly: a unit that has flown for a long time and simply hasn’t failed.</w:t>
      </w:r>
    </w:p>
    <w:p>
      <w:pPr>
        <w:spacing w:after="160"/>
      </w:pPr>
      <w:r>
        <w:rPr>
          <w:sz w:val="23"/>
        </w:rPr>
        <w:t>Say it has accumulated T operating hours with zero failures. Estimate its failure rate the classical way — failures divided by time — and you get zero over T, which is zero. The estimate says the unit is perfectly, infinitely reliable. That’s useless: you can’t put infinity into a margin, and you don’t actually believe it. Zero failures is not the same as a zero failure rate — it’s just the data we happened to get.</w:t>
      </w:r>
    </w:p>
    <w:p>
      <w:pPr>
        <w:spacing w:after="160"/>
      </w:pPr>
      <w:r>
        <w:rPr>
          <w:sz w:val="23"/>
        </w:rPr>
        <w:t>The Bayesian answer to the same data is the teal curve — a distribution. It doesn’t collapse to zero, because we started from a prior. It gives a sensible best estimate, here around 360 FIT, and — more usefully — a 95% upper bound, around 1090 FIT. That upper bound is a number you can design to: with 95% probability the rate is no worse than this.</w:t>
      </w:r>
    </w:p>
    <w:p>
      <w:pPr>
        <w:spacing w:after="160"/>
      </w:pPr>
      <w:r>
        <w:rPr>
          <w:sz w:val="23"/>
        </w:rPr>
        <w:t>So: same data, same zero failures — one approach gives you nothing usable, the other gives you a bounded, defensible answer. The thing that made the difference was being willing to start from a prior. Hold that thought, because the prior is also the part people are most suspicious of — and we’ll come back to it.</w:t>
      </w:r>
    </w:p>
    <w:p>
      <w:pPr>
        <w:spacing w:after="120"/>
        <w:ind w:left="360"/>
      </w:pPr>
      <w:r>
        <w:rPr>
          <w:i/>
          <w:color w:val="555F66"/>
          <w:sz w:val="21"/>
        </w:rPr>
        <w:t>Delivery — Your strongest motivating slide. Pause after “zero failures is not zero failure rate.” Let it land.</w:t>
      </w:r>
    </w:p>
    <w:p>
      <w:pPr>
        <w:spacing w:before="200" w:after="80"/>
      </w:pPr>
      <w:r>
        <w:rPr>
          <w:rFonts w:ascii="Calibri" w:hAnsi="Calibri"/>
          <w:b/>
          <w:color w:val="003249"/>
          <w:sz w:val="28"/>
        </w:rPr>
        <w:t>Slide 5 — The Bayesian idea, in our terms</w:t>
      </w:r>
      <w:r>
        <w:rPr>
          <w:i/>
          <w:color w:val="007A6E"/>
          <w:sz w:val="22"/>
        </w:rPr>
        <w:t xml:space="preserve">     (~2.0 min)</w:t>
      </w:r>
    </w:p>
    <w:p>
      <w:pPr>
        <w:spacing w:after="160"/>
      </w:pPr>
      <w:r>
        <w:rPr>
          <w:sz w:val="23"/>
        </w:rPr>
        <w:t>Here’s the idea stripped down to three words: prior, likelihood, posterior.</w:t>
      </w:r>
    </w:p>
    <w:p>
      <w:pPr>
        <w:spacing w:after="160"/>
      </w:pPr>
      <w:r>
        <w:rPr>
          <w:sz w:val="23"/>
        </w:rPr>
        <w:t>The prior is what we believe before we look at the flight data — and for us that’s not a guess, it’s the handbook prediction. The likelihood is what the REX data says. The posterior is what we believe after combining the two — literally the prior times the likelihood, renormalised.</w:t>
      </w:r>
    </w:p>
    <w:p>
      <w:pPr>
        <w:spacing w:after="160"/>
      </w:pPr>
      <w:r>
        <w:rPr>
          <w:sz w:val="23"/>
        </w:rPr>
        <w:t>You can see it on the plot. Grey is the prior — the prediction with its uncertainty. Blue is the evidence from the data. The teal posterior sits between them and, crucially, it’s narrower than either: combining two sources of information leaves you more certain than either one alone.</w:t>
      </w:r>
    </w:p>
    <w:p>
      <w:pPr>
        <w:spacing w:after="160"/>
      </w:pPr>
      <w:r>
        <w:rPr>
          <w:sz w:val="23"/>
        </w:rPr>
        <w:t>The one point I want to plant firmly, because it’s the usual objection: the prior is not an arbitrary Bayesian invention. It is the ECSS prediction you’d have used anyway — we’re just writing it as a distribution instead of a single point number. We’re not adding an assumption; we’re being explicit about one we were already making. And once it’s a distribution, the data is allowed to move it — a lot when the prediction is shaky, very little when it’s solid.</w:t>
      </w:r>
    </w:p>
    <w:p>
      <w:pPr>
        <w:spacing w:after="120"/>
        <w:ind w:left="360"/>
      </w:pPr>
      <w:r>
        <w:rPr>
          <w:i/>
          <w:color w:val="555F66"/>
          <w:sz w:val="21"/>
        </w:rPr>
        <w:t>Delivery — Anticipate the “priors are subjective” pushback — the last two sentences pre-empt it. Deliver them deliberately.</w:t>
      </w:r>
    </w:p>
    <w:p>
      <w:pPr>
        <w:spacing w:before="200" w:after="80"/>
      </w:pPr>
      <w:r>
        <w:rPr>
          <w:rFonts w:ascii="Calibri" w:hAnsi="Calibri"/>
          <w:b/>
          <w:color w:val="003249"/>
          <w:sz w:val="28"/>
        </w:rPr>
        <w:t>Slide 6 — Two ways to say what we know</w:t>
      </w:r>
      <w:r>
        <w:rPr>
          <w:i/>
          <w:color w:val="007A6E"/>
          <w:sz w:val="22"/>
        </w:rPr>
        <w:t xml:space="preserve">     (~2.0 min)</w:t>
      </w:r>
    </w:p>
    <w:p>
      <w:pPr>
        <w:spacing w:after="160"/>
      </w:pPr>
      <w:r>
        <w:rPr>
          <w:sz w:val="23"/>
        </w:rPr>
        <w:t>It’s worth being precise about what actually differs, because it’s not just machinery — it changes what you’re allowed to say.</w:t>
      </w:r>
    </w:p>
    <w:p>
      <w:pPr>
        <w:spacing w:after="160"/>
      </w:pPr>
      <w:r>
        <w:rPr>
          <w:sz w:val="23"/>
        </w:rPr>
        <w:t>In the classical world, the failure rate is a fixed unknown number. The data is random, and we quote confidence intervals. But a confidence interval is a subtle object: a 95% confidence interval is a statement about the long-run behaviour of the procedure, not about this component. Strictly, you’re not allowed to say “there’s a 95% chance the rate is in this range.” Everyone says it anyway — but that’s not what the maths means.</w:t>
      </w:r>
    </w:p>
    <w:p>
      <w:pPr>
        <w:spacing w:after="160"/>
      </w:pPr>
      <w:r>
        <w:rPr>
          <w:sz w:val="23"/>
        </w:rPr>
        <w:t>In the Bayesian world, the rate has a probability distribution, and we update it as evidence arrives. Then the interval means exactly what you want it to. For our worked example I can say: there’s a 90% probability the failure rate lies between 129 and 1725 FIT. That’s a credible interval — and it’s the sentence an engineer actually wants in a margin review.</w:t>
      </w:r>
    </w:p>
    <w:p>
      <w:pPr>
        <w:spacing w:after="160"/>
      </w:pPr>
      <w:r>
        <w:rPr>
          <w:sz w:val="23"/>
        </w:rPr>
        <w:t>Same data — but the Bayesian statement is the one you can put on a chart and defend, without a footnote about sampling procedures. For me, that’s the most underrated practical advantage of the whole approach.</w:t>
      </w:r>
    </w:p>
    <w:p>
      <w:pPr>
        <w:spacing w:after="120"/>
        <w:ind w:left="360"/>
      </w:pPr>
      <w:r>
        <w:rPr>
          <w:i/>
          <w:color w:val="555F66"/>
          <w:sz w:val="21"/>
        </w:rPr>
        <w:t>Delivery — A connoisseur’s point — the experts will enjoy the CI nuance. Frame it as “something I found clarifying,” not as correcting them.</w:t>
      </w:r>
    </w:p>
    <w:p>
      <w:pPr>
        <w:spacing w:before="200" w:after="80"/>
      </w:pPr>
      <w:r>
        <w:rPr>
          <w:rFonts w:ascii="Calibri" w:hAnsi="Calibri"/>
          <w:b/>
          <w:color w:val="003249"/>
          <w:sz w:val="28"/>
        </w:rPr>
        <w:t>Slide 7 — The workhorse: a conjugate update</w:t>
      </w:r>
      <w:r>
        <w:rPr>
          <w:i/>
          <w:color w:val="007A6E"/>
          <w:sz w:val="22"/>
        </w:rPr>
        <w:t xml:space="preserve">     (~2.5 min)</w:t>
      </w:r>
    </w:p>
    <w:p>
      <w:pPr>
        <w:spacing w:after="160"/>
      </w:pPr>
      <w:r>
        <w:rPr>
          <w:sz w:val="23"/>
        </w:rPr>
        <w:t>Now the machinery — and I’ll keep it to one model, because one model does most of the work.</w:t>
      </w:r>
    </w:p>
    <w:p>
      <w:pPr>
        <w:spacing w:after="160"/>
      </w:pPr>
      <w:r>
        <w:rPr>
          <w:sz w:val="23"/>
        </w:rPr>
        <w:t>If failures arrive randomly in time, the count of failures follows a Poisson distribution with mean lambda times T. Equivalently, a constant failure rate gives exponential lifetimes. That’s the standard FIT-rate world we already live in.</w:t>
      </w:r>
    </w:p>
    <w:p>
      <w:pPr>
        <w:spacing w:after="160"/>
      </w:pPr>
      <w:r>
        <w:rPr>
          <w:sz w:val="23"/>
        </w:rPr>
        <w:t>The convenient part is that this model has a conjugate prior. Put a Gamma distribution on the rate lambda, and after seeing data the posterior is also a Gamma. And the update is almost embarrassingly simple — it’s this one line. You start with Gamma of alpha-nought and beta-nought; you observe k failures in T hours; the posterior is Gamma of alpha-nought-plus-k, beta-nought-plus-T. You add your failures to one parameter and your operating time to the other. That’s the whole update.</w:t>
      </w:r>
    </w:p>
    <w:p>
      <w:pPr>
        <w:spacing w:after="160"/>
      </w:pPr>
      <w:r>
        <w:rPr>
          <w:sz w:val="23"/>
        </w:rPr>
        <w:t>Two things worth knowing. First, alpha-nought has a nice interpretation: it’s the number of “equivalent prior failures” — how much weight the prior carries, in the same units as the data. Small alpha-nought is a weak prior the data easily overrides; large is a strong one. Beta-nought is then set so the prior mean matches the handbook FIT. So the prior has two knobs: where it sits, and how strongly it’s held.</w:t>
      </w:r>
    </w:p>
    <w:p>
      <w:pPr>
        <w:spacing w:after="160"/>
      </w:pPr>
      <w:r>
        <w:rPr>
          <w:sz w:val="23"/>
        </w:rPr>
        <w:t>Second — and this matters for adoption here — it’s closed-form. No Markov-chain Monte Carlo, no black box. It’s a formula you can put in a spreadsheet, audit line by line, and hand to a reviewer. As operating time accumulates, the posterior just keeps tightening, as on the right. For our purposes, that transparency is worth a lot.</w:t>
      </w:r>
    </w:p>
    <w:p>
      <w:pPr>
        <w:spacing w:after="120"/>
        <w:ind w:left="360"/>
      </w:pPr>
      <w:r>
        <w:rPr>
          <w:i/>
          <w:color w:val="555F66"/>
          <w:sz w:val="21"/>
        </w:rPr>
        <w:t>Delivery — The technical heart. Slow down and point at the one-line update. Emphasise “closed-form, auditable” — that reassures a RAMS audience wary of black boxes.</w:t>
      </w:r>
    </w:p>
    <w:p>
      <w:pPr>
        <w:spacing w:before="200" w:after="80"/>
      </w:pPr>
      <w:r>
        <w:rPr>
          <w:rFonts w:ascii="Calibri" w:hAnsi="Calibri"/>
          <w:b/>
          <w:color w:val="003249"/>
          <w:sz w:val="28"/>
        </w:rPr>
        <w:t>Slide 8 — One component, start to finish</w:t>
      </w:r>
      <w:r>
        <w:rPr>
          <w:i/>
          <w:color w:val="007A6E"/>
          <w:sz w:val="22"/>
        </w:rPr>
        <w:t xml:space="preserve">     (~2.5 min)</w:t>
      </w:r>
    </w:p>
    <w:p>
      <w:pPr>
        <w:spacing w:after="160"/>
      </w:pPr>
      <w:r>
        <w:rPr>
          <w:sz w:val="23"/>
        </w:rPr>
        <w:t>Let me put real numbers through it — one component, end to end. The numbers are illustrative, but the pipeline is exactly what I’ve implemented.</w:t>
      </w:r>
    </w:p>
    <w:p>
      <w:pPr>
        <w:spacing w:after="160"/>
      </w:pPr>
      <w:r>
        <w:rPr>
          <w:sz w:val="23"/>
        </w:rPr>
        <w:t>Take a unit with a handbook prediction of 1000 FIT. I write that as a Gamma prior with alpha-nought of one — one equivalent prior failure, so a deliberately weak prior — and beta-nought of a million hours, which makes the prior mean exactly 1000 FIT.</w:t>
      </w:r>
    </w:p>
    <w:p>
      <w:pPr>
        <w:spacing w:after="160"/>
      </w:pPr>
      <w:r>
        <w:rPr>
          <w:sz w:val="23"/>
        </w:rPr>
        <w:t>Now REX gives me the flight data: one failure in 1.75 million operating hours — the kind of number you get by pooling a few redundant units over several years. I add one to alpha, 1.75 million to beta, and out comes the posterior. Its mean is 727 FIT, and the 90% credible interval runs from about 130 to about 1725 FIT.</w:t>
      </w:r>
    </w:p>
    <w:p>
      <w:pPr>
        <w:spacing w:after="160"/>
      </w:pPr>
      <w:r>
        <w:rPr>
          <w:sz w:val="23"/>
        </w:rPr>
        <w:t>Translate that back to reliability over a seven-year design life, and the predicted reliability goes from 0.940 to 0.956. So the data is gently telling us this unit runs a little better than the conservative handbook said — and, just as importantly, we now have an honest interval around that number instead of a bare point.</w:t>
      </w:r>
    </w:p>
    <w:p>
      <w:pPr>
        <w:spacing w:after="160"/>
      </w:pPr>
      <w:r>
        <w:rPr>
          <w:sz w:val="23"/>
        </w:rPr>
        <w:t>That’s the whole loop: prior from ECSS, evidence from REX, an updated estimate with quantified uncertainty. Everything after this is about doing it well, and doing it at scale.</w:t>
      </w:r>
    </w:p>
    <w:p>
      <w:pPr>
        <w:spacing w:after="120"/>
        <w:ind w:left="360"/>
      </w:pPr>
      <w:r>
        <w:rPr>
          <w:i/>
          <w:color w:val="555F66"/>
          <w:sz w:val="21"/>
        </w:rPr>
        <w:t>Delivery — The spine of the talk. Steady pace; let them follow the arithmetic. Point at prior-vs-posterior on the plot.</w:t>
      </w:r>
    </w:p>
    <w:p>
      <w:pPr>
        <w:spacing w:before="200" w:after="80"/>
      </w:pPr>
      <w:r>
        <w:rPr>
          <w:rFonts w:ascii="Calibri" w:hAnsi="Calibri"/>
          <w:b/>
          <w:color w:val="003249"/>
          <w:sz w:val="28"/>
        </w:rPr>
        <w:t>Slide 9 — Open question 1 — how much does the prior matter?</w:t>
      </w:r>
      <w:r>
        <w:rPr>
          <w:i/>
          <w:color w:val="007A6E"/>
          <w:sz w:val="22"/>
        </w:rPr>
        <w:t xml:space="preserve">     (~1.5 min)</w:t>
      </w:r>
    </w:p>
    <w:p>
      <w:pPr>
        <w:spacing w:after="160"/>
      </w:pPr>
      <w:r>
        <w:rPr>
          <w:sz w:val="23"/>
        </w:rPr>
        <w:t>That worked cleanly — but it raises the first hard question, and it’s the one I get asked first too: how much does the answer depend on the prior I chose?</w:t>
      </w:r>
    </w:p>
    <w:p>
      <w:pPr>
        <w:spacing w:after="160"/>
      </w:pPr>
      <w:r>
        <w:rPr>
          <w:sz w:val="23"/>
        </w:rPr>
        <w:t>The honest answer: it depends on how much data you have. On the left, with sparse data, three perfectly defensible priors — an informative one from ECSS, a weak one, and a less-conservative one — give three noticeably different posteriors. The prior is doing a lot of the talking. On the right, with plenty of data, those same three priors collapse onto essentially the same answer. The evidence has taken over.</w:t>
      </w:r>
    </w:p>
    <w:p>
      <w:pPr>
        <w:spacing w:after="160"/>
      </w:pPr>
      <w:r>
        <w:rPr>
          <w:sz w:val="23"/>
        </w:rPr>
        <w:t>So the methodological job is twofold: choose priors in a principled way, and always report how sensitive the result is to that choice. This is also where a less-conservative version of the ECSS prediction is useful — not as the truth, but as a reference point to bracket the answer. This is my first sub-question, and I’d genuinely welcome your views on what makes a prior defensible in our context.</w:t>
      </w:r>
    </w:p>
    <w:p>
      <w:pPr>
        <w:spacing w:after="120"/>
        <w:ind w:left="360"/>
      </w:pPr>
      <w:r>
        <w:rPr>
          <w:i/>
          <w:color w:val="555F66"/>
          <w:sz w:val="21"/>
        </w:rPr>
        <w:t>Delivery — An “invite them in” moment — end on the question to the room and actually pause for a beat.</w:t>
      </w:r>
    </w:p>
    <w:p>
      <w:pPr>
        <w:spacing w:before="200" w:after="80"/>
      </w:pPr>
      <w:r>
        <w:rPr>
          <w:rFonts w:ascii="Calibri" w:hAnsi="Calibri"/>
          <w:b/>
          <w:color w:val="003249"/>
          <w:sz w:val="28"/>
        </w:rPr>
        <w:t>Slide 10 — Open question 2 — from components to systems</w:t>
      </w:r>
      <w:r>
        <w:rPr>
          <w:i/>
          <w:color w:val="007A6E"/>
          <w:sz w:val="22"/>
        </w:rPr>
        <w:t xml:space="preserve">     (~1.5 min)</w:t>
      </w:r>
    </w:p>
    <w:p>
      <w:pPr>
        <w:spacing w:after="160"/>
      </w:pPr>
      <w:r>
        <w:rPr>
          <w:sz w:val="23"/>
        </w:rPr>
        <w:t>Second question, and this is the real core of the thesis. We don’t make decisions about single components — we care about subsystems and the whole satellite. So I have to push these component results up through the system.</w:t>
      </w:r>
    </w:p>
    <w:p>
      <w:pPr>
        <w:spacing w:after="160"/>
      </w:pPr>
      <w:r>
        <w:rPr>
          <w:sz w:val="23"/>
        </w:rPr>
        <w:t>Doing it for point estimates is trivial — you’ve all done it with reliability block diagrams. The hard part is propagating the full uncertainty: every component is now a distribution, not a number, and I want the system-level distribution that results — accounting for redundancy, common-cause, duty cycles, all of it.</w:t>
      </w:r>
    </w:p>
    <w:p>
      <w:pPr>
        <w:spacing w:after="160"/>
      </w:pPr>
      <w:r>
        <w:rPr>
          <w:sz w:val="23"/>
        </w:rPr>
        <w:t>The practical way is Monte-Carlo: sample each component’s posterior, combine them through the block diagram — series, parallel, whatever the architecture is — and repeat many times. Out comes a distribution for system reliability with its own credible interval. In this little example the system comes out around 0.90, with a 90% interval from about 0.82 to 0.96. The uncertainty is preserved all the way up, instead of being thrown away at the first multiplication. Doing this correctly, efficiently, and for realistic architectures is most of my work.</w:t>
      </w:r>
    </w:p>
    <w:p>
      <w:pPr>
        <w:spacing w:after="120"/>
        <w:ind w:left="360"/>
      </w:pPr>
      <w:r>
        <w:rPr>
          <w:i/>
          <w:color w:val="555F66"/>
          <w:sz w:val="21"/>
        </w:rPr>
        <w:t>Delivery — This is your core contribution — sound invested. Keep it concrete with the 0.82–0.96 interval.</w:t>
      </w:r>
    </w:p>
    <w:p>
      <w:pPr>
        <w:spacing w:before="200" w:after="80"/>
      </w:pPr>
      <w:r>
        <w:rPr>
          <w:rFonts w:ascii="Calibri" w:hAnsi="Calibri"/>
          <w:b/>
          <w:color w:val="003249"/>
          <w:sz w:val="28"/>
        </w:rPr>
        <w:t>Slide 11 — Open question 3 — at what scale is inference most robust?</w:t>
      </w:r>
      <w:r>
        <w:rPr>
          <w:i/>
          <w:color w:val="007A6E"/>
          <w:sz w:val="22"/>
        </w:rPr>
        <w:t xml:space="preserve">     (~1.5 min)</w:t>
      </w:r>
    </w:p>
    <w:p>
      <w:pPr>
        <w:spacing w:after="160"/>
      </w:pPr>
      <w:r>
        <w:rPr>
          <w:sz w:val="23"/>
        </w:rPr>
        <w:t>Third question is subtler — a genuine trade-off rather than a technique. At which level should we actually do the inference?</w:t>
      </w:r>
    </w:p>
    <w:p>
      <w:pPr>
        <w:spacing w:after="160"/>
      </w:pPr>
      <w:r>
        <w:rPr>
          <w:sz w:val="23"/>
        </w:rPr>
        <w:t>Components are numerous, but each fails rarely — so the data is sparse and the posteriors are wide. Systems are the opposite: fewer of them, but they accumulate failures faster, so the estimates are tighter.</w:t>
      </w:r>
    </w:p>
    <w:p>
      <w:pPr>
        <w:spacing w:after="160"/>
      </w:pPr>
      <w:r>
        <w:rPr>
          <w:sz w:val="23"/>
        </w:rPr>
        <w:t>The catch is the crossing lines on the plot: aggregating upward buys you statistical certainty, but it costs resolution. A tight number for “the satellite” doesn’t tell you which box to improve. A wide number for a specific component tells you exactly where to look, but you’re less sure of it.</w:t>
      </w:r>
    </w:p>
    <w:p>
      <w:pPr>
        <w:spacing w:after="160"/>
      </w:pPr>
      <w:r>
        <w:rPr>
          <w:sz w:val="23"/>
        </w:rPr>
        <w:t>So the question I’m trying to answer is which level is right for which decision. A design trade probably wants component-level detail even when it’s uncertain; a programmatic risk call might be better served by the tighter system number. I don’t think there’s one answer — and you’ll have sharper intuitions on this than I do.</w:t>
      </w:r>
    </w:p>
    <w:p>
      <w:pPr>
        <w:spacing w:after="120"/>
        <w:ind w:left="360"/>
      </w:pPr>
      <w:r>
        <w:rPr>
          <w:i/>
          <w:color w:val="555F66"/>
          <w:sz w:val="21"/>
        </w:rPr>
        <w:t>Delivery — Hand authority to them at the end — genuine, not false modesty.</w:t>
      </w:r>
    </w:p>
    <w:p>
      <w:pPr>
        <w:spacing w:before="200" w:after="80"/>
      </w:pPr>
      <w:r>
        <w:rPr>
          <w:rFonts w:ascii="Calibri" w:hAnsi="Calibri"/>
          <w:b/>
          <w:color w:val="003249"/>
          <w:sz w:val="28"/>
        </w:rPr>
        <w:t>Slide 12 — When to reach for Bayes — and when to be careful</w:t>
      </w:r>
      <w:r>
        <w:rPr>
          <w:i/>
          <w:color w:val="007A6E"/>
          <w:sz w:val="22"/>
        </w:rPr>
        <w:t xml:space="preserve">     (~2.0 min)</w:t>
      </w:r>
    </w:p>
    <w:p>
      <w:pPr>
        <w:spacing w:after="160"/>
      </w:pPr>
      <w:r>
        <w:rPr>
          <w:sz w:val="23"/>
        </w:rPr>
        <w:t>Let me be balanced, because I don’t want to oversell this.</w:t>
      </w:r>
    </w:p>
    <w:p>
      <w:pPr>
        <w:spacing w:after="160"/>
      </w:pPr>
      <w:r>
        <w:rPr>
          <w:sz w:val="23"/>
        </w:rPr>
        <w:t>On the strengths side: it’s a principled way to fuse a prediction with data; it gives honest uncertainty rather than false-precision; it handles the sparse and zero-failure cases that break the classical estimators; and it’s naturally sequential — as REX grows, you keep updating, you don’t start over.</w:t>
      </w:r>
    </w:p>
    <w:p>
      <w:pPr>
        <w:spacing w:after="160"/>
      </w:pPr>
      <w:r>
        <w:rPr>
          <w:sz w:val="23"/>
        </w:rPr>
        <w:t>But there are real caveats, and you’ll spot them faster than I will. The results depend on the prior, so you must be explicit and you must test sensitivity — that’s why the first sub-question exists. It’s garbage-in, garbage-out: if the REX data is mislabelled or the operating hours are wrong, the posterior is confidently wrong — and data quality is genuinely the hard part. Beyond the neat conjugate case, you lose the closed form and you’re into real computation. And there’s a cultural point: it asks people to work with a distribution instead of a single number, which is a change of habit.</w:t>
      </w:r>
    </w:p>
    <w:p>
      <w:pPr>
        <w:spacing w:after="160"/>
      </w:pPr>
      <w:r>
        <w:rPr>
          <w:sz w:val="23"/>
        </w:rPr>
        <w:t>My honest position: it’s a strong addition to the toolbox, not a replacement for anything — and it’s most powerful exactly where we’re weakest today, which is sparse in-orbit data.</w:t>
      </w:r>
    </w:p>
    <w:p>
      <w:pPr>
        <w:spacing w:after="120"/>
        <w:ind w:left="360"/>
      </w:pPr>
      <w:r>
        <w:rPr>
          <w:i/>
          <w:color w:val="555F66"/>
          <w:sz w:val="21"/>
        </w:rPr>
        <w:t>Delivery — Say the caveats sincerely — owning the limits in front of seniors buys credibility. “You’ll spot them faster than I will” is true; say it plainly.</w:t>
      </w:r>
    </w:p>
    <w:p>
      <w:pPr>
        <w:spacing w:before="200" w:after="80"/>
      </w:pPr>
      <w:r>
        <w:rPr>
          <w:rFonts w:ascii="Calibri" w:hAnsi="Calibri"/>
          <w:b/>
          <w:color w:val="003249"/>
          <w:sz w:val="28"/>
        </w:rPr>
        <w:t>Slide 13 — Where this sits in our work</w:t>
      </w:r>
      <w:r>
        <w:rPr>
          <w:i/>
          <w:color w:val="007A6E"/>
          <w:sz w:val="22"/>
        </w:rPr>
        <w:t xml:space="preserve">     (~1.5 min)</w:t>
      </w:r>
    </w:p>
    <w:p>
      <w:pPr>
        <w:spacing w:after="160"/>
      </w:pPr>
      <w:r>
        <w:rPr>
          <w:sz w:val="23"/>
        </w:rPr>
        <w:t>To tie it back to what we actually do here.</w:t>
      </w:r>
    </w:p>
    <w:p>
      <w:pPr>
        <w:spacing w:after="160"/>
      </w:pPr>
      <w:r>
        <w:rPr>
          <w:sz w:val="23"/>
        </w:rPr>
        <w:t>Operationally, this is the quantitative engine of REX: the mechanism that turns the in-orbit data we’re collecting into updated predictions, and into better-informed end-of-life decisions.</w:t>
      </w:r>
    </w:p>
    <w:p>
      <w:pPr>
        <w:spacing w:after="160"/>
      </w:pPr>
      <w:r>
        <w:rPr>
          <w:sz w:val="23"/>
        </w:rPr>
        <w:t>For my thesis, it’s a multi-scale Bayesian framework, structured around the three questions I just showed — prior sensitivity, propagation, and scale — plus a validation step, where I compare the Bayesian-updated numbers against both the original conservative prediction and a less-conservative one, to see which better matches reality.</w:t>
      </w:r>
    </w:p>
    <w:p>
      <w:pPr>
        <w:spacing w:after="160"/>
      </w:pPr>
      <w:r>
        <w:rPr>
          <w:sz w:val="23"/>
        </w:rPr>
        <w:t>On status: the component-level update I showed you is implemented and working on a synthetic mission. The immediate next steps are plugging in real REX-derived priors and building out the propagation to subsystem and satellite level. So this is very much live work — which is partly why your input today is genuinely useful, and not just polite.</w:t>
      </w:r>
    </w:p>
    <w:p>
      <w:pPr>
        <w:spacing w:after="120"/>
        <w:ind w:left="360"/>
      </w:pPr>
      <w:r>
        <w:rPr>
          <w:i/>
          <w:color w:val="555F66"/>
          <w:sz w:val="21"/>
        </w:rPr>
        <w:t>Delivery — Confident and concrete. This is where you show it’s real, not hypothetical.</w:t>
      </w:r>
    </w:p>
    <w:p>
      <w:pPr>
        <w:spacing w:before="200" w:after="80"/>
      </w:pPr>
      <w:r>
        <w:rPr>
          <w:rFonts w:ascii="Calibri" w:hAnsi="Calibri"/>
          <w:b/>
          <w:color w:val="003249"/>
          <w:sz w:val="28"/>
        </w:rPr>
        <w:t>Slide 14 — Discussion</w:t>
      </w:r>
      <w:r>
        <w:rPr>
          <w:i/>
          <w:color w:val="007A6E"/>
          <w:sz w:val="22"/>
        </w:rPr>
        <w:t xml:space="preserve">     (~1.0 min)</w:t>
      </w:r>
    </w:p>
    <w:p>
      <w:pPr>
        <w:spacing w:after="160"/>
      </w:pPr>
      <w:r>
        <w:rPr>
          <w:sz w:val="23"/>
        </w:rPr>
        <w:t>Let me stop there and open it up. Rather than a summary, I’d rather hear from you — and there are three things I’m genuinely curious about.</w:t>
      </w:r>
    </w:p>
    <w:p>
      <w:pPr>
        <w:spacing w:after="160"/>
      </w:pPr>
      <w:r>
        <w:rPr>
          <w:sz w:val="23"/>
        </w:rPr>
        <w:t>First: where in your own projects would an uncertainty-aware, updated estimate actually change a decision you’d make? Second, and maybe more useful: where would you not trust this — where would you be reluctant to rely on it? And third: what would a prior have to look like for you to be comfortable using it in a real assessment?</w:t>
      </w:r>
    </w:p>
    <w:p>
      <w:pPr>
        <w:spacing w:after="160"/>
      </w:pPr>
      <w:r>
        <w:rPr>
          <w:sz w:val="23"/>
        </w:rPr>
        <w:t>Thank you — and over to you.</w:t>
      </w:r>
    </w:p>
    <w:p>
      <w:pPr>
        <w:spacing w:after="120"/>
        <w:ind w:left="360"/>
      </w:pPr>
      <w:r>
        <w:rPr>
          <w:i/>
          <w:color w:val="555F66"/>
          <w:sz w:val="21"/>
        </w:rPr>
        <w:t>Delivery — Stop talking after the questions. Resist the urge to fill silence; let them respond.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