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2738" w14:textId="77777777" w:rsidR="005F390C" w:rsidRPr="005F390C" w:rsidRDefault="005F390C" w:rsidP="002A06DC">
      <w:pPr>
        <w:shd w:val="clear" w:color="auto" w:fill="002060"/>
        <w:spacing w:after="0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1. INTRODUÇÃO</w:t>
      </w:r>
    </w:p>
    <w:p w14:paraId="1F2856FA" w14:textId="46F98C7C" w:rsidR="005F390C" w:rsidRPr="005F390C" w:rsidRDefault="005F390C" w:rsidP="005F390C">
      <w:pPr>
        <w:spacing w:after="0"/>
        <w:ind w:firstLine="708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A </w:t>
      </w:r>
      <w:proofErr w:type="spellStart"/>
      <w:r w:rsidRPr="005F390C">
        <w:rPr>
          <w:rFonts w:ascii="Times New Roman"/>
          <w:sz w:val="20"/>
          <w:szCs w:val="20"/>
        </w:rPr>
        <w:t>National</w:t>
      </w:r>
      <w:proofErr w:type="spellEnd"/>
      <w:r w:rsidRPr="005F390C">
        <w:rPr>
          <w:rFonts w:ascii="Times New Roman"/>
          <w:sz w:val="20"/>
          <w:szCs w:val="20"/>
        </w:rPr>
        <w:t xml:space="preserve"> Basketball </w:t>
      </w:r>
      <w:proofErr w:type="spellStart"/>
      <w:r w:rsidRPr="005F390C">
        <w:rPr>
          <w:rFonts w:ascii="Times New Roman"/>
          <w:sz w:val="20"/>
          <w:szCs w:val="20"/>
        </w:rPr>
        <w:t>Association</w:t>
      </w:r>
      <w:proofErr w:type="spellEnd"/>
      <w:r w:rsidRPr="005F390C">
        <w:rPr>
          <w:rFonts w:ascii="Times New Roman"/>
          <w:sz w:val="20"/>
          <w:szCs w:val="20"/>
        </w:rPr>
        <w:t xml:space="preserve"> (NBA) elege desde 1956 o jogador mais valioso todo ano (MVP). Para a mídia esportiva, é</w:t>
      </w:r>
      <w:r w:rsidR="00B80561">
        <w:rPr>
          <w:rFonts w:ascii="Times New Roman"/>
          <w:sz w:val="20"/>
          <w:szCs w:val="20"/>
        </w:rPr>
        <w:t xml:space="preserve"> o</w:t>
      </w:r>
      <w:r w:rsidRPr="005F390C">
        <w:rPr>
          <w:rFonts w:ascii="Times New Roman"/>
          <w:sz w:val="20"/>
          <w:szCs w:val="20"/>
        </w:rPr>
        <w:t xml:space="preserve"> </w:t>
      </w:r>
      <w:r w:rsidR="006E0C8B">
        <w:rPr>
          <w:rFonts w:ascii="Times New Roman"/>
          <w:sz w:val="20"/>
          <w:szCs w:val="20"/>
        </w:rPr>
        <w:t xml:space="preserve">principal prêmio individual </w:t>
      </w:r>
      <w:r w:rsidRPr="005F390C">
        <w:rPr>
          <w:rFonts w:ascii="Times New Roman"/>
          <w:sz w:val="20"/>
          <w:szCs w:val="20"/>
        </w:rPr>
        <w:t>de basquete</w:t>
      </w:r>
      <w:r w:rsidR="00B80561">
        <w:rPr>
          <w:rFonts w:ascii="Times New Roman"/>
          <w:sz w:val="20"/>
          <w:szCs w:val="20"/>
        </w:rPr>
        <w:t>bol</w:t>
      </w:r>
      <w:r w:rsidRPr="005F390C">
        <w:rPr>
          <w:rFonts w:ascii="Times New Roman"/>
          <w:sz w:val="20"/>
          <w:szCs w:val="20"/>
        </w:rPr>
        <w:t xml:space="preserve"> na temporada. Desde a temporada 1980-1981 o prêmio é decidido por um grupo de jornalistas esportivos dos Estados Unidos e do Canadá. Cada jornalista escolhe</w:t>
      </w:r>
      <w:r w:rsidR="00B80561">
        <w:rPr>
          <w:rFonts w:ascii="Times New Roman"/>
          <w:sz w:val="20"/>
          <w:szCs w:val="20"/>
        </w:rPr>
        <w:t xml:space="preserve"> os</w:t>
      </w:r>
      <w:r w:rsidRPr="005F390C">
        <w:rPr>
          <w:rFonts w:ascii="Times New Roman"/>
          <w:sz w:val="20"/>
          <w:szCs w:val="20"/>
        </w:rPr>
        <w:t xml:space="preserve"> </w:t>
      </w:r>
      <w:r w:rsidR="009548DF">
        <w:rPr>
          <w:rFonts w:ascii="Times New Roman"/>
          <w:sz w:val="20"/>
          <w:szCs w:val="20"/>
        </w:rPr>
        <w:t>5 jogadores</w:t>
      </w:r>
      <w:r w:rsidR="00B80561">
        <w:rPr>
          <w:rFonts w:ascii="Times New Roman"/>
          <w:sz w:val="20"/>
          <w:szCs w:val="20"/>
        </w:rPr>
        <w:t xml:space="preserve"> mais valiosos</w:t>
      </w:r>
      <w:r w:rsidR="009548DF">
        <w:rPr>
          <w:rFonts w:ascii="Times New Roman"/>
          <w:sz w:val="20"/>
          <w:szCs w:val="20"/>
        </w:rPr>
        <w:t xml:space="preserve"> da temporada</w:t>
      </w:r>
      <w:r w:rsidRPr="005F390C">
        <w:rPr>
          <w:rFonts w:ascii="Times New Roman"/>
          <w:sz w:val="20"/>
          <w:szCs w:val="20"/>
        </w:rPr>
        <w:t xml:space="preserve">, </w:t>
      </w:r>
      <w:r w:rsidR="009548DF">
        <w:rPr>
          <w:rFonts w:ascii="Times New Roman"/>
          <w:sz w:val="20"/>
          <w:szCs w:val="20"/>
        </w:rPr>
        <w:t>sendo que cada posição possui um peso na pontuação. O jogador com a maior pontuação vence o prêmio</w:t>
      </w:r>
      <w:r w:rsidRPr="005F390C">
        <w:rPr>
          <w:rFonts w:ascii="Times New Roman"/>
          <w:sz w:val="20"/>
          <w:szCs w:val="20"/>
        </w:rPr>
        <w:t>.</w:t>
      </w:r>
    </w:p>
    <w:p w14:paraId="699D812C" w14:textId="2794AF20" w:rsidR="005F390C" w:rsidRPr="005F390C" w:rsidRDefault="005F390C" w:rsidP="005F390C">
      <w:pPr>
        <w:spacing w:after="0"/>
        <w:ind w:firstLine="708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>Várias estatísticas são utilizadas pelos jornalistas para chegar a uma votação final. Desde as mais simples, como pontos por jogo (PPG), até mais complexas como classificação de eficiência do jogador (PER).</w:t>
      </w:r>
      <w:r w:rsidR="00023CB9">
        <w:rPr>
          <w:rFonts w:ascii="Times New Roman"/>
          <w:sz w:val="20"/>
          <w:szCs w:val="20"/>
        </w:rPr>
        <w:t xml:space="preserve"> </w:t>
      </w:r>
      <w:r w:rsidRPr="005F390C">
        <w:rPr>
          <w:rFonts w:ascii="Times New Roman"/>
          <w:sz w:val="20"/>
          <w:szCs w:val="20"/>
        </w:rPr>
        <w:t xml:space="preserve">Além de estatísticas </w:t>
      </w:r>
      <w:r w:rsidR="00023CB9">
        <w:rPr>
          <w:rFonts w:ascii="Times New Roman"/>
          <w:sz w:val="20"/>
          <w:szCs w:val="20"/>
        </w:rPr>
        <w:t xml:space="preserve">individuais, o desempenho do time é considerado na premiação, incluindo </w:t>
      </w:r>
      <w:r w:rsidR="00D81F1A">
        <w:rPr>
          <w:rFonts w:ascii="Times New Roman"/>
          <w:sz w:val="20"/>
          <w:szCs w:val="20"/>
        </w:rPr>
        <w:t>dados</w:t>
      </w:r>
      <w:r w:rsidR="00023CB9">
        <w:rPr>
          <w:rFonts w:ascii="Times New Roman"/>
          <w:sz w:val="20"/>
          <w:szCs w:val="20"/>
        </w:rPr>
        <w:t xml:space="preserve"> como classificação do time na temporada</w:t>
      </w:r>
      <w:r w:rsidR="00D81F1A">
        <w:rPr>
          <w:rFonts w:ascii="Times New Roman"/>
          <w:sz w:val="20"/>
          <w:szCs w:val="20"/>
        </w:rPr>
        <w:t xml:space="preserve"> e contribuição individual do jogador nas vitórias do time</w:t>
      </w:r>
      <w:r w:rsidRPr="005F390C">
        <w:rPr>
          <w:rFonts w:ascii="Times New Roman"/>
          <w:sz w:val="20"/>
          <w:szCs w:val="20"/>
        </w:rPr>
        <w:t>.</w:t>
      </w:r>
    </w:p>
    <w:p w14:paraId="5A715258" w14:textId="77777777" w:rsidR="005F390C" w:rsidRPr="005F390C" w:rsidRDefault="005F390C" w:rsidP="005F390C">
      <w:pPr>
        <w:spacing w:after="0"/>
        <w:ind w:firstLine="708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>Nas próximas seções, serão mostrados experimentos realizados para determinar as relações entre as variáveis obtidas com a premiação de MVP. No final será feito uma simulação para o resultado da temporada atual (2019-2020).</w:t>
      </w:r>
    </w:p>
    <w:p w14:paraId="4870E03F" w14:textId="77777777" w:rsidR="005F390C" w:rsidRPr="005F390C" w:rsidRDefault="005F390C" w:rsidP="002A06DC">
      <w:pPr>
        <w:shd w:val="clear" w:color="auto" w:fill="002060"/>
        <w:spacing w:before="240" w:after="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2. OBJETIVOS</w:t>
      </w:r>
    </w:p>
    <w:p w14:paraId="2D57A868" w14:textId="77777777" w:rsidR="005F390C" w:rsidRPr="005F390C" w:rsidRDefault="005F390C" w:rsidP="005F390C">
      <w:pPr>
        <w:spacing w:after="0"/>
        <w:ind w:firstLine="708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A predição do ganhador do prêmio de MVP da temporada da NBA pode ser tratada tanto como um problema de classificação, quanto de regressão. A NBA calcula uma pontuação, chamada de </w:t>
      </w:r>
      <w:proofErr w:type="spellStart"/>
      <w:r w:rsidRPr="005F390C">
        <w:rPr>
          <w:rFonts w:ascii="Times New Roman"/>
          <w:sz w:val="20"/>
          <w:szCs w:val="20"/>
        </w:rPr>
        <w:t>award</w:t>
      </w:r>
      <w:proofErr w:type="spellEnd"/>
      <w:r w:rsidRPr="005F390C">
        <w:rPr>
          <w:rFonts w:ascii="Times New Roman"/>
          <w:sz w:val="20"/>
          <w:szCs w:val="20"/>
        </w:rPr>
        <w:t xml:space="preserve"> </w:t>
      </w:r>
      <w:proofErr w:type="spellStart"/>
      <w:r w:rsidRPr="005F390C">
        <w:rPr>
          <w:rFonts w:ascii="Times New Roman"/>
          <w:sz w:val="20"/>
          <w:szCs w:val="20"/>
        </w:rPr>
        <w:t>share</w:t>
      </w:r>
      <w:proofErr w:type="spellEnd"/>
      <w:r w:rsidRPr="005F390C">
        <w:rPr>
          <w:rFonts w:ascii="Times New Roman"/>
          <w:sz w:val="20"/>
          <w:szCs w:val="20"/>
        </w:rPr>
        <w:t>, através da representatividade de votos recebida pelo jogador, em relação ao total de votos.</w:t>
      </w:r>
    </w:p>
    <w:p w14:paraId="5374CBE2" w14:textId="3FD02B87" w:rsidR="00944D3F" w:rsidRPr="005F390C" w:rsidRDefault="005F390C" w:rsidP="00944D3F">
      <w:pPr>
        <w:spacing w:after="0"/>
        <w:ind w:firstLine="708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Neste estudo, foi escolhido prever se o jogador ganhou o prêmio, ao invés de prever o </w:t>
      </w:r>
      <w:proofErr w:type="spellStart"/>
      <w:r w:rsidRPr="005F390C">
        <w:rPr>
          <w:rFonts w:ascii="Times New Roman"/>
          <w:sz w:val="20"/>
          <w:szCs w:val="20"/>
        </w:rPr>
        <w:t>award</w:t>
      </w:r>
      <w:proofErr w:type="spellEnd"/>
      <w:r w:rsidRPr="005F390C">
        <w:rPr>
          <w:rFonts w:ascii="Times New Roman"/>
          <w:sz w:val="20"/>
          <w:szCs w:val="20"/>
        </w:rPr>
        <w:t xml:space="preserve"> </w:t>
      </w:r>
      <w:proofErr w:type="spellStart"/>
      <w:r w:rsidRPr="005F390C">
        <w:rPr>
          <w:rFonts w:ascii="Times New Roman"/>
          <w:sz w:val="20"/>
          <w:szCs w:val="20"/>
        </w:rPr>
        <w:t>share</w:t>
      </w:r>
      <w:proofErr w:type="spellEnd"/>
      <w:r w:rsidRPr="005F390C">
        <w:rPr>
          <w:rFonts w:ascii="Times New Roman"/>
          <w:sz w:val="20"/>
          <w:szCs w:val="20"/>
        </w:rPr>
        <w:t>. Em resumo, foram utilizados métodos de classificação. Os métodos de classificação aplicados retornam uma probabilidade e com esses valores foi feito um ranqueamento por temporada, para determinar se o jogador venceu ou não o prêmio de MVP.</w:t>
      </w:r>
    </w:p>
    <w:p w14:paraId="50F4184D" w14:textId="77777777" w:rsidR="005F390C" w:rsidRPr="005F390C" w:rsidRDefault="005F390C" w:rsidP="002A06DC">
      <w:pPr>
        <w:shd w:val="clear" w:color="auto" w:fill="002060"/>
        <w:spacing w:before="240" w:after="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3. ANÁLISE E PREPARAÇÃO DOS DADOS</w:t>
      </w:r>
    </w:p>
    <w:p w14:paraId="0FF31F51" w14:textId="2B877423" w:rsidR="00183F6A" w:rsidRDefault="005F390C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Seguindo o padrão de outros esportes americanos, a NBA possui muitas estatísticas para avaliar a performance dos times e jogadores. Portanto, </w:t>
      </w:r>
      <w:r w:rsidR="0067348A">
        <w:rPr>
          <w:rFonts w:ascii="Times New Roman"/>
          <w:sz w:val="20"/>
          <w:szCs w:val="20"/>
        </w:rPr>
        <w:t xml:space="preserve">existem sites como o Basketball </w:t>
      </w:r>
      <w:proofErr w:type="spellStart"/>
      <w:r w:rsidR="0067348A">
        <w:rPr>
          <w:rFonts w:ascii="Times New Roman"/>
          <w:sz w:val="20"/>
          <w:szCs w:val="20"/>
        </w:rPr>
        <w:t>Reference</w:t>
      </w:r>
      <w:proofErr w:type="spellEnd"/>
      <w:r w:rsidR="00944D3F">
        <w:rPr>
          <w:rFonts w:ascii="Times New Roman"/>
          <w:sz w:val="20"/>
          <w:szCs w:val="20"/>
        </w:rPr>
        <w:t xml:space="preserve"> [</w:t>
      </w:r>
      <w:r w:rsidR="001D2948">
        <w:rPr>
          <w:rFonts w:ascii="Times New Roman"/>
          <w:sz w:val="20"/>
          <w:szCs w:val="20"/>
        </w:rPr>
        <w:t>1</w:t>
      </w:r>
      <w:r w:rsidR="00944D3F">
        <w:rPr>
          <w:rFonts w:ascii="Times New Roman"/>
          <w:sz w:val="20"/>
          <w:szCs w:val="20"/>
        </w:rPr>
        <w:t>]</w:t>
      </w:r>
      <w:r w:rsidR="0067348A">
        <w:rPr>
          <w:rFonts w:ascii="Times New Roman"/>
          <w:sz w:val="20"/>
          <w:szCs w:val="20"/>
        </w:rPr>
        <w:t xml:space="preserve"> que disponibilizam as estatísticas dos jogadores e times.</w:t>
      </w:r>
    </w:p>
    <w:p w14:paraId="0A0A72A3" w14:textId="1FF42C94" w:rsidR="00183F6A" w:rsidRDefault="0067348A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Para elaboração do</w:t>
      </w:r>
      <w:r w:rsidR="00183F6A">
        <w:rPr>
          <w:rFonts w:ascii="Times New Roman"/>
          <w:sz w:val="20"/>
          <w:szCs w:val="20"/>
        </w:rPr>
        <w:t>s</w:t>
      </w:r>
      <w:r>
        <w:rPr>
          <w:rFonts w:ascii="Times New Roman"/>
          <w:sz w:val="20"/>
          <w:szCs w:val="20"/>
        </w:rPr>
        <w:t xml:space="preserve"> </w:t>
      </w:r>
      <w:proofErr w:type="spellStart"/>
      <w:r>
        <w:rPr>
          <w:rFonts w:ascii="Times New Roman"/>
          <w:sz w:val="20"/>
          <w:szCs w:val="20"/>
        </w:rPr>
        <w:t>dataset</w:t>
      </w:r>
      <w:r w:rsidR="00183F6A">
        <w:rPr>
          <w:rFonts w:ascii="Times New Roman"/>
          <w:sz w:val="20"/>
          <w:szCs w:val="20"/>
        </w:rPr>
        <w:t>s</w:t>
      </w:r>
      <w:proofErr w:type="spellEnd"/>
      <w:r w:rsidR="00183F6A">
        <w:rPr>
          <w:rFonts w:ascii="Times New Roman"/>
          <w:sz w:val="20"/>
          <w:szCs w:val="20"/>
        </w:rPr>
        <w:t xml:space="preserve"> de treino e produção</w:t>
      </w:r>
      <w:r>
        <w:rPr>
          <w:rFonts w:ascii="Times New Roman"/>
          <w:sz w:val="20"/>
          <w:szCs w:val="20"/>
        </w:rPr>
        <w:t xml:space="preserve">, foi feito um </w:t>
      </w:r>
      <w:proofErr w:type="spellStart"/>
      <w:r>
        <w:rPr>
          <w:rFonts w:ascii="Times New Roman"/>
          <w:sz w:val="20"/>
          <w:szCs w:val="20"/>
        </w:rPr>
        <w:t>scrap</w:t>
      </w:r>
      <w:r w:rsidR="00B80561">
        <w:rPr>
          <w:rFonts w:ascii="Times New Roman"/>
          <w:sz w:val="20"/>
          <w:szCs w:val="20"/>
        </w:rPr>
        <w:t>p</w:t>
      </w:r>
      <w:r>
        <w:rPr>
          <w:rFonts w:ascii="Times New Roman"/>
          <w:sz w:val="20"/>
          <w:szCs w:val="20"/>
        </w:rPr>
        <w:t>er</w:t>
      </w:r>
      <w:proofErr w:type="spellEnd"/>
      <w:r>
        <w:rPr>
          <w:rFonts w:ascii="Times New Roman"/>
          <w:sz w:val="20"/>
          <w:szCs w:val="20"/>
        </w:rPr>
        <w:t xml:space="preserve"> que consulta as informações no site do Basketball </w:t>
      </w:r>
      <w:proofErr w:type="spellStart"/>
      <w:r>
        <w:rPr>
          <w:rFonts w:ascii="Times New Roman"/>
          <w:sz w:val="20"/>
          <w:szCs w:val="20"/>
        </w:rPr>
        <w:t>Reference</w:t>
      </w:r>
      <w:proofErr w:type="spellEnd"/>
      <w:r w:rsidR="00183F6A">
        <w:rPr>
          <w:rFonts w:ascii="Times New Roman"/>
          <w:sz w:val="20"/>
          <w:szCs w:val="20"/>
        </w:rPr>
        <w:t xml:space="preserve">. Foi necessário remover algumas linhas do </w:t>
      </w:r>
      <w:proofErr w:type="spellStart"/>
      <w:r w:rsidR="00183F6A">
        <w:rPr>
          <w:rFonts w:ascii="Times New Roman"/>
          <w:sz w:val="20"/>
          <w:szCs w:val="20"/>
        </w:rPr>
        <w:t>dataset</w:t>
      </w:r>
      <w:proofErr w:type="spellEnd"/>
      <w:r w:rsidR="00183F6A">
        <w:rPr>
          <w:rFonts w:ascii="Times New Roman"/>
          <w:sz w:val="20"/>
          <w:szCs w:val="20"/>
        </w:rPr>
        <w:t xml:space="preserve"> de treino, para não considerar todos os jogadores de cada temporada. Foram mantidos apenas os jogadores que receberam pelo menos um voto</w:t>
      </w:r>
      <w:r w:rsidR="00B80561">
        <w:rPr>
          <w:rFonts w:ascii="Times New Roman"/>
          <w:sz w:val="20"/>
          <w:szCs w:val="20"/>
        </w:rPr>
        <w:t xml:space="preserve"> em qualquer posição</w:t>
      </w:r>
      <w:r w:rsidR="00183F6A">
        <w:rPr>
          <w:rFonts w:ascii="Times New Roman"/>
          <w:sz w:val="20"/>
          <w:szCs w:val="20"/>
        </w:rPr>
        <w:t xml:space="preserve"> para MVP. Já no </w:t>
      </w:r>
      <w:proofErr w:type="spellStart"/>
      <w:r w:rsidR="00183F6A">
        <w:rPr>
          <w:rFonts w:ascii="Times New Roman"/>
          <w:sz w:val="20"/>
          <w:szCs w:val="20"/>
        </w:rPr>
        <w:t>dataset</w:t>
      </w:r>
      <w:proofErr w:type="spellEnd"/>
      <w:r w:rsidR="00183F6A">
        <w:rPr>
          <w:rFonts w:ascii="Times New Roman"/>
          <w:sz w:val="20"/>
          <w:szCs w:val="20"/>
        </w:rPr>
        <w:t xml:space="preserve"> de produção, foram removidos os jogadores que jogaram menos de 55 partidas na temporada</w:t>
      </w:r>
      <w:r w:rsidR="00B80561">
        <w:rPr>
          <w:rFonts w:ascii="Times New Roman"/>
          <w:sz w:val="20"/>
          <w:szCs w:val="20"/>
        </w:rPr>
        <w:t xml:space="preserve"> que é de 82 jogos, ou seja, 2/3</w:t>
      </w:r>
      <w:r w:rsidR="00183F6A">
        <w:rPr>
          <w:rFonts w:ascii="Times New Roman"/>
          <w:sz w:val="20"/>
          <w:szCs w:val="20"/>
        </w:rPr>
        <w:t>.</w:t>
      </w:r>
    </w:p>
    <w:p w14:paraId="291ECBD2" w14:textId="1D7DF748" w:rsidR="00B80561" w:rsidRDefault="00183F6A" w:rsidP="00B80561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Analisando 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, foi possível identificar as correlações </w:t>
      </w:r>
      <w:r w:rsidR="003C0813">
        <w:rPr>
          <w:rFonts w:ascii="Times New Roman"/>
          <w:sz w:val="20"/>
          <w:szCs w:val="20"/>
        </w:rPr>
        <w:t>entre as variáveis independentes e a variável objetivo (</w:t>
      </w:r>
      <w:proofErr w:type="spellStart"/>
      <w:r w:rsidR="003C0813">
        <w:rPr>
          <w:rFonts w:ascii="Times New Roman"/>
          <w:sz w:val="20"/>
          <w:szCs w:val="20"/>
        </w:rPr>
        <w:t>Won</w:t>
      </w:r>
      <w:proofErr w:type="spellEnd"/>
      <w:r w:rsidR="003C0813">
        <w:rPr>
          <w:rFonts w:ascii="Times New Roman"/>
          <w:sz w:val="20"/>
          <w:szCs w:val="20"/>
        </w:rPr>
        <w:t xml:space="preserve"> MVP). A tabela abaixo descreve as principais variáveis e o percentual de correlação com a variável </w:t>
      </w:r>
      <w:proofErr w:type="spellStart"/>
      <w:r w:rsidR="003C0813">
        <w:rPr>
          <w:rFonts w:ascii="Times New Roman"/>
          <w:sz w:val="20"/>
          <w:szCs w:val="20"/>
        </w:rPr>
        <w:t>Won</w:t>
      </w:r>
      <w:proofErr w:type="spellEnd"/>
      <w:r w:rsidR="003C0813">
        <w:rPr>
          <w:rFonts w:ascii="Times New Roman"/>
          <w:sz w:val="20"/>
          <w:szCs w:val="20"/>
        </w:rPr>
        <w:t xml:space="preserve"> MVP.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4770"/>
        <w:gridCol w:w="1482"/>
      </w:tblGrid>
      <w:tr w:rsidR="003C0813" w14:paraId="78032780" w14:textId="77777777" w:rsidTr="00FC2C02">
        <w:tc>
          <w:tcPr>
            <w:tcW w:w="1075" w:type="dxa"/>
            <w:shd w:val="clear" w:color="auto" w:fill="002060"/>
            <w:vAlign w:val="center"/>
          </w:tcPr>
          <w:p w14:paraId="023F9065" w14:textId="6F709832" w:rsidR="003C0813" w:rsidRPr="00AB44C4" w:rsidRDefault="003C0813" w:rsidP="003C0813">
            <w:pPr>
              <w:jc w:val="center"/>
              <w:rPr>
                <w:rFonts w:ascii="Times New Roman"/>
                <w:b/>
                <w:bCs/>
                <w:sz w:val="20"/>
                <w:szCs w:val="20"/>
              </w:rPr>
            </w:pPr>
            <w:r w:rsidRPr="00AB44C4">
              <w:rPr>
                <w:rFonts w:ascii="Times New Roman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4770" w:type="dxa"/>
            <w:shd w:val="clear" w:color="auto" w:fill="002060"/>
            <w:vAlign w:val="center"/>
          </w:tcPr>
          <w:p w14:paraId="5B931262" w14:textId="3F1BED39" w:rsidR="003C0813" w:rsidRPr="00AB44C4" w:rsidRDefault="003C0813" w:rsidP="003C0813">
            <w:pPr>
              <w:jc w:val="center"/>
              <w:rPr>
                <w:rFonts w:ascii="Times New Roman"/>
                <w:b/>
                <w:bCs/>
                <w:sz w:val="20"/>
                <w:szCs w:val="20"/>
              </w:rPr>
            </w:pPr>
            <w:r w:rsidRPr="00AB44C4">
              <w:rPr>
                <w:rFonts w:ascii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82" w:type="dxa"/>
            <w:shd w:val="clear" w:color="auto" w:fill="002060"/>
            <w:vAlign w:val="center"/>
          </w:tcPr>
          <w:p w14:paraId="34353370" w14:textId="0D88AD72" w:rsidR="003C0813" w:rsidRPr="00AB44C4" w:rsidRDefault="003C0813" w:rsidP="003C0813">
            <w:pPr>
              <w:jc w:val="center"/>
              <w:rPr>
                <w:rFonts w:ascii="Times New Roman"/>
                <w:b/>
                <w:bCs/>
                <w:sz w:val="20"/>
                <w:szCs w:val="20"/>
              </w:rPr>
            </w:pPr>
            <w:r w:rsidRPr="00AB44C4">
              <w:rPr>
                <w:rFonts w:ascii="Times New Roman"/>
                <w:b/>
                <w:bCs/>
                <w:sz w:val="20"/>
                <w:szCs w:val="20"/>
              </w:rPr>
              <w:t xml:space="preserve">% Correlação </w:t>
            </w:r>
            <w:proofErr w:type="spellStart"/>
            <w:r w:rsidRPr="00AB44C4">
              <w:rPr>
                <w:rFonts w:ascii="Times New Roman"/>
                <w:b/>
                <w:bCs/>
                <w:sz w:val="20"/>
                <w:szCs w:val="20"/>
              </w:rPr>
              <w:t>Won</w:t>
            </w:r>
            <w:proofErr w:type="spellEnd"/>
            <w:r w:rsidRPr="00AB44C4">
              <w:rPr>
                <w:rFonts w:ascii="Times New Roman"/>
                <w:b/>
                <w:bCs/>
                <w:sz w:val="20"/>
                <w:szCs w:val="20"/>
              </w:rPr>
              <w:t xml:space="preserve"> MVP</w:t>
            </w:r>
          </w:p>
        </w:tc>
      </w:tr>
      <w:tr w:rsidR="00B80561" w14:paraId="384E39D7" w14:textId="77777777" w:rsidTr="00FC2C02">
        <w:tc>
          <w:tcPr>
            <w:tcW w:w="1075" w:type="dxa"/>
            <w:vAlign w:val="center"/>
          </w:tcPr>
          <w:p w14:paraId="2C0F5535" w14:textId="0BD48454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WS</w:t>
            </w:r>
            <w:r w:rsidRPr="00AB44C4">
              <w:rPr>
                <w:rFonts w:ascii="Times New Roman"/>
                <w:sz w:val="20"/>
                <w:szCs w:val="20"/>
              </w:rPr>
              <w:t xml:space="preserve">                 </w:t>
            </w:r>
          </w:p>
        </w:tc>
        <w:tc>
          <w:tcPr>
            <w:tcW w:w="4770" w:type="dxa"/>
            <w:vAlign w:val="center"/>
          </w:tcPr>
          <w:p w14:paraId="6344A7E5" w14:textId="09CCB9C7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proofErr w:type="spellStart"/>
            <w:r w:rsidRPr="00AB44C4">
              <w:rPr>
                <w:rFonts w:ascii="Times New Roman"/>
                <w:sz w:val="20"/>
                <w:szCs w:val="20"/>
              </w:rPr>
              <w:t>Win</w:t>
            </w:r>
            <w:proofErr w:type="spellEnd"/>
            <w:r w:rsidRPr="00AB44C4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AB44C4">
              <w:rPr>
                <w:rFonts w:ascii="Times New Roman"/>
                <w:sz w:val="20"/>
                <w:szCs w:val="20"/>
              </w:rPr>
              <w:t>Shares</w:t>
            </w:r>
            <w:proofErr w:type="spellEnd"/>
            <w:r w:rsidRPr="00AB44C4">
              <w:rPr>
                <w:rFonts w:ascii="Times New Roman"/>
                <w:sz w:val="20"/>
                <w:szCs w:val="20"/>
              </w:rPr>
              <w:t>. Índice de impacto do jogador nas vitórias da equipe.</w:t>
            </w:r>
          </w:p>
        </w:tc>
        <w:tc>
          <w:tcPr>
            <w:tcW w:w="1482" w:type="dxa"/>
            <w:vAlign w:val="center"/>
          </w:tcPr>
          <w:p w14:paraId="5BE9EDA2" w14:textId="4A30E451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39</w:t>
            </w:r>
            <w:r w:rsidRPr="00AB44C4">
              <w:rPr>
                <w:rFonts w:ascii="Times New Roman"/>
                <w:sz w:val="20"/>
                <w:szCs w:val="20"/>
              </w:rPr>
              <w:t>%</w:t>
            </w:r>
          </w:p>
        </w:tc>
      </w:tr>
      <w:tr w:rsidR="00B80561" w14:paraId="45494DF1" w14:textId="77777777" w:rsidTr="00FC2C02">
        <w:tc>
          <w:tcPr>
            <w:tcW w:w="1075" w:type="dxa"/>
            <w:vAlign w:val="center"/>
          </w:tcPr>
          <w:p w14:paraId="2C0DCCB7" w14:textId="569C9825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VORP</w:t>
            </w:r>
          </w:p>
        </w:tc>
        <w:tc>
          <w:tcPr>
            <w:tcW w:w="4770" w:type="dxa"/>
            <w:vAlign w:val="center"/>
          </w:tcPr>
          <w:p w14:paraId="287359A1" w14:textId="25A25B01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proofErr w:type="spellStart"/>
            <w:r w:rsidRPr="00B80561">
              <w:rPr>
                <w:rFonts w:ascii="Times New Roman"/>
                <w:sz w:val="20"/>
                <w:szCs w:val="20"/>
              </w:rPr>
              <w:t>Value</w:t>
            </w:r>
            <w:proofErr w:type="spellEnd"/>
            <w:r w:rsidRPr="00B80561">
              <w:rPr>
                <w:rFonts w:ascii="Times New Roman"/>
                <w:sz w:val="20"/>
                <w:szCs w:val="20"/>
              </w:rPr>
              <w:t xml:space="preserve"> over </w:t>
            </w:r>
            <w:proofErr w:type="spellStart"/>
            <w:r w:rsidRPr="00B80561">
              <w:rPr>
                <w:rFonts w:ascii="Times New Roman"/>
                <w:sz w:val="20"/>
                <w:szCs w:val="20"/>
              </w:rPr>
              <w:t>replacement</w:t>
            </w:r>
            <w:proofErr w:type="spellEnd"/>
            <w:r w:rsidRPr="00B80561">
              <w:rPr>
                <w:rFonts w:ascii="Times New Roman"/>
                <w:sz w:val="20"/>
                <w:szCs w:val="20"/>
              </w:rPr>
              <w:t xml:space="preserve"> player. </w:t>
            </w:r>
            <w:r w:rsidRPr="00AB44C4">
              <w:rPr>
                <w:rFonts w:ascii="Times New Roman"/>
                <w:sz w:val="20"/>
                <w:szCs w:val="20"/>
              </w:rPr>
              <w:t>Diferença da contribuição do jogador para o time em relação com um possível jogador substituto.</w:t>
            </w:r>
          </w:p>
        </w:tc>
        <w:tc>
          <w:tcPr>
            <w:tcW w:w="1482" w:type="dxa"/>
            <w:vAlign w:val="center"/>
          </w:tcPr>
          <w:p w14:paraId="6C424476" w14:textId="38CFDAA1" w:rsidR="00B80561" w:rsidRPr="00AB44C4" w:rsidRDefault="00B80561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AB44C4">
              <w:rPr>
                <w:rFonts w:ascii="Times New Roman"/>
                <w:sz w:val="20"/>
                <w:szCs w:val="20"/>
              </w:rPr>
              <w:t>3</w:t>
            </w:r>
            <w:r>
              <w:rPr>
                <w:rFonts w:ascii="Times New Roman"/>
                <w:sz w:val="20"/>
                <w:szCs w:val="20"/>
              </w:rPr>
              <w:t>9</w:t>
            </w:r>
            <w:r w:rsidRPr="00AB44C4">
              <w:rPr>
                <w:rFonts w:ascii="Times New Roman"/>
                <w:sz w:val="20"/>
                <w:szCs w:val="20"/>
              </w:rPr>
              <w:t>%</w:t>
            </w:r>
          </w:p>
        </w:tc>
      </w:tr>
      <w:tr w:rsidR="00B80561" w14:paraId="0979808B" w14:textId="77777777" w:rsidTr="00FC2C02">
        <w:tc>
          <w:tcPr>
            <w:tcW w:w="1075" w:type="dxa"/>
            <w:vAlign w:val="center"/>
          </w:tcPr>
          <w:p w14:paraId="283FDFC2" w14:textId="109833B9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BPM</w:t>
            </w:r>
          </w:p>
        </w:tc>
        <w:tc>
          <w:tcPr>
            <w:tcW w:w="4770" w:type="dxa"/>
            <w:vAlign w:val="center"/>
          </w:tcPr>
          <w:p w14:paraId="3577DAB6" w14:textId="66D18B7D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Box Plus/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Minus</w:t>
            </w:r>
            <w:proofErr w:type="spellEnd"/>
            <w:r w:rsidRPr="00AB44C4">
              <w:rPr>
                <w:rFonts w:ascii="Times New Roman"/>
                <w:sz w:val="20"/>
                <w:szCs w:val="20"/>
              </w:rPr>
              <w:t xml:space="preserve">. Índice de </w:t>
            </w:r>
            <w:r>
              <w:rPr>
                <w:rFonts w:ascii="Times New Roman"/>
                <w:sz w:val="20"/>
                <w:szCs w:val="20"/>
              </w:rPr>
              <w:t>contribuição em quadra</w:t>
            </w:r>
            <w:r w:rsidRPr="00AB44C4">
              <w:rPr>
                <w:rFonts w:ascii="Times New Roman"/>
                <w:sz w:val="20"/>
                <w:szCs w:val="20"/>
              </w:rPr>
              <w:t>.</w:t>
            </w:r>
          </w:p>
        </w:tc>
        <w:tc>
          <w:tcPr>
            <w:tcW w:w="1482" w:type="dxa"/>
            <w:vAlign w:val="center"/>
          </w:tcPr>
          <w:p w14:paraId="520E4BA9" w14:textId="012D63FB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37</w:t>
            </w:r>
            <w:r w:rsidR="00B80561" w:rsidRPr="00AB44C4">
              <w:rPr>
                <w:rFonts w:ascii="Times New Roman"/>
                <w:sz w:val="20"/>
                <w:szCs w:val="20"/>
              </w:rPr>
              <w:t>%</w:t>
            </w:r>
          </w:p>
        </w:tc>
      </w:tr>
      <w:tr w:rsidR="00B80561" w14:paraId="00C5CCAF" w14:textId="77777777" w:rsidTr="00FC2C02">
        <w:tc>
          <w:tcPr>
            <w:tcW w:w="1075" w:type="dxa"/>
            <w:vAlign w:val="center"/>
          </w:tcPr>
          <w:p w14:paraId="1545086D" w14:textId="5527C5F1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PER</w:t>
            </w:r>
          </w:p>
        </w:tc>
        <w:tc>
          <w:tcPr>
            <w:tcW w:w="4770" w:type="dxa"/>
            <w:vAlign w:val="center"/>
          </w:tcPr>
          <w:p w14:paraId="1460EC5B" w14:textId="1C478EA7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AB44C4">
              <w:rPr>
                <w:rFonts w:ascii="Times New Roman"/>
                <w:sz w:val="20"/>
                <w:szCs w:val="20"/>
              </w:rPr>
              <w:t xml:space="preserve">Player </w:t>
            </w:r>
            <w:proofErr w:type="spellStart"/>
            <w:r w:rsidRPr="00AB44C4">
              <w:rPr>
                <w:rFonts w:ascii="Times New Roman"/>
                <w:sz w:val="20"/>
                <w:szCs w:val="20"/>
              </w:rPr>
              <w:t>Efficiency</w:t>
            </w:r>
            <w:proofErr w:type="spellEnd"/>
            <w:r w:rsidRPr="00AB44C4">
              <w:rPr>
                <w:rFonts w:ascii="Times New Roman"/>
                <w:sz w:val="20"/>
                <w:szCs w:val="20"/>
              </w:rPr>
              <w:t xml:space="preserve"> Rating. Índice de eficiência geral do jogador.</w:t>
            </w:r>
          </w:p>
        </w:tc>
        <w:tc>
          <w:tcPr>
            <w:tcW w:w="1482" w:type="dxa"/>
            <w:vAlign w:val="center"/>
          </w:tcPr>
          <w:p w14:paraId="65581FB8" w14:textId="1EFAF750" w:rsidR="00B80561" w:rsidRPr="00AB44C4" w:rsidRDefault="007364BD" w:rsidP="003C0813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34</w:t>
            </w:r>
            <w:r w:rsidR="00B80561" w:rsidRPr="00AB44C4">
              <w:rPr>
                <w:rFonts w:ascii="Times New Roman"/>
                <w:sz w:val="20"/>
                <w:szCs w:val="20"/>
              </w:rPr>
              <w:t>%</w:t>
            </w:r>
          </w:p>
        </w:tc>
      </w:tr>
      <w:tr w:rsidR="007364BD" w14:paraId="07A58596" w14:textId="77777777" w:rsidTr="00FC2C02">
        <w:tc>
          <w:tcPr>
            <w:tcW w:w="1075" w:type="dxa"/>
            <w:vAlign w:val="center"/>
          </w:tcPr>
          <w:p w14:paraId="3F4A0C33" w14:textId="5E091BEB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Team Overall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Seed</w:t>
            </w:r>
            <w:proofErr w:type="spellEnd"/>
            <w:r w:rsidRPr="00AB44C4">
              <w:rPr>
                <w:rFonts w:ascii="Times New Roman"/>
                <w:sz w:val="20"/>
                <w:szCs w:val="20"/>
              </w:rPr>
              <w:t xml:space="preserve">                  </w:t>
            </w:r>
          </w:p>
        </w:tc>
        <w:tc>
          <w:tcPr>
            <w:tcW w:w="4770" w:type="dxa"/>
            <w:vAlign w:val="center"/>
          </w:tcPr>
          <w:p w14:paraId="16C2C3F8" w14:textId="2452D22E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Classificação do time do jogador.</w:t>
            </w:r>
          </w:p>
        </w:tc>
        <w:tc>
          <w:tcPr>
            <w:tcW w:w="1482" w:type="dxa"/>
            <w:vAlign w:val="center"/>
          </w:tcPr>
          <w:p w14:paraId="48E4ABF4" w14:textId="5273BA49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AB44C4">
              <w:rPr>
                <w:rFonts w:ascii="Times New Roman"/>
                <w:sz w:val="20"/>
                <w:szCs w:val="20"/>
              </w:rPr>
              <w:t>2</w:t>
            </w:r>
            <w:r>
              <w:rPr>
                <w:rFonts w:ascii="Times New Roman"/>
                <w:sz w:val="20"/>
                <w:szCs w:val="20"/>
              </w:rPr>
              <w:t>3</w:t>
            </w:r>
            <w:r w:rsidRPr="00AB44C4">
              <w:rPr>
                <w:rFonts w:ascii="Times New Roman"/>
                <w:sz w:val="20"/>
                <w:szCs w:val="20"/>
              </w:rPr>
              <w:t>%</w:t>
            </w:r>
          </w:p>
        </w:tc>
      </w:tr>
      <w:tr w:rsidR="007364BD" w14:paraId="507B79C2" w14:textId="77777777" w:rsidTr="00FC2C02">
        <w:tc>
          <w:tcPr>
            <w:tcW w:w="1075" w:type="dxa"/>
            <w:vAlign w:val="center"/>
          </w:tcPr>
          <w:p w14:paraId="2E7C229B" w14:textId="521400CE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PTS</w:t>
            </w:r>
          </w:p>
        </w:tc>
        <w:tc>
          <w:tcPr>
            <w:tcW w:w="4770" w:type="dxa"/>
            <w:vAlign w:val="center"/>
          </w:tcPr>
          <w:p w14:paraId="6B485A4A" w14:textId="78163C2B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Points. Média de pontos por jogo do jogador.</w:t>
            </w:r>
          </w:p>
        </w:tc>
        <w:tc>
          <w:tcPr>
            <w:tcW w:w="1482" w:type="dxa"/>
            <w:vAlign w:val="center"/>
          </w:tcPr>
          <w:p w14:paraId="51BCBBBF" w14:textId="1462AB97" w:rsidR="007364BD" w:rsidRPr="00AB44C4" w:rsidRDefault="007364BD" w:rsidP="007364BD">
            <w:pPr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23%</w:t>
            </w:r>
          </w:p>
        </w:tc>
      </w:tr>
    </w:tbl>
    <w:p w14:paraId="4C8FC145" w14:textId="26D5C4D2" w:rsidR="005F390C" w:rsidRPr="005F390C" w:rsidRDefault="005F390C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As análises feitas para determinar o modelo desse trabalho envolvem basicamente as variáveis descritas acima. Além delas representarem o desempenho em quadra dos atletas, também são considerados </w:t>
      </w:r>
      <w:r w:rsidR="00183F6A">
        <w:rPr>
          <w:rFonts w:ascii="Times New Roman"/>
          <w:sz w:val="20"/>
          <w:szCs w:val="20"/>
        </w:rPr>
        <w:t>desempenho da equipe na temporada regular.</w:t>
      </w:r>
    </w:p>
    <w:p w14:paraId="0C778AEE" w14:textId="32A50232" w:rsidR="00AD27DC" w:rsidRDefault="005F390C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Começando pelas análises de desempenho em quadra, é apresentado o gráfico a seguir, relacionando a quantidade média de pontos do jogador por jogo (PTS) e o índice de eficiência do </w:t>
      </w:r>
      <w:r w:rsidR="008A6FE0">
        <w:rPr>
          <w:rFonts w:ascii="Times New Roman"/>
          <w:sz w:val="20"/>
          <w:szCs w:val="20"/>
        </w:rPr>
        <w:t>geral do jogador (PER)</w:t>
      </w:r>
      <w:r w:rsidRPr="005F390C">
        <w:rPr>
          <w:rFonts w:ascii="Times New Roman"/>
          <w:sz w:val="20"/>
          <w:szCs w:val="20"/>
        </w:rPr>
        <w:t>.</w:t>
      </w:r>
    </w:p>
    <w:p w14:paraId="0B13FE60" w14:textId="2CD6D78C" w:rsidR="005F390C" w:rsidRDefault="008A6FE0" w:rsidP="005F390C">
      <w:pPr>
        <w:spacing w:after="0"/>
        <w:ind w:firstLine="360"/>
        <w:jc w:val="center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4917DD44" wp14:editId="159CC843">
            <wp:extent cx="3600000" cy="2514410"/>
            <wp:effectExtent l="12700" t="12700" r="698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1490A" w14:textId="5AD4BEC6" w:rsidR="005F390C" w:rsidRDefault="005F390C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sz w:val="20"/>
          <w:szCs w:val="20"/>
        </w:rPr>
        <w:t xml:space="preserve">Os </w:t>
      </w:r>
      <w:proofErr w:type="spellStart"/>
      <w:r w:rsidRPr="005F390C">
        <w:rPr>
          <w:rFonts w:ascii="Times New Roman"/>
          <w:sz w:val="20"/>
          <w:szCs w:val="20"/>
        </w:rPr>
        <w:t>MVPs</w:t>
      </w:r>
      <w:proofErr w:type="spellEnd"/>
      <w:r w:rsidR="005E344C">
        <w:rPr>
          <w:rFonts w:ascii="Times New Roman"/>
          <w:sz w:val="20"/>
          <w:szCs w:val="20"/>
        </w:rPr>
        <w:t>, em sua maioria,</w:t>
      </w:r>
      <w:r w:rsidRPr="005F390C">
        <w:rPr>
          <w:rFonts w:ascii="Times New Roman"/>
          <w:sz w:val="20"/>
          <w:szCs w:val="20"/>
        </w:rPr>
        <w:t xml:space="preserve"> possuem um índice de eficiência </w:t>
      </w:r>
      <w:r w:rsidR="005E344C">
        <w:rPr>
          <w:rFonts w:ascii="Times New Roman"/>
          <w:sz w:val="20"/>
          <w:szCs w:val="20"/>
        </w:rPr>
        <w:t>geral alto e</w:t>
      </w:r>
      <w:r w:rsidRPr="005F390C">
        <w:rPr>
          <w:rFonts w:ascii="Times New Roman"/>
          <w:sz w:val="20"/>
          <w:szCs w:val="20"/>
        </w:rPr>
        <w:t xml:space="preserve"> uma alta média de pontos por jogo.</w:t>
      </w:r>
      <w:r>
        <w:rPr>
          <w:rFonts w:ascii="Times New Roman"/>
          <w:sz w:val="20"/>
          <w:szCs w:val="20"/>
        </w:rPr>
        <w:t xml:space="preserve"> Isso também reflete na participação do jogador nas vitórias do time. </w:t>
      </w:r>
      <w:r w:rsidRPr="005F390C">
        <w:rPr>
          <w:rFonts w:ascii="Times New Roman"/>
          <w:sz w:val="20"/>
          <w:szCs w:val="20"/>
        </w:rPr>
        <w:t>No gráfico a seguir, é relacionado o índice de impacto do jogador nas vitórias do time (WS) com a classificação da equipe</w:t>
      </w:r>
      <w:r>
        <w:rPr>
          <w:rFonts w:ascii="Times New Roman"/>
          <w:sz w:val="20"/>
          <w:szCs w:val="20"/>
        </w:rPr>
        <w:t xml:space="preserve"> na temporada (</w:t>
      </w:r>
      <w:r w:rsidR="007364BD">
        <w:rPr>
          <w:rFonts w:ascii="Times New Roman"/>
          <w:sz w:val="20"/>
          <w:szCs w:val="20"/>
        </w:rPr>
        <w:t xml:space="preserve">Team </w:t>
      </w:r>
      <w:r>
        <w:rPr>
          <w:rFonts w:ascii="Times New Roman"/>
          <w:sz w:val="20"/>
          <w:szCs w:val="20"/>
        </w:rPr>
        <w:t xml:space="preserve">Overall </w:t>
      </w:r>
      <w:proofErr w:type="spellStart"/>
      <w:r w:rsidR="004823B0">
        <w:rPr>
          <w:rFonts w:ascii="Times New Roman"/>
          <w:sz w:val="20"/>
          <w:szCs w:val="20"/>
        </w:rPr>
        <w:t>S</w:t>
      </w:r>
      <w:r>
        <w:rPr>
          <w:rFonts w:ascii="Times New Roman"/>
          <w:sz w:val="20"/>
          <w:szCs w:val="20"/>
        </w:rPr>
        <w:t>eed</w:t>
      </w:r>
      <w:proofErr w:type="spellEnd"/>
      <w:r>
        <w:rPr>
          <w:rFonts w:ascii="Times New Roman"/>
          <w:sz w:val="20"/>
          <w:szCs w:val="20"/>
        </w:rPr>
        <w:t>).</w:t>
      </w:r>
    </w:p>
    <w:p w14:paraId="2C573779" w14:textId="2A6F5FA4" w:rsidR="005F390C" w:rsidRDefault="005F390C" w:rsidP="005F390C">
      <w:pPr>
        <w:spacing w:after="0"/>
        <w:ind w:firstLine="360"/>
        <w:jc w:val="center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0EB22401" wp14:editId="4B254854">
            <wp:extent cx="3600000" cy="1788635"/>
            <wp:effectExtent l="12700" t="12700" r="6985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2F681" w14:textId="1A9E7EAC" w:rsidR="00021619" w:rsidRPr="00021619" w:rsidRDefault="005F390C" w:rsidP="00021619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O gráfico anterior demonstra como o prêmio de MVP está relacionado com a performance coletiva </w:t>
      </w:r>
      <w:r w:rsidR="008D0794">
        <w:rPr>
          <w:rFonts w:ascii="Times New Roman"/>
          <w:sz w:val="20"/>
          <w:szCs w:val="20"/>
        </w:rPr>
        <w:t>das equipes. Em apenas dois casos, a classificação da equipe do MVP ficou abaixo da 5ª posição na temporada. Nesses casos outras estatísticas foram mais relevantes, como a média de 35 pontos de Michael Jordan na temporada 1987-</w:t>
      </w:r>
      <w:r w:rsidR="009709F5">
        <w:rPr>
          <w:rFonts w:ascii="Times New Roman"/>
          <w:sz w:val="20"/>
          <w:szCs w:val="20"/>
        </w:rPr>
        <w:t>1988</w:t>
      </w:r>
      <w:r w:rsidR="008D0794">
        <w:rPr>
          <w:rFonts w:ascii="Times New Roman"/>
          <w:sz w:val="20"/>
          <w:szCs w:val="20"/>
        </w:rPr>
        <w:t xml:space="preserve"> e o recorde de </w:t>
      </w:r>
      <w:r w:rsidR="007364BD">
        <w:rPr>
          <w:rFonts w:ascii="Times New Roman"/>
          <w:sz w:val="20"/>
          <w:szCs w:val="20"/>
        </w:rPr>
        <w:t>t</w:t>
      </w:r>
      <w:r w:rsidR="008D0794">
        <w:rPr>
          <w:rFonts w:ascii="Times New Roman"/>
          <w:sz w:val="20"/>
          <w:szCs w:val="20"/>
        </w:rPr>
        <w:t>riplo-</w:t>
      </w:r>
      <w:r w:rsidR="007364BD">
        <w:rPr>
          <w:rFonts w:ascii="Times New Roman"/>
          <w:sz w:val="20"/>
          <w:szCs w:val="20"/>
        </w:rPr>
        <w:t>d</w:t>
      </w:r>
      <w:r w:rsidR="008D0794">
        <w:rPr>
          <w:rFonts w:ascii="Times New Roman"/>
          <w:sz w:val="20"/>
          <w:szCs w:val="20"/>
        </w:rPr>
        <w:t xml:space="preserve">uplos </w:t>
      </w:r>
      <w:r w:rsidR="009709F5">
        <w:rPr>
          <w:rFonts w:ascii="Times New Roman"/>
          <w:sz w:val="20"/>
          <w:szCs w:val="20"/>
        </w:rPr>
        <w:t>em uma temporada quebrada por</w:t>
      </w:r>
      <w:r w:rsidR="008D0794">
        <w:rPr>
          <w:rFonts w:ascii="Times New Roman"/>
          <w:sz w:val="20"/>
          <w:szCs w:val="20"/>
        </w:rPr>
        <w:t xml:space="preserve"> Russe</w:t>
      </w:r>
      <w:r w:rsidR="009709F5">
        <w:rPr>
          <w:rFonts w:ascii="Times New Roman"/>
          <w:sz w:val="20"/>
          <w:szCs w:val="20"/>
        </w:rPr>
        <w:t>l</w:t>
      </w:r>
      <w:r w:rsidR="008D0794">
        <w:rPr>
          <w:rFonts w:ascii="Times New Roman"/>
          <w:sz w:val="20"/>
          <w:szCs w:val="20"/>
        </w:rPr>
        <w:t xml:space="preserve">l </w:t>
      </w:r>
      <w:proofErr w:type="spellStart"/>
      <w:r w:rsidR="008D0794">
        <w:rPr>
          <w:rFonts w:ascii="Times New Roman"/>
          <w:sz w:val="20"/>
          <w:szCs w:val="20"/>
        </w:rPr>
        <w:t>Westbrook</w:t>
      </w:r>
      <w:proofErr w:type="spellEnd"/>
      <w:r w:rsidR="008D0794">
        <w:rPr>
          <w:rFonts w:ascii="Times New Roman"/>
          <w:sz w:val="20"/>
          <w:szCs w:val="20"/>
        </w:rPr>
        <w:t xml:space="preserve"> </w:t>
      </w:r>
      <w:r w:rsidR="009709F5">
        <w:rPr>
          <w:rFonts w:ascii="Times New Roman"/>
          <w:sz w:val="20"/>
          <w:szCs w:val="20"/>
        </w:rPr>
        <w:t>em</w:t>
      </w:r>
      <w:r w:rsidR="008D0794">
        <w:rPr>
          <w:rFonts w:ascii="Times New Roman"/>
          <w:sz w:val="20"/>
          <w:szCs w:val="20"/>
        </w:rPr>
        <w:t xml:space="preserve"> 2017-</w:t>
      </w:r>
      <w:r w:rsidR="009709F5">
        <w:rPr>
          <w:rFonts w:ascii="Times New Roman"/>
          <w:sz w:val="20"/>
          <w:szCs w:val="20"/>
        </w:rPr>
        <w:t>2018</w:t>
      </w:r>
      <w:r w:rsidR="008D0794">
        <w:rPr>
          <w:rFonts w:ascii="Times New Roman"/>
          <w:b/>
          <w:bCs/>
          <w:sz w:val="20"/>
          <w:szCs w:val="20"/>
        </w:rPr>
        <w:t>.</w:t>
      </w:r>
      <w:r w:rsidR="00021619">
        <w:rPr>
          <w:rFonts w:ascii="Times New Roman"/>
          <w:sz w:val="20"/>
          <w:szCs w:val="20"/>
        </w:rPr>
        <w:t xml:space="preserve"> </w:t>
      </w:r>
    </w:p>
    <w:p w14:paraId="0254A41A" w14:textId="77777777" w:rsidR="005F390C" w:rsidRPr="005F390C" w:rsidRDefault="005F390C" w:rsidP="002A06DC">
      <w:pPr>
        <w:shd w:val="clear" w:color="auto" w:fill="002060"/>
        <w:spacing w:before="240" w:after="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4. MODELAGEM</w:t>
      </w:r>
    </w:p>
    <w:p w14:paraId="783E6D08" w14:textId="768BF89C" w:rsidR="005F390C" w:rsidRDefault="00EA7873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Para construção do modelo, foi utilizado o algoritmo de regressão logística utilizando </w:t>
      </w:r>
      <w:proofErr w:type="spellStart"/>
      <w:r>
        <w:rPr>
          <w:rFonts w:ascii="Times New Roman"/>
          <w:sz w:val="20"/>
          <w:szCs w:val="20"/>
        </w:rPr>
        <w:t>cross-validation</w:t>
      </w:r>
      <w:proofErr w:type="spellEnd"/>
      <w:r>
        <w:rPr>
          <w:rFonts w:ascii="Times New Roman"/>
          <w:sz w:val="20"/>
          <w:szCs w:val="20"/>
        </w:rPr>
        <w:t xml:space="preserve">. As variáveis apresentadas na seção anterior foram utilizadas para </w:t>
      </w:r>
      <w:r w:rsidR="00BD1015">
        <w:rPr>
          <w:rFonts w:ascii="Times New Roman"/>
          <w:sz w:val="20"/>
          <w:szCs w:val="20"/>
        </w:rPr>
        <w:t xml:space="preserve">treinar o modelo, em conjunto com outras variáveis presentes no </w:t>
      </w:r>
      <w:proofErr w:type="spellStart"/>
      <w:r w:rsidR="00BD1015">
        <w:rPr>
          <w:rFonts w:ascii="Times New Roman"/>
          <w:sz w:val="20"/>
          <w:szCs w:val="20"/>
        </w:rPr>
        <w:t>dataset</w:t>
      </w:r>
      <w:proofErr w:type="spellEnd"/>
      <w:r w:rsidR="00BD1015">
        <w:rPr>
          <w:rFonts w:ascii="Times New Roman"/>
          <w:sz w:val="20"/>
          <w:szCs w:val="20"/>
        </w:rPr>
        <w:t>.</w:t>
      </w:r>
    </w:p>
    <w:p w14:paraId="52CB26D1" w14:textId="5043F3E1" w:rsidR="00BD1015" w:rsidRDefault="00BD1015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Para treino do modelo utilizando </w:t>
      </w:r>
      <w:proofErr w:type="spellStart"/>
      <w:r>
        <w:rPr>
          <w:rFonts w:ascii="Times New Roman"/>
          <w:sz w:val="20"/>
          <w:szCs w:val="20"/>
        </w:rPr>
        <w:t>cross-validation</w:t>
      </w:r>
      <w:proofErr w:type="spellEnd"/>
      <w:r>
        <w:rPr>
          <w:rFonts w:ascii="Times New Roman"/>
          <w:sz w:val="20"/>
          <w:szCs w:val="20"/>
        </w:rPr>
        <w:t xml:space="preserve">, foi utilizado um algoritmo que itera por todos os anos presentes no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(198</w:t>
      </w:r>
      <w:r w:rsidR="00226672">
        <w:rPr>
          <w:rFonts w:ascii="Times New Roman"/>
          <w:sz w:val="20"/>
          <w:szCs w:val="20"/>
        </w:rPr>
        <w:t>0</w:t>
      </w:r>
      <w:r>
        <w:rPr>
          <w:rFonts w:ascii="Times New Roman"/>
          <w:sz w:val="20"/>
          <w:szCs w:val="20"/>
        </w:rPr>
        <w:t xml:space="preserve"> até 2019) e para cada ano, ele gera um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treino e um de teste. 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treino são todos os registros diferentes do ano corrente. Enquanto 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teste são todos os registros do ano corrente. Então por exemplo, considerando o ano de 2010, 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treino utiliza todos os anos menos o ano 2010 e 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teste utiliza apenas o ano de 2010.</w:t>
      </w:r>
    </w:p>
    <w:p w14:paraId="64BFD56A" w14:textId="0C75090D" w:rsidR="00BD1015" w:rsidRDefault="00BD1015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Após dividir os </w:t>
      </w:r>
      <w:proofErr w:type="spellStart"/>
      <w:r>
        <w:rPr>
          <w:rFonts w:ascii="Times New Roman"/>
          <w:sz w:val="20"/>
          <w:szCs w:val="20"/>
        </w:rPr>
        <w:t>datasets</w:t>
      </w:r>
      <w:proofErr w:type="spellEnd"/>
      <w:r>
        <w:rPr>
          <w:rFonts w:ascii="Times New Roman"/>
          <w:sz w:val="20"/>
          <w:szCs w:val="20"/>
        </w:rPr>
        <w:t xml:space="preserve">, </w:t>
      </w:r>
      <w:r w:rsidR="00B97015">
        <w:rPr>
          <w:rFonts w:ascii="Times New Roman"/>
          <w:sz w:val="20"/>
          <w:szCs w:val="20"/>
        </w:rPr>
        <w:t>o próximo passo é treinar o modelo. É armazenado a probabilidade de o jogador vencer o prêmio e no final é feito um ranqueamento por temporada, do maior ao menor. Portanto, o jogador com maior probabilidade, é ranqueado em primeiro e consequentemente fica com o prêmio de MVP da temporada.</w:t>
      </w:r>
    </w:p>
    <w:p w14:paraId="00E8F94A" w14:textId="3B5F3FA2" w:rsidR="00B97015" w:rsidRDefault="00B97015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 modelo aplicado obteve os seguintes 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990"/>
        <w:gridCol w:w="1020"/>
      </w:tblGrid>
      <w:tr w:rsidR="00B97015" w14:paraId="7698C4B0" w14:textId="77777777" w:rsidTr="00FC2C02">
        <w:trPr>
          <w:jc w:val="center"/>
        </w:trPr>
        <w:tc>
          <w:tcPr>
            <w:tcW w:w="1170" w:type="dxa"/>
          </w:tcPr>
          <w:p w14:paraId="2025471F" w14:textId="77777777" w:rsidR="00B97015" w:rsidRPr="003C56F9" w:rsidRDefault="00B97015" w:rsidP="005F390C">
            <w:pPr>
              <w:jc w:val="bot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002060"/>
          </w:tcPr>
          <w:p w14:paraId="512622C3" w14:textId="688B5753" w:rsidR="00B97015" w:rsidRPr="003C56F9" w:rsidRDefault="00B97015" w:rsidP="00455D6A">
            <w:pPr>
              <w:jc w:val="center"/>
              <w:rPr>
                <w:rFonts w:ascii="Times New Roman"/>
                <w:color w:val="FFFFFF" w:themeColor="background1"/>
                <w:sz w:val="18"/>
                <w:szCs w:val="18"/>
              </w:rPr>
            </w:pPr>
            <w:r w:rsidRPr="003C56F9">
              <w:rPr>
                <w:rFonts w:ascii="Times New Roman"/>
                <w:color w:val="FFFFFF" w:themeColor="background1"/>
                <w:sz w:val="18"/>
                <w:szCs w:val="18"/>
              </w:rPr>
              <w:t>Treino</w:t>
            </w:r>
          </w:p>
        </w:tc>
        <w:tc>
          <w:tcPr>
            <w:tcW w:w="1020" w:type="dxa"/>
            <w:shd w:val="clear" w:color="auto" w:fill="002060"/>
          </w:tcPr>
          <w:p w14:paraId="3F107D03" w14:textId="2BA581C3" w:rsidR="00B97015" w:rsidRPr="003C56F9" w:rsidRDefault="00B97015" w:rsidP="00455D6A">
            <w:pPr>
              <w:jc w:val="center"/>
              <w:rPr>
                <w:rFonts w:ascii="Times New Roman"/>
                <w:color w:val="FFFFFF" w:themeColor="background1"/>
                <w:sz w:val="18"/>
                <w:szCs w:val="18"/>
              </w:rPr>
            </w:pPr>
            <w:r w:rsidRPr="003C56F9">
              <w:rPr>
                <w:rFonts w:ascii="Times New Roman"/>
                <w:color w:val="FFFFFF" w:themeColor="background1"/>
                <w:sz w:val="18"/>
                <w:szCs w:val="18"/>
              </w:rPr>
              <w:t>Teste</w:t>
            </w:r>
          </w:p>
        </w:tc>
      </w:tr>
      <w:tr w:rsidR="00B97015" w14:paraId="70FFBDBC" w14:textId="77777777" w:rsidTr="009964BF">
        <w:trPr>
          <w:jc w:val="center"/>
        </w:trPr>
        <w:tc>
          <w:tcPr>
            <w:tcW w:w="1170" w:type="dxa"/>
            <w:shd w:val="clear" w:color="auto" w:fill="002060"/>
          </w:tcPr>
          <w:p w14:paraId="5DBE83A7" w14:textId="29945A23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Acurácia</w:t>
            </w:r>
          </w:p>
        </w:tc>
        <w:tc>
          <w:tcPr>
            <w:tcW w:w="990" w:type="dxa"/>
          </w:tcPr>
          <w:p w14:paraId="70CD9746" w14:textId="0F4766B2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9</w:t>
            </w:r>
            <w:r w:rsidR="009964BF" w:rsidRPr="003C56F9">
              <w:rPr>
                <w:rFonts w:ascii="Times New Roman"/>
                <w:sz w:val="18"/>
                <w:szCs w:val="18"/>
              </w:rPr>
              <w:t>7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  <w:tc>
          <w:tcPr>
            <w:tcW w:w="1020" w:type="dxa"/>
          </w:tcPr>
          <w:p w14:paraId="1A315111" w14:textId="4DB0E374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9</w:t>
            </w:r>
            <w:r w:rsidR="009964BF" w:rsidRPr="003C56F9">
              <w:rPr>
                <w:rFonts w:ascii="Times New Roman"/>
                <w:sz w:val="18"/>
                <w:szCs w:val="18"/>
              </w:rPr>
              <w:t>6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</w:tr>
      <w:tr w:rsidR="00B97015" w14:paraId="13B417F4" w14:textId="77777777" w:rsidTr="009964BF">
        <w:trPr>
          <w:jc w:val="center"/>
        </w:trPr>
        <w:tc>
          <w:tcPr>
            <w:tcW w:w="1170" w:type="dxa"/>
            <w:shd w:val="clear" w:color="auto" w:fill="002060"/>
          </w:tcPr>
          <w:p w14:paraId="1E1EB6DB" w14:textId="2EE1DBCC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Precisão</w:t>
            </w:r>
          </w:p>
        </w:tc>
        <w:tc>
          <w:tcPr>
            <w:tcW w:w="990" w:type="dxa"/>
          </w:tcPr>
          <w:p w14:paraId="1B59B638" w14:textId="230DE972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6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  <w:tc>
          <w:tcPr>
            <w:tcW w:w="1020" w:type="dxa"/>
          </w:tcPr>
          <w:p w14:paraId="5BB040D5" w14:textId="6729B030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2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</w:tr>
      <w:tr w:rsidR="00B97015" w14:paraId="207B4B8A" w14:textId="77777777" w:rsidTr="009964BF">
        <w:trPr>
          <w:jc w:val="center"/>
        </w:trPr>
        <w:tc>
          <w:tcPr>
            <w:tcW w:w="1170" w:type="dxa"/>
            <w:shd w:val="clear" w:color="auto" w:fill="002060"/>
          </w:tcPr>
          <w:p w14:paraId="7F07A6AE" w14:textId="5AF90408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Cobertura</w:t>
            </w:r>
          </w:p>
        </w:tc>
        <w:tc>
          <w:tcPr>
            <w:tcW w:w="990" w:type="dxa"/>
          </w:tcPr>
          <w:p w14:paraId="63926682" w14:textId="067009AA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6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  <w:tc>
          <w:tcPr>
            <w:tcW w:w="1020" w:type="dxa"/>
          </w:tcPr>
          <w:p w14:paraId="02736877" w14:textId="0638D017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2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</w:tr>
      <w:tr w:rsidR="00B97015" w14:paraId="20B0F571" w14:textId="77777777" w:rsidTr="009964BF">
        <w:trPr>
          <w:jc w:val="center"/>
        </w:trPr>
        <w:tc>
          <w:tcPr>
            <w:tcW w:w="1170" w:type="dxa"/>
            <w:shd w:val="clear" w:color="auto" w:fill="002060"/>
          </w:tcPr>
          <w:p w14:paraId="350DAA5A" w14:textId="40ABCF4F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Medida F</w:t>
            </w:r>
          </w:p>
        </w:tc>
        <w:tc>
          <w:tcPr>
            <w:tcW w:w="990" w:type="dxa"/>
          </w:tcPr>
          <w:p w14:paraId="684D1888" w14:textId="1BC8B5CB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6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  <w:tc>
          <w:tcPr>
            <w:tcW w:w="1020" w:type="dxa"/>
          </w:tcPr>
          <w:p w14:paraId="70B31170" w14:textId="5C797E1B" w:rsidR="00B97015" w:rsidRPr="003C56F9" w:rsidRDefault="00B97015" w:rsidP="00455D6A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</w:t>
            </w:r>
            <w:r w:rsidR="009964BF" w:rsidRPr="003C56F9">
              <w:rPr>
                <w:rFonts w:ascii="Times New Roman"/>
                <w:sz w:val="18"/>
                <w:szCs w:val="18"/>
              </w:rPr>
              <w:t>2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</w:tr>
    </w:tbl>
    <w:p w14:paraId="64578D52" w14:textId="6E652D1B" w:rsidR="00B97015" w:rsidRDefault="00B97015" w:rsidP="00B97015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 uma precisão de 7</w:t>
      </w:r>
      <w:r w:rsidR="009964BF">
        <w:rPr>
          <w:rFonts w:ascii="Times New Roman"/>
          <w:sz w:val="20"/>
          <w:szCs w:val="20"/>
        </w:rPr>
        <w:t>2</w:t>
      </w:r>
      <w:r>
        <w:rPr>
          <w:rFonts w:ascii="Times New Roman"/>
          <w:sz w:val="20"/>
          <w:szCs w:val="20"/>
        </w:rPr>
        <w:t xml:space="preserve">% no </w:t>
      </w:r>
      <w:proofErr w:type="spellStart"/>
      <w:r>
        <w:rPr>
          <w:rFonts w:ascii="Times New Roman"/>
          <w:sz w:val="20"/>
          <w:szCs w:val="20"/>
        </w:rPr>
        <w:t>dataset</w:t>
      </w:r>
      <w:proofErr w:type="spellEnd"/>
      <w:r>
        <w:rPr>
          <w:rFonts w:ascii="Times New Roman"/>
          <w:sz w:val="20"/>
          <w:szCs w:val="20"/>
        </w:rPr>
        <w:t xml:space="preserve"> de teste, </w:t>
      </w:r>
      <w:r w:rsidR="00B4266D">
        <w:rPr>
          <w:rFonts w:ascii="Times New Roman"/>
          <w:sz w:val="20"/>
          <w:szCs w:val="20"/>
        </w:rPr>
        <w:t>foi possível prever com sucesso a nomeação de MVP de 2</w:t>
      </w:r>
      <w:r w:rsidR="009964BF">
        <w:rPr>
          <w:rFonts w:ascii="Times New Roman"/>
          <w:sz w:val="20"/>
          <w:szCs w:val="20"/>
        </w:rPr>
        <w:t>8</w:t>
      </w:r>
      <w:r w:rsidR="00B4266D">
        <w:rPr>
          <w:rFonts w:ascii="Times New Roman"/>
          <w:sz w:val="20"/>
          <w:szCs w:val="20"/>
        </w:rPr>
        <w:t xml:space="preserve"> jogadores. Mas o modelo também previu errado que 1</w:t>
      </w:r>
      <w:r w:rsidR="009964BF">
        <w:rPr>
          <w:rFonts w:ascii="Times New Roman"/>
          <w:sz w:val="20"/>
          <w:szCs w:val="20"/>
        </w:rPr>
        <w:t>1</w:t>
      </w:r>
      <w:r w:rsidR="00B4266D">
        <w:rPr>
          <w:rFonts w:ascii="Times New Roman"/>
          <w:sz w:val="20"/>
          <w:szCs w:val="20"/>
        </w:rPr>
        <w:t xml:space="preserve"> jogadores ganharam o prêmio. A matriz de confusão é apresentada a seguir.</w:t>
      </w:r>
    </w:p>
    <w:p w14:paraId="1AC0A4B9" w14:textId="0EC2F04B" w:rsidR="007364BD" w:rsidRDefault="007364BD" w:rsidP="007364BD">
      <w:pPr>
        <w:spacing w:after="0"/>
        <w:ind w:firstLine="432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  <w:szCs w:val="20"/>
        </w:rPr>
        <w:drawing>
          <wp:inline distT="0" distB="0" distL="0" distR="0" wp14:anchorId="6789279D" wp14:editId="2A4367DA">
            <wp:extent cx="3092450" cy="1464237"/>
            <wp:effectExtent l="19050" t="19050" r="12700" b="222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04" cy="1493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EF6D8" w14:textId="4D6E47AD" w:rsidR="00CC58F0" w:rsidRDefault="00B4266D" w:rsidP="00CC58F0">
      <w:pPr>
        <w:spacing w:after="0"/>
        <w:ind w:firstLine="432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 o modelo criado e treinado, o próximo passo é utilizá-lo em produção.</w:t>
      </w:r>
      <w:r w:rsidR="00286410">
        <w:rPr>
          <w:rFonts w:ascii="Times New Roman"/>
          <w:sz w:val="20"/>
          <w:szCs w:val="20"/>
        </w:rPr>
        <w:t xml:space="preserve"> Os resultados previstos para a temporada 2019-2020 do prêmio MVP são apresentados na tabela abaixo.</w:t>
      </w:r>
    </w:p>
    <w:tbl>
      <w:tblPr>
        <w:tblStyle w:val="Tabelacomgrade"/>
        <w:tblW w:w="3595" w:type="dxa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350"/>
      </w:tblGrid>
      <w:tr w:rsidR="00CC58F0" w14:paraId="569FC0AD" w14:textId="77777777" w:rsidTr="00CC58F0">
        <w:trPr>
          <w:jc w:val="center"/>
        </w:trPr>
        <w:tc>
          <w:tcPr>
            <w:tcW w:w="2245" w:type="dxa"/>
            <w:shd w:val="clear" w:color="auto" w:fill="002060"/>
          </w:tcPr>
          <w:p w14:paraId="0D9C8FF0" w14:textId="77197EBA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Jogador</w:t>
            </w:r>
          </w:p>
        </w:tc>
        <w:tc>
          <w:tcPr>
            <w:tcW w:w="1350" w:type="dxa"/>
            <w:shd w:val="clear" w:color="auto" w:fill="002060"/>
          </w:tcPr>
          <w:p w14:paraId="4A4A91F9" w14:textId="72D71263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Probabilidade</w:t>
            </w:r>
          </w:p>
        </w:tc>
      </w:tr>
      <w:tr w:rsidR="00CC58F0" w14:paraId="2E14FF56" w14:textId="77777777" w:rsidTr="00CC58F0">
        <w:trPr>
          <w:jc w:val="center"/>
        </w:trPr>
        <w:tc>
          <w:tcPr>
            <w:tcW w:w="2245" w:type="dxa"/>
          </w:tcPr>
          <w:p w14:paraId="01BE5269" w14:textId="60A054AE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Giannis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Antetokounmpo</w:t>
            </w:r>
            <w:proofErr w:type="spellEnd"/>
          </w:p>
        </w:tc>
        <w:tc>
          <w:tcPr>
            <w:tcW w:w="1350" w:type="dxa"/>
          </w:tcPr>
          <w:p w14:paraId="7D6C4049" w14:textId="01DD727A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26%</w:t>
            </w:r>
          </w:p>
        </w:tc>
      </w:tr>
      <w:tr w:rsidR="00CC58F0" w14:paraId="72A07091" w14:textId="77777777" w:rsidTr="00CC58F0">
        <w:trPr>
          <w:jc w:val="center"/>
        </w:trPr>
        <w:tc>
          <w:tcPr>
            <w:tcW w:w="2245" w:type="dxa"/>
          </w:tcPr>
          <w:p w14:paraId="257414FD" w14:textId="277D6EF0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 xml:space="preserve">James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Harden</w:t>
            </w:r>
            <w:proofErr w:type="spellEnd"/>
          </w:p>
        </w:tc>
        <w:tc>
          <w:tcPr>
            <w:tcW w:w="1350" w:type="dxa"/>
          </w:tcPr>
          <w:p w14:paraId="7155EE0C" w14:textId="1215C502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19%</w:t>
            </w:r>
          </w:p>
        </w:tc>
      </w:tr>
      <w:tr w:rsidR="00CC58F0" w14:paraId="406CA933" w14:textId="77777777" w:rsidTr="00CC58F0">
        <w:trPr>
          <w:jc w:val="center"/>
        </w:trPr>
        <w:tc>
          <w:tcPr>
            <w:tcW w:w="2245" w:type="dxa"/>
          </w:tcPr>
          <w:p w14:paraId="1E018234" w14:textId="6833A3B5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LeBron James</w:t>
            </w:r>
          </w:p>
        </w:tc>
        <w:tc>
          <w:tcPr>
            <w:tcW w:w="1350" w:type="dxa"/>
          </w:tcPr>
          <w:p w14:paraId="3AECCCAC" w14:textId="450C7444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1</w:t>
            </w:r>
            <w:r w:rsidR="007364BD">
              <w:rPr>
                <w:rFonts w:ascii="Times New Roman"/>
                <w:sz w:val="18"/>
                <w:szCs w:val="18"/>
              </w:rPr>
              <w:t>4</w:t>
            </w:r>
            <w:r w:rsidRPr="003C56F9">
              <w:rPr>
                <w:rFonts w:ascii="Times New Roman"/>
                <w:sz w:val="18"/>
                <w:szCs w:val="18"/>
              </w:rPr>
              <w:t>%</w:t>
            </w:r>
          </w:p>
        </w:tc>
      </w:tr>
      <w:tr w:rsidR="00CC58F0" w14:paraId="66C28347" w14:textId="77777777" w:rsidTr="00CC58F0">
        <w:trPr>
          <w:jc w:val="center"/>
        </w:trPr>
        <w:tc>
          <w:tcPr>
            <w:tcW w:w="2245" w:type="dxa"/>
          </w:tcPr>
          <w:p w14:paraId="7E7ACD0B" w14:textId="78411DB1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Anthony Davis</w:t>
            </w:r>
          </w:p>
        </w:tc>
        <w:tc>
          <w:tcPr>
            <w:tcW w:w="1350" w:type="dxa"/>
          </w:tcPr>
          <w:p w14:paraId="48192C63" w14:textId="751D13B2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9%</w:t>
            </w:r>
          </w:p>
        </w:tc>
      </w:tr>
      <w:tr w:rsidR="00CC58F0" w14:paraId="0ADDAEFF" w14:textId="77777777" w:rsidTr="00CC58F0">
        <w:trPr>
          <w:jc w:val="center"/>
        </w:trPr>
        <w:tc>
          <w:tcPr>
            <w:tcW w:w="2245" w:type="dxa"/>
          </w:tcPr>
          <w:p w14:paraId="140F5F8C" w14:textId="7789925D" w:rsidR="00CC58F0" w:rsidRPr="003C56F9" w:rsidRDefault="00CC58F0" w:rsidP="00CC58F0">
            <w:pPr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Kawhi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Leonard</w:t>
            </w:r>
          </w:p>
        </w:tc>
        <w:tc>
          <w:tcPr>
            <w:tcW w:w="1350" w:type="dxa"/>
          </w:tcPr>
          <w:p w14:paraId="2CD13D2D" w14:textId="73C0FFFB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7%</w:t>
            </w:r>
          </w:p>
        </w:tc>
      </w:tr>
    </w:tbl>
    <w:p w14:paraId="1F2638E9" w14:textId="1EDB8B7F" w:rsidR="002F74C1" w:rsidRDefault="002F74C1" w:rsidP="00DB7B37">
      <w:pPr>
        <w:spacing w:after="0"/>
        <w:ind w:firstLine="432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Como o prêmio de MVP da temporada 2019-2020 já foi entregue, é possível comparar o predito com o valor real.</w:t>
      </w:r>
      <w:r w:rsidR="00DB7B37">
        <w:rPr>
          <w:rFonts w:ascii="Times New Roman"/>
          <w:sz w:val="20"/>
          <w:szCs w:val="20"/>
        </w:rPr>
        <w:t xml:space="preserve"> O modelo acertou o vencedor e chegou muito próximo na classificação do MVP.</w:t>
      </w:r>
    </w:p>
    <w:tbl>
      <w:tblPr>
        <w:tblStyle w:val="Tabelacomgrade"/>
        <w:tblW w:w="7475" w:type="dxa"/>
        <w:jc w:val="center"/>
        <w:tblLook w:val="04A0" w:firstRow="1" w:lastRow="0" w:firstColumn="1" w:lastColumn="0" w:noHBand="0" w:noVBand="1"/>
      </w:tblPr>
      <w:tblGrid>
        <w:gridCol w:w="3065"/>
        <w:gridCol w:w="1450"/>
        <w:gridCol w:w="1430"/>
        <w:gridCol w:w="1530"/>
      </w:tblGrid>
      <w:tr w:rsidR="00CC58F0" w14:paraId="23A06002" w14:textId="77777777" w:rsidTr="00162746">
        <w:trPr>
          <w:jc w:val="center"/>
        </w:trPr>
        <w:tc>
          <w:tcPr>
            <w:tcW w:w="3065" w:type="dxa"/>
            <w:shd w:val="clear" w:color="auto" w:fill="002060"/>
          </w:tcPr>
          <w:p w14:paraId="060A512E" w14:textId="77777777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Jogador</w:t>
            </w:r>
          </w:p>
        </w:tc>
        <w:tc>
          <w:tcPr>
            <w:tcW w:w="1450" w:type="dxa"/>
            <w:shd w:val="clear" w:color="auto" w:fill="002060"/>
          </w:tcPr>
          <w:p w14:paraId="126117D8" w14:textId="21FFF696" w:rsidR="00CC58F0" w:rsidRPr="003C56F9" w:rsidRDefault="00CC58F0" w:rsidP="00584BF8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Votos 1º Lugar</w:t>
            </w:r>
          </w:p>
        </w:tc>
        <w:tc>
          <w:tcPr>
            <w:tcW w:w="1430" w:type="dxa"/>
            <w:shd w:val="clear" w:color="auto" w:fill="002060"/>
          </w:tcPr>
          <w:p w14:paraId="112D2B6A" w14:textId="4B6A2531" w:rsidR="00CC58F0" w:rsidRPr="003C56F9" w:rsidRDefault="00CC58F0" w:rsidP="00584BF8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Pontos ganhos</w:t>
            </w:r>
          </w:p>
        </w:tc>
        <w:tc>
          <w:tcPr>
            <w:tcW w:w="1530" w:type="dxa"/>
            <w:shd w:val="clear" w:color="auto" w:fill="002060"/>
          </w:tcPr>
          <w:p w14:paraId="54D8FE4B" w14:textId="5CED283A" w:rsidR="00CC58F0" w:rsidRPr="003C56F9" w:rsidRDefault="00CC58F0" w:rsidP="00584BF8">
            <w:pPr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Award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Share</w:t>
            </w:r>
            <w:proofErr w:type="spellEnd"/>
          </w:p>
        </w:tc>
      </w:tr>
      <w:tr w:rsidR="00CC58F0" w14:paraId="12CA74F1" w14:textId="77777777" w:rsidTr="00162746">
        <w:trPr>
          <w:jc w:val="center"/>
        </w:trPr>
        <w:tc>
          <w:tcPr>
            <w:tcW w:w="3065" w:type="dxa"/>
          </w:tcPr>
          <w:p w14:paraId="5A90019E" w14:textId="77777777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Giannis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Antetokounmpo</w:t>
            </w:r>
            <w:proofErr w:type="spellEnd"/>
          </w:p>
        </w:tc>
        <w:tc>
          <w:tcPr>
            <w:tcW w:w="1450" w:type="dxa"/>
          </w:tcPr>
          <w:p w14:paraId="70CDABC3" w14:textId="20D385F6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85</w:t>
            </w:r>
          </w:p>
        </w:tc>
        <w:tc>
          <w:tcPr>
            <w:tcW w:w="1430" w:type="dxa"/>
          </w:tcPr>
          <w:p w14:paraId="1DF6AD11" w14:textId="07ABA79F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962</w:t>
            </w:r>
          </w:p>
        </w:tc>
        <w:tc>
          <w:tcPr>
            <w:tcW w:w="1530" w:type="dxa"/>
          </w:tcPr>
          <w:p w14:paraId="619B02E2" w14:textId="0516AE65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0.952</w:t>
            </w:r>
          </w:p>
        </w:tc>
      </w:tr>
      <w:tr w:rsidR="00CC58F0" w14:paraId="16B5457F" w14:textId="77777777" w:rsidTr="00162746">
        <w:trPr>
          <w:jc w:val="center"/>
        </w:trPr>
        <w:tc>
          <w:tcPr>
            <w:tcW w:w="3065" w:type="dxa"/>
          </w:tcPr>
          <w:p w14:paraId="7BF4F70C" w14:textId="1C62D141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Lebron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James</w:t>
            </w:r>
          </w:p>
        </w:tc>
        <w:tc>
          <w:tcPr>
            <w:tcW w:w="1450" w:type="dxa"/>
          </w:tcPr>
          <w:p w14:paraId="3C78859A" w14:textId="0311FECA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16</w:t>
            </w:r>
          </w:p>
        </w:tc>
        <w:tc>
          <w:tcPr>
            <w:tcW w:w="1430" w:type="dxa"/>
          </w:tcPr>
          <w:p w14:paraId="69CF9794" w14:textId="7CFE0D5D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753</w:t>
            </w:r>
          </w:p>
        </w:tc>
        <w:tc>
          <w:tcPr>
            <w:tcW w:w="1530" w:type="dxa"/>
          </w:tcPr>
          <w:p w14:paraId="7FB67BB8" w14:textId="17E9CEA7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0.746</w:t>
            </w:r>
          </w:p>
        </w:tc>
      </w:tr>
      <w:tr w:rsidR="00CC58F0" w14:paraId="6931B90D" w14:textId="77777777" w:rsidTr="00162746">
        <w:trPr>
          <w:jc w:val="center"/>
        </w:trPr>
        <w:tc>
          <w:tcPr>
            <w:tcW w:w="3065" w:type="dxa"/>
          </w:tcPr>
          <w:p w14:paraId="4337D228" w14:textId="094283C9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 xml:space="preserve">James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Harden</w:t>
            </w:r>
            <w:proofErr w:type="spellEnd"/>
          </w:p>
        </w:tc>
        <w:tc>
          <w:tcPr>
            <w:tcW w:w="1450" w:type="dxa"/>
          </w:tcPr>
          <w:p w14:paraId="7B711F9D" w14:textId="64684167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430" w:type="dxa"/>
          </w:tcPr>
          <w:p w14:paraId="2F25A382" w14:textId="085A66B5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367</w:t>
            </w:r>
          </w:p>
        </w:tc>
        <w:tc>
          <w:tcPr>
            <w:tcW w:w="1530" w:type="dxa"/>
          </w:tcPr>
          <w:p w14:paraId="4F862B23" w14:textId="216532F7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0.363</w:t>
            </w:r>
          </w:p>
        </w:tc>
      </w:tr>
      <w:tr w:rsidR="00CC58F0" w14:paraId="6F8D056D" w14:textId="77777777" w:rsidTr="00162746">
        <w:trPr>
          <w:jc w:val="center"/>
        </w:trPr>
        <w:tc>
          <w:tcPr>
            <w:tcW w:w="3065" w:type="dxa"/>
          </w:tcPr>
          <w:p w14:paraId="339511AC" w14:textId="2150650C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 xml:space="preserve">Luka </w:t>
            </w:r>
            <w:proofErr w:type="spellStart"/>
            <w:r w:rsidRPr="003C56F9">
              <w:rPr>
                <w:rFonts w:ascii="Times New Roman"/>
                <w:sz w:val="18"/>
                <w:szCs w:val="18"/>
              </w:rPr>
              <w:t>Dončić</w:t>
            </w:r>
            <w:proofErr w:type="spellEnd"/>
          </w:p>
        </w:tc>
        <w:tc>
          <w:tcPr>
            <w:tcW w:w="1450" w:type="dxa"/>
          </w:tcPr>
          <w:p w14:paraId="70A9BF7A" w14:textId="0EA20B34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430" w:type="dxa"/>
          </w:tcPr>
          <w:p w14:paraId="2C02C8DA" w14:textId="3445A1BB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200</w:t>
            </w:r>
          </w:p>
        </w:tc>
        <w:tc>
          <w:tcPr>
            <w:tcW w:w="1530" w:type="dxa"/>
          </w:tcPr>
          <w:p w14:paraId="78D3C72D" w14:textId="7CCE06C3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0.198</w:t>
            </w:r>
          </w:p>
        </w:tc>
      </w:tr>
      <w:tr w:rsidR="00CC58F0" w14:paraId="79393812" w14:textId="77777777" w:rsidTr="00162746">
        <w:trPr>
          <w:jc w:val="center"/>
        </w:trPr>
        <w:tc>
          <w:tcPr>
            <w:tcW w:w="3065" w:type="dxa"/>
          </w:tcPr>
          <w:p w14:paraId="10161F03" w14:textId="77777777" w:rsidR="00CC58F0" w:rsidRPr="003C56F9" w:rsidRDefault="00CC58F0" w:rsidP="005F4319">
            <w:pPr>
              <w:jc w:val="both"/>
              <w:rPr>
                <w:rFonts w:ascii="Times New Roman"/>
                <w:sz w:val="18"/>
                <w:szCs w:val="18"/>
              </w:rPr>
            </w:pPr>
            <w:proofErr w:type="spellStart"/>
            <w:r w:rsidRPr="003C56F9">
              <w:rPr>
                <w:rFonts w:ascii="Times New Roman"/>
                <w:sz w:val="18"/>
                <w:szCs w:val="18"/>
              </w:rPr>
              <w:t>Kawhi</w:t>
            </w:r>
            <w:proofErr w:type="spellEnd"/>
            <w:r w:rsidRPr="003C56F9">
              <w:rPr>
                <w:rFonts w:ascii="Times New Roman"/>
                <w:sz w:val="18"/>
                <w:szCs w:val="18"/>
              </w:rPr>
              <w:t xml:space="preserve"> Leonard</w:t>
            </w:r>
          </w:p>
        </w:tc>
        <w:tc>
          <w:tcPr>
            <w:tcW w:w="1450" w:type="dxa"/>
          </w:tcPr>
          <w:p w14:paraId="62B462A2" w14:textId="79947AE4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</w:t>
            </w:r>
          </w:p>
        </w:tc>
        <w:tc>
          <w:tcPr>
            <w:tcW w:w="1430" w:type="dxa"/>
          </w:tcPr>
          <w:p w14:paraId="0D01E86A" w14:textId="3320DE06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168</w:t>
            </w:r>
          </w:p>
        </w:tc>
        <w:tc>
          <w:tcPr>
            <w:tcW w:w="1530" w:type="dxa"/>
          </w:tcPr>
          <w:p w14:paraId="3BB065AB" w14:textId="2E9894A9" w:rsidR="00CC58F0" w:rsidRPr="003C56F9" w:rsidRDefault="00CC58F0" w:rsidP="00CC58F0">
            <w:pPr>
              <w:jc w:val="center"/>
              <w:rPr>
                <w:rFonts w:ascii="Times New Roman"/>
                <w:sz w:val="18"/>
                <w:szCs w:val="18"/>
              </w:rPr>
            </w:pPr>
            <w:r w:rsidRPr="003C56F9">
              <w:rPr>
                <w:rFonts w:ascii="Times New Roman"/>
                <w:sz w:val="18"/>
                <w:szCs w:val="18"/>
              </w:rPr>
              <w:t>0.166</w:t>
            </w:r>
          </w:p>
        </w:tc>
      </w:tr>
    </w:tbl>
    <w:p w14:paraId="0DE9BE66" w14:textId="39A6D75B" w:rsidR="005F390C" w:rsidRPr="005F390C" w:rsidRDefault="005F390C" w:rsidP="002A06DC">
      <w:pPr>
        <w:shd w:val="clear" w:color="auto" w:fill="002060"/>
        <w:spacing w:before="240" w:after="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5. CONCLUSÃO</w:t>
      </w:r>
    </w:p>
    <w:p w14:paraId="3D5A3D58" w14:textId="3C4D98D6" w:rsidR="00455D6A" w:rsidRDefault="00455D6A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Ao final desse estudo, pode-se concluir que a maioria dos </w:t>
      </w:r>
      <w:proofErr w:type="spellStart"/>
      <w:r>
        <w:rPr>
          <w:rFonts w:ascii="Times New Roman"/>
          <w:sz w:val="20"/>
          <w:szCs w:val="20"/>
        </w:rPr>
        <w:t>MVPs</w:t>
      </w:r>
      <w:proofErr w:type="spellEnd"/>
      <w:r>
        <w:rPr>
          <w:rFonts w:ascii="Times New Roman"/>
          <w:sz w:val="20"/>
          <w:szCs w:val="20"/>
        </w:rPr>
        <w:t xml:space="preserve"> elegidos possuem características semelhantes, como alta eficiência em quadra, alta contribuição para as vitórias do time e </w:t>
      </w:r>
      <w:r w:rsidR="007371E1">
        <w:rPr>
          <w:rFonts w:ascii="Times New Roman"/>
          <w:sz w:val="20"/>
          <w:szCs w:val="20"/>
        </w:rPr>
        <w:t>estão nos melhores times das temporadas</w:t>
      </w:r>
      <w:r>
        <w:rPr>
          <w:rFonts w:ascii="Times New Roman"/>
          <w:sz w:val="20"/>
          <w:szCs w:val="20"/>
        </w:rPr>
        <w:t xml:space="preserve">. Mas em alguns anos, quebras de recordes, influência da mídia e outros fatores </w:t>
      </w:r>
      <w:r w:rsidR="00A02D9C">
        <w:rPr>
          <w:rFonts w:ascii="Times New Roman"/>
          <w:sz w:val="20"/>
          <w:szCs w:val="20"/>
        </w:rPr>
        <w:t>mais complexos que estatísticas de jogo influenciaram muito nos resultados.</w:t>
      </w:r>
    </w:p>
    <w:p w14:paraId="6650E97D" w14:textId="59B57B95" w:rsidR="00455D6A" w:rsidRDefault="00455D6A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Também se demonstrou um problema complexo de ser trabalho com aprendizado supervisionado, devido a </w:t>
      </w:r>
      <w:r w:rsidR="00A02D9C">
        <w:rPr>
          <w:rFonts w:ascii="Times New Roman"/>
          <w:sz w:val="20"/>
          <w:szCs w:val="20"/>
        </w:rPr>
        <w:t xml:space="preserve">pequena quantidade de dados e desbalanceamento da variável MVP </w:t>
      </w:r>
      <w:proofErr w:type="spellStart"/>
      <w:r w:rsidR="000A76EE">
        <w:rPr>
          <w:rFonts w:ascii="Times New Roman"/>
          <w:sz w:val="20"/>
          <w:szCs w:val="20"/>
        </w:rPr>
        <w:t>won</w:t>
      </w:r>
      <w:proofErr w:type="spellEnd"/>
      <w:r w:rsidR="00BA6FDC">
        <w:rPr>
          <w:rFonts w:ascii="Times New Roman"/>
          <w:sz w:val="20"/>
          <w:szCs w:val="20"/>
        </w:rPr>
        <w:t>. Sendo poucos jogadores indicados ao prêmio, considerando em média 10 jogadores de 500 por ano, com apenas um ganhador.</w:t>
      </w:r>
    </w:p>
    <w:p w14:paraId="0CE5FA80" w14:textId="0116A846" w:rsidR="00A02D9C" w:rsidRDefault="00A02D9C" w:rsidP="005F390C">
      <w:pPr>
        <w:spacing w:after="0"/>
        <w:ind w:firstLine="36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Como extensão para esse estudo, poderia ser aplicado um modelo semelhante para determinar outros prêmios da NB</w:t>
      </w:r>
      <w:r w:rsidR="00D049EA">
        <w:rPr>
          <w:rFonts w:ascii="Times New Roman"/>
          <w:sz w:val="20"/>
          <w:szCs w:val="20"/>
        </w:rPr>
        <w:t>A</w:t>
      </w:r>
      <w:r w:rsidR="00A65BA7">
        <w:rPr>
          <w:rFonts w:ascii="Times New Roman"/>
          <w:sz w:val="20"/>
          <w:szCs w:val="20"/>
        </w:rPr>
        <w:t>, como novato do ano (ROY)</w:t>
      </w:r>
      <w:r>
        <w:rPr>
          <w:rFonts w:ascii="Times New Roman"/>
          <w:sz w:val="20"/>
          <w:szCs w:val="20"/>
        </w:rPr>
        <w:t xml:space="preserve">. </w:t>
      </w:r>
      <w:r w:rsidR="00165E6A">
        <w:rPr>
          <w:rFonts w:ascii="Times New Roman"/>
          <w:sz w:val="20"/>
          <w:szCs w:val="20"/>
        </w:rPr>
        <w:t xml:space="preserve">Outro exemplo de aplicação poderia ser no estudo de </w:t>
      </w:r>
      <w:r>
        <w:rPr>
          <w:rFonts w:ascii="Times New Roman"/>
          <w:sz w:val="20"/>
          <w:szCs w:val="20"/>
        </w:rPr>
        <w:t>comportamentos de casas de apostas de esportes.</w:t>
      </w:r>
    </w:p>
    <w:p w14:paraId="49D1020F" w14:textId="5E04BD9A" w:rsidR="00455D6A" w:rsidRPr="00756E27" w:rsidRDefault="005F390C" w:rsidP="00756E27">
      <w:pPr>
        <w:shd w:val="clear" w:color="auto" w:fill="002060"/>
        <w:spacing w:before="240" w:after="0"/>
        <w:jc w:val="both"/>
        <w:rPr>
          <w:rFonts w:ascii="Times New Roman"/>
          <w:sz w:val="20"/>
          <w:szCs w:val="20"/>
        </w:rPr>
      </w:pPr>
      <w:r w:rsidRPr="005F390C">
        <w:rPr>
          <w:rFonts w:ascii="Times New Roman"/>
          <w:b/>
          <w:bCs/>
          <w:sz w:val="20"/>
          <w:szCs w:val="20"/>
        </w:rPr>
        <w:t>6. REFERÊNCIAS</w:t>
      </w:r>
    </w:p>
    <w:p w14:paraId="0B6A8EBB" w14:textId="4AAC765F" w:rsidR="006D505A" w:rsidRPr="004D4B9C" w:rsidRDefault="00944D3F" w:rsidP="004D4B9C">
      <w:pPr>
        <w:spacing w:after="0"/>
        <w:jc w:val="both"/>
        <w:rPr>
          <w:rFonts w:ascii="Times New Roman"/>
          <w:sz w:val="20"/>
          <w:szCs w:val="20"/>
        </w:rPr>
      </w:pPr>
      <w:r w:rsidRPr="00944D3F">
        <w:rPr>
          <w:rFonts w:ascii="Times New Roman"/>
          <w:b/>
          <w:bCs/>
          <w:sz w:val="20"/>
          <w:szCs w:val="20"/>
        </w:rPr>
        <w:t>[1]</w:t>
      </w:r>
      <w:r>
        <w:rPr>
          <w:rFonts w:ascii="Times New Roman"/>
          <w:sz w:val="20"/>
          <w:szCs w:val="20"/>
        </w:rPr>
        <w:t xml:space="preserve"> </w:t>
      </w:r>
      <w:r w:rsidR="004D4B9C" w:rsidRPr="004D4B9C">
        <w:rPr>
          <w:rFonts w:ascii="Times New Roman"/>
          <w:sz w:val="20"/>
          <w:szCs w:val="20"/>
        </w:rPr>
        <w:t xml:space="preserve">Sports </w:t>
      </w:r>
      <w:proofErr w:type="spellStart"/>
      <w:r w:rsidR="004D4B9C" w:rsidRPr="004D4B9C">
        <w:rPr>
          <w:rFonts w:ascii="Times New Roman"/>
          <w:sz w:val="20"/>
          <w:szCs w:val="20"/>
        </w:rPr>
        <w:t>Reference</w:t>
      </w:r>
      <w:proofErr w:type="spellEnd"/>
      <w:r w:rsidR="004D4B9C" w:rsidRPr="004D4B9C">
        <w:rPr>
          <w:rFonts w:ascii="Times New Roman"/>
          <w:sz w:val="20"/>
          <w:szCs w:val="20"/>
        </w:rPr>
        <w:t xml:space="preserve"> (org.). Basketball </w:t>
      </w:r>
      <w:proofErr w:type="spellStart"/>
      <w:r w:rsidR="004D4B9C" w:rsidRPr="004D4B9C">
        <w:rPr>
          <w:rFonts w:ascii="Times New Roman"/>
          <w:sz w:val="20"/>
          <w:szCs w:val="20"/>
        </w:rPr>
        <w:t>Reference</w:t>
      </w:r>
      <w:proofErr w:type="spellEnd"/>
      <w:r w:rsidR="004D4B9C" w:rsidRPr="004D4B9C">
        <w:rPr>
          <w:rFonts w:ascii="Times New Roman"/>
          <w:sz w:val="20"/>
          <w:szCs w:val="20"/>
        </w:rPr>
        <w:t>. 2020. Disponível em: https://www.basketball-reference.com/. Acesso em: 06 out. 2020.</w:t>
      </w:r>
    </w:p>
    <w:sectPr w:rsidR="006D505A" w:rsidRPr="004D4B9C" w:rsidSect="004F2052">
      <w:headerReference w:type="default" r:id="rId11"/>
      <w:pgSz w:w="16834" w:h="23818" w:code="8"/>
      <w:pgMar w:top="720" w:right="720" w:bottom="720" w:left="720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F38E9" w14:textId="77777777" w:rsidR="00C220A6" w:rsidRDefault="00C220A6" w:rsidP="005F390C">
      <w:pPr>
        <w:spacing w:after="0" w:line="240" w:lineRule="auto"/>
      </w:pPr>
      <w:r>
        <w:separator/>
      </w:r>
    </w:p>
  </w:endnote>
  <w:endnote w:type="continuationSeparator" w:id="0">
    <w:p w14:paraId="0FDCE7FE" w14:textId="77777777" w:rsidR="00C220A6" w:rsidRDefault="00C220A6" w:rsidP="005F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DD7D" w14:textId="77777777" w:rsidR="00C220A6" w:rsidRDefault="00C220A6" w:rsidP="005F390C">
      <w:pPr>
        <w:spacing w:after="0" w:line="240" w:lineRule="auto"/>
      </w:pPr>
      <w:r>
        <w:separator/>
      </w:r>
    </w:p>
  </w:footnote>
  <w:footnote w:type="continuationSeparator" w:id="0">
    <w:p w14:paraId="102D3543" w14:textId="77777777" w:rsidR="00C220A6" w:rsidRDefault="00C220A6" w:rsidP="005F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B9BB9" w14:textId="77777777" w:rsidR="005F390C" w:rsidRPr="005F390C" w:rsidRDefault="005F390C" w:rsidP="005F390C">
    <w:pPr>
      <w:pStyle w:val="Cabealho"/>
      <w:jc w:val="center"/>
      <w:rPr>
        <w:rFonts w:ascii="Times New Roman"/>
        <w:sz w:val="32"/>
        <w:szCs w:val="32"/>
      </w:rPr>
    </w:pPr>
    <w:r w:rsidRPr="005F390C">
      <w:rPr>
        <w:rFonts w:ascii="Times New Roman"/>
        <w:b/>
        <w:bCs/>
        <w:sz w:val="32"/>
        <w:szCs w:val="32"/>
      </w:rPr>
      <w:t>PREVENDO A PREMIAÇÃO DE MVP DA TEMPORADA REGULAR DA NBA</w:t>
    </w:r>
  </w:p>
  <w:p w14:paraId="4A11CFD7" w14:textId="688281E3" w:rsidR="005F390C" w:rsidRPr="005F390C" w:rsidRDefault="005F390C" w:rsidP="005F390C">
    <w:pPr>
      <w:pStyle w:val="Cabealho"/>
      <w:jc w:val="center"/>
      <w:rPr>
        <w:rFonts w:ascii="Times New Roman"/>
        <w:sz w:val="32"/>
        <w:szCs w:val="32"/>
      </w:rPr>
    </w:pPr>
    <w:proofErr w:type="spellStart"/>
    <w:r w:rsidRPr="005F390C">
      <w:rPr>
        <w:rFonts w:ascii="Times New Roman"/>
        <w:b/>
        <w:bCs/>
        <w:sz w:val="28"/>
        <w:szCs w:val="28"/>
      </w:rPr>
      <w:t>Cristopher</w:t>
    </w:r>
    <w:proofErr w:type="spellEnd"/>
    <w:r w:rsidRPr="005F390C">
      <w:rPr>
        <w:rFonts w:ascii="Times New Roman"/>
        <w:b/>
        <w:bCs/>
        <w:sz w:val="28"/>
        <w:szCs w:val="28"/>
      </w:rPr>
      <w:t xml:space="preserve"> </w:t>
    </w:r>
    <w:proofErr w:type="spellStart"/>
    <w:r w:rsidRPr="005F390C">
      <w:rPr>
        <w:rFonts w:ascii="Times New Roman"/>
        <w:b/>
        <w:bCs/>
        <w:sz w:val="28"/>
        <w:szCs w:val="28"/>
      </w:rPr>
      <w:t>Braatz</w:t>
    </w:r>
    <w:proofErr w:type="spellEnd"/>
    <w:r w:rsidRPr="005F390C">
      <w:rPr>
        <w:rFonts w:ascii="Times New Roman"/>
        <w:b/>
        <w:bCs/>
        <w:sz w:val="28"/>
        <w:szCs w:val="28"/>
      </w:rPr>
      <w:t xml:space="preserve"> Cardoso</w:t>
    </w:r>
    <w:r w:rsidR="00D5364D">
      <w:rPr>
        <w:rFonts w:ascii="Times New Roman"/>
        <w:b/>
        <w:bCs/>
        <w:sz w:val="28"/>
        <w:szCs w:val="28"/>
      </w:rPr>
      <w:t>, Leandro Vilson Battisti</w:t>
    </w:r>
    <w:r w:rsidRPr="005F390C">
      <w:rPr>
        <w:rFonts w:ascii="Times New Roman"/>
        <w:b/>
        <w:bCs/>
        <w:sz w:val="28"/>
        <w:szCs w:val="28"/>
      </w:rPr>
      <w:t xml:space="preserve"> e Lucas Amaral</w:t>
    </w:r>
  </w:p>
  <w:p w14:paraId="285F3776" w14:textId="77777777" w:rsidR="005F390C" w:rsidRPr="005F390C" w:rsidRDefault="005F390C" w:rsidP="005F390C">
    <w:pPr>
      <w:pStyle w:val="Cabealho"/>
      <w:jc w:val="center"/>
      <w:rPr>
        <w:rFonts w:ascii="Times New Roman"/>
        <w:sz w:val="24"/>
        <w:szCs w:val="24"/>
      </w:rPr>
    </w:pPr>
    <w:r w:rsidRPr="005F390C">
      <w:rPr>
        <w:rFonts w:ascii="Times New Roman"/>
        <w:sz w:val="24"/>
        <w:szCs w:val="24"/>
      </w:rPr>
      <w:t>FURB – Pós Graduação em Data Science</w:t>
    </w:r>
  </w:p>
  <w:p w14:paraId="47B725F1" w14:textId="4AC0C3A7" w:rsidR="005F390C" w:rsidRDefault="00CB1889" w:rsidP="005F390C">
    <w:pPr>
      <w:pStyle w:val="Cabealho"/>
      <w:jc w:val="center"/>
      <w:rPr>
        <w:rFonts w:ascii="Times New Roman"/>
        <w:sz w:val="24"/>
        <w:szCs w:val="24"/>
      </w:rPr>
    </w:pPr>
    <w:r>
      <w:rPr>
        <w:rFonts w:ascii="Times New Roman"/>
        <w:sz w:val="24"/>
        <w:szCs w:val="24"/>
      </w:rPr>
      <w:t>10</w:t>
    </w:r>
    <w:r w:rsidR="005F390C" w:rsidRPr="005F390C">
      <w:rPr>
        <w:rFonts w:ascii="Times New Roman"/>
        <w:sz w:val="24"/>
        <w:szCs w:val="24"/>
      </w:rPr>
      <w:t>/10/2020</w:t>
    </w:r>
  </w:p>
  <w:p w14:paraId="1588A171" w14:textId="77777777" w:rsidR="00895379" w:rsidRPr="00895379" w:rsidRDefault="00895379" w:rsidP="005F390C">
    <w:pPr>
      <w:pStyle w:val="Cabealho"/>
      <w:jc w:val="center"/>
      <w:rPr>
        <w:rFonts w:asci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165A"/>
    <w:multiLevelType w:val="hybridMultilevel"/>
    <w:tmpl w:val="3CE48598"/>
    <w:lvl w:ilvl="0" w:tplc="BDAE6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0EB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AF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BAA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A1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0D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E2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C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0C"/>
    <w:rsid w:val="00021619"/>
    <w:rsid w:val="00023CB9"/>
    <w:rsid w:val="00084D04"/>
    <w:rsid w:val="000A6E0E"/>
    <w:rsid w:val="000A76EE"/>
    <w:rsid w:val="00162746"/>
    <w:rsid w:val="00165E6A"/>
    <w:rsid w:val="00183F6A"/>
    <w:rsid w:val="001C662B"/>
    <w:rsid w:val="001D2948"/>
    <w:rsid w:val="001F7E50"/>
    <w:rsid w:val="00205F85"/>
    <w:rsid w:val="00226672"/>
    <w:rsid w:val="002855B1"/>
    <w:rsid w:val="00286410"/>
    <w:rsid w:val="002A06DC"/>
    <w:rsid w:val="002F74C1"/>
    <w:rsid w:val="00331EE0"/>
    <w:rsid w:val="003C0813"/>
    <w:rsid w:val="003C56F9"/>
    <w:rsid w:val="00416C3D"/>
    <w:rsid w:val="004210DE"/>
    <w:rsid w:val="00426E21"/>
    <w:rsid w:val="00434BB0"/>
    <w:rsid w:val="00455D6A"/>
    <w:rsid w:val="004823B0"/>
    <w:rsid w:val="004D4B9C"/>
    <w:rsid w:val="004F2052"/>
    <w:rsid w:val="00584BF8"/>
    <w:rsid w:val="005D45C2"/>
    <w:rsid w:val="005E344C"/>
    <w:rsid w:val="005F390C"/>
    <w:rsid w:val="0067348A"/>
    <w:rsid w:val="006D505A"/>
    <w:rsid w:val="006E0C8B"/>
    <w:rsid w:val="007364BD"/>
    <w:rsid w:val="007371E1"/>
    <w:rsid w:val="00756E27"/>
    <w:rsid w:val="00783625"/>
    <w:rsid w:val="007961A7"/>
    <w:rsid w:val="007B1A0E"/>
    <w:rsid w:val="007C06CE"/>
    <w:rsid w:val="00812AD9"/>
    <w:rsid w:val="00876296"/>
    <w:rsid w:val="00895379"/>
    <w:rsid w:val="008A6FE0"/>
    <w:rsid w:val="008D0794"/>
    <w:rsid w:val="008D0F48"/>
    <w:rsid w:val="008E6686"/>
    <w:rsid w:val="008F7BFD"/>
    <w:rsid w:val="00944D3F"/>
    <w:rsid w:val="009548DF"/>
    <w:rsid w:val="009709F5"/>
    <w:rsid w:val="009964BF"/>
    <w:rsid w:val="00997F50"/>
    <w:rsid w:val="009E097A"/>
    <w:rsid w:val="00A02D9C"/>
    <w:rsid w:val="00A10185"/>
    <w:rsid w:val="00A110BC"/>
    <w:rsid w:val="00A65BA7"/>
    <w:rsid w:val="00A920A7"/>
    <w:rsid w:val="00AA058B"/>
    <w:rsid w:val="00AB44C4"/>
    <w:rsid w:val="00AC32E1"/>
    <w:rsid w:val="00AD27DC"/>
    <w:rsid w:val="00B22057"/>
    <w:rsid w:val="00B4266D"/>
    <w:rsid w:val="00B80561"/>
    <w:rsid w:val="00B97015"/>
    <w:rsid w:val="00BA6FDC"/>
    <w:rsid w:val="00BD1015"/>
    <w:rsid w:val="00BF517A"/>
    <w:rsid w:val="00C220A6"/>
    <w:rsid w:val="00C319B4"/>
    <w:rsid w:val="00C8262F"/>
    <w:rsid w:val="00CB1889"/>
    <w:rsid w:val="00CC39D7"/>
    <w:rsid w:val="00CC58F0"/>
    <w:rsid w:val="00D01461"/>
    <w:rsid w:val="00D049EA"/>
    <w:rsid w:val="00D50A8E"/>
    <w:rsid w:val="00D5364D"/>
    <w:rsid w:val="00D81F1A"/>
    <w:rsid w:val="00DB7B37"/>
    <w:rsid w:val="00DF1E37"/>
    <w:rsid w:val="00E31F0A"/>
    <w:rsid w:val="00EA7873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DD52"/>
  <w15:chartTrackingRefBased/>
  <w15:docId w15:val="{AAC39219-6CB0-4E3F-B48F-F769723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90C"/>
  </w:style>
  <w:style w:type="paragraph" w:styleId="Rodap">
    <w:name w:val="footer"/>
    <w:basedOn w:val="Normal"/>
    <w:link w:val="RodapChar"/>
    <w:uiPriority w:val="99"/>
    <w:unhideWhenUsed/>
    <w:rsid w:val="005F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90C"/>
  </w:style>
  <w:style w:type="character" w:styleId="Refdecomentrio">
    <w:name w:val="annotation reference"/>
    <w:basedOn w:val="Fontepargpadro"/>
    <w:uiPriority w:val="99"/>
    <w:semiHidden/>
    <w:unhideWhenUsed/>
    <w:rsid w:val="005F39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F39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F39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39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390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9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390C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cf01">
    <w:name w:val="cf01"/>
    <w:basedOn w:val="Fontepargpadro"/>
    <w:rsid w:val="005F390C"/>
    <w:rPr>
      <w:rFonts w:ascii="Segoe UI" w:hAnsi="Segoe UI" w:cs="Segoe UI" w:hint="default"/>
      <w:sz w:val="18"/>
      <w:szCs w:val="18"/>
    </w:rPr>
  </w:style>
  <w:style w:type="table" w:styleId="Tabelacomgrade">
    <w:name w:val="Table Grid"/>
    <w:basedOn w:val="Tabelanormal"/>
    <w:uiPriority w:val="39"/>
    <w:rsid w:val="00B97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72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801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7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47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28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15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15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80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1CA74-47D1-4BBE-B2DB-73509E6D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1194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Amaral</dc:creator>
  <cp:keywords/>
  <dc:description/>
  <cp:lastModifiedBy>Lucas Amaral</cp:lastModifiedBy>
  <cp:revision>13</cp:revision>
  <dcterms:created xsi:type="dcterms:W3CDTF">2020-10-06T21:32:00Z</dcterms:created>
  <dcterms:modified xsi:type="dcterms:W3CDTF">2020-10-10T20:35:00Z</dcterms:modified>
</cp:coreProperties>
</file>