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900"/>
        <w:jc w:val="center"/>
      </w:pPr>
      <w:r>
        <w:drawing>
          <wp:inline distT="0" distB="0" distL="0" distR="0">
            <wp:extent cx="2857500" cy="177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500"/>
        <w:jc w:val="center"/>
      </w:pPr>
      <w:r>
        <w:rPr>
          <w:rFonts w:ascii="Arial" w:cs="Arial" w:eastAsia="Arial" w:hAnsi="Arial"/>
          <w:b/>
          <w:bCs/>
          <w:color w:val="2F5D3A"/>
          <w:spacing w:val="40"/>
          <w:sz w:val="56"/>
          <w:szCs w:val="56"/>
        </w:rPr>
        <w:t xml:space="preserve">MANUALE UTENTE</w:t>
      </w:r>
    </w:p>
    <w:p>
      <w:pPr>
        <w:spacing w:after="80"/>
        <w:jc w:val="center"/>
      </w:pPr>
      <w:r>
        <w:rPr>
          <w:rFonts w:ascii="Arial" w:cs="Arial" w:eastAsia="Arial" w:hAnsi="Arial"/>
          <w:color w:val="1B2118"/>
          <w:sz w:val="32"/>
          <w:szCs w:val="32"/>
        </w:rPr>
        <w:t xml:space="preserve">Portale Carbon WastePrint®</w:t>
      </w:r>
    </w:p>
    <w:p>
      <w:pPr>
        <w:pBdr>
          <w:bottom w:val="single" w:color="2F5D3A" w:sz="12" w:space="12"/>
        </w:pBdr>
        <w:spacing w:after="600"/>
        <w:jc w:val="center"/>
      </w:pPr>
      <w:r>
        <w:rPr>
          <w:rFonts w:ascii="Arial" w:cs="Arial" w:eastAsia="Arial" w:hAnsi="Arial"/>
          <w:i/>
          <w:iCs/>
          <w:color w:val="5A5E54"/>
          <w:sz w:val="24"/>
          <w:szCs w:val="24"/>
        </w:rPr>
        <w:t xml:space="preserve">Guida passo per passo per Comuni, enti e soggetti gestori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E4EDE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F5D3A"/>
                <w:sz w:val="20"/>
                <w:szCs w:val="20"/>
              </w:rPr>
              <w:t xml:space="preserve">Documento</w:t>
            </w:r>
          </w:p>
        </w:tc>
        <w:tc>
          <w:tcPr>
            <w:tcW w:type="dxa" w:w="70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118"/>
                <w:sz w:val="20"/>
                <w:szCs w:val="20"/>
              </w:rPr>
              <w:t xml:space="preserve">Manuale Utente — Portale Carbon WastePrint</w:t>
            </w:r>
          </w:p>
        </w:tc>
      </w:tr>
      <w:tr>
        <w:tc>
          <w:tcPr>
            <w:tcW w:type="dxa" w:w="26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E4EDE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F5D3A"/>
                <w:sz w:val="20"/>
                <w:szCs w:val="20"/>
              </w:rPr>
              <w:t xml:space="preserve">Destinatari</w:t>
            </w:r>
          </w:p>
        </w:tc>
        <w:tc>
          <w:tcPr>
            <w:tcW w:type="dxa" w:w="70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118"/>
                <w:sz w:val="20"/>
                <w:szCs w:val="20"/>
              </w:rPr>
              <w:t xml:space="preserve">Comuni, enti locali e soggetti gestori aderenti al Programma</w:t>
            </w:r>
          </w:p>
        </w:tc>
      </w:tr>
      <w:tr>
        <w:tc>
          <w:tcPr>
            <w:tcW w:type="dxa" w:w="26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E4EDE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F5D3A"/>
                <w:sz w:val="20"/>
                <w:szCs w:val="20"/>
              </w:rPr>
              <w:t xml:space="preserve">Revisione</w:t>
            </w:r>
          </w:p>
        </w:tc>
        <w:tc>
          <w:tcPr>
            <w:tcW w:type="dxa" w:w="70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118"/>
                <w:sz w:val="20"/>
                <w:szCs w:val="20"/>
              </w:rPr>
              <w:t xml:space="preserve">Rev. 2.0</w:t>
            </w:r>
          </w:p>
        </w:tc>
      </w:tr>
      <w:tr>
        <w:tc>
          <w:tcPr>
            <w:tcW w:type="dxa" w:w="26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E4EDE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F5D3A"/>
                <w:sz w:val="20"/>
                <w:szCs w:val="20"/>
              </w:rPr>
              <w:t xml:space="preserve">Data di revisione</w:t>
            </w:r>
          </w:p>
        </w:tc>
        <w:tc>
          <w:tcPr>
            <w:tcW w:type="dxa" w:w="70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118"/>
                <w:sz w:val="20"/>
                <w:szCs w:val="20"/>
              </w:rPr>
              <w:t xml:space="preserve">18/10/2026</w:t>
            </w:r>
          </w:p>
        </w:tc>
      </w:tr>
      <w:tr>
        <w:tc>
          <w:tcPr>
            <w:tcW w:type="dxa" w:w="26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E4EDE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F5D3A"/>
                <w:sz w:val="20"/>
                <w:szCs w:val="20"/>
              </w:rPr>
              <w:t xml:space="preserve">Redatto da</w:t>
            </w:r>
          </w:p>
        </w:tc>
        <w:tc>
          <w:tcPr>
            <w:tcW w:type="dxa" w:w="70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118"/>
                <w:sz w:val="20"/>
                <w:szCs w:val="20"/>
              </w:rPr>
              <w:t xml:space="preserve">Fondazione Operate</w:t>
            </w:r>
          </w:p>
        </w:tc>
      </w:tr>
    </w:tbl>
    <w:p>
      <w:pPr>
        <w:spacing w:after="80" w:before="2600"/>
        <w:jc w:val="center"/>
      </w:pPr>
      <w:r>
        <w:rPr>
          <w:rFonts w:ascii="Arial" w:cs="Arial" w:eastAsia="Arial" w:hAnsi="Arial"/>
          <w:color w:val="5A5E54"/>
          <w:sz w:val="18"/>
          <w:szCs w:val="18"/>
        </w:rPr>
        <w:t xml:space="preserve">Programma di</w:t>
      </w:r>
    </w:p>
    <w:p>
      <w:pPr>
        <w:jc w:val="center"/>
      </w:pPr>
      <w:r>
        <w:drawing>
          <wp:inline distT="0" distB="0" distL="0" distR="0">
            <wp:extent cx="1905000" cy="68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pBdr>
          <w:bottom w:val="single" w:color="2F5D3A" w:sz="12" w:space="6"/>
        </w:pBdr>
        <w:spacing w:after="200" w:before="0"/>
      </w:pPr>
      <w:r>
        <w:rPr>
          <w:rFonts w:ascii="Arial" w:cs="Arial" w:eastAsia="Arial" w:hAnsi="Arial"/>
          <w:b/>
          <w:bCs/>
          <w:color w:val="2F5D3A"/>
          <w:sz w:val="30"/>
          <w:szCs w:val="30"/>
        </w:rPr>
        <w:t xml:space="preserve">Registro delle revisioni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1300"/>
        <w:gridCol w:w="5538"/>
        <w:gridCol w:w="2000"/>
      </w:tblGrid>
      <w:tr>
        <w:trPr>
          <w:tblHeader/>
        </w:trPr>
        <w:tc>
          <w:tcPr>
            <w:tcW w:type="dxa" w:w="8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Rev.</w:t>
            </w:r>
          </w:p>
        </w:tc>
        <w:tc>
          <w:tcPr>
            <w:tcW w:type="dxa" w:w="1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55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Descrizione</w:t>
            </w:r>
          </w:p>
        </w:tc>
        <w:tc>
          <w:tcPr>
            <w:tcW w:type="dxa" w:w="20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Autore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2.0</w:t>
            </w:r>
          </w:p>
        </w:tc>
        <w:tc>
          <w:tcPr>
            <w:tcW w:type="dxa" w:w="1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18/10/2026</w:t>
            </w:r>
          </w:p>
        </w:tc>
        <w:tc>
          <w:tcPr>
            <w:tcW w:type="dxa" w:w="55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Allineamento ai documenti ufficiali del Programma: Rapporto a 7 fasi, feedback pubblico (30 e 20 giorni), stato nel Programma e ID, dati del progetto, un solo account per Organizzazione, ritiro e rientro, conservazione 12 anni, tipologie ufficiali, Schema tariffario, verifica sull'accuratezza; nuovi capitoli Crediti emessi, Reclami, pagina pubblica del Programma.</w:t>
            </w:r>
          </w:p>
        </w:tc>
        <w:tc>
          <w:tcPr>
            <w:tcW w:type="dxa" w:w="20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Fondazione Operate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1.9</w:t>
            </w:r>
          </w:p>
        </w:tc>
        <w:tc>
          <w:tcPr>
            <w:tcW w:type="dxa" w:w="1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18/10/2026</w:t>
            </w:r>
          </w:p>
        </w:tc>
        <w:tc>
          <w:tcPr>
            <w:tcW w:type="dxa" w:w="55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Rapporti di Monitoraggio con 4 fasi; documenti richiesti per fase; caricamenti solo nelle fasi aperte; osservazioni numerate e notifica di quelle da rispondere; data di conservazione; fascicolo con riepilogo PDF.</w:t>
            </w:r>
          </w:p>
        </w:tc>
        <w:tc>
          <w:tcPr>
            <w:tcW w:type="dxa" w:w="20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Fondazione Operate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1.8</w:t>
            </w:r>
          </w:p>
        </w:tc>
        <w:tc>
          <w:tcPr>
            <w:tcW w:type="dxa" w:w="1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18/10/2026</w:t>
            </w:r>
          </w:p>
        </w:tc>
        <w:tc>
          <w:tcPr>
            <w:tcW w:type="dxa" w:w="55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Nuova tipologia di documento «Rapporto di calcolo dei crediti».</w:t>
            </w:r>
          </w:p>
        </w:tc>
        <w:tc>
          <w:tcPr>
            <w:tcW w:type="dxa" w:w="20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Fondazione Operate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1.7</w:t>
            </w:r>
          </w:p>
        </w:tc>
        <w:tc>
          <w:tcPr>
            <w:tcW w:type="dxa" w:w="1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18/10/2026</w:t>
            </w:r>
          </w:p>
        </w:tc>
        <w:tc>
          <w:tcPr>
            <w:tcW w:type="dxa" w:w="55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Dati per il calcolo dei crediti: il file caricato nella pratica è letto direttamente dalla Fondazione; controllo dei dati personali.</w:t>
            </w:r>
          </w:p>
        </w:tc>
        <w:tc>
          <w:tcPr>
            <w:tcW w:type="dxa" w:w="20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Fondazione Operate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1.6</w:t>
            </w:r>
          </w:p>
        </w:tc>
        <w:tc>
          <w:tcPr>
            <w:tcW w:type="dxa" w:w="1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18/10/2026</w:t>
            </w:r>
          </w:p>
        </w:tc>
        <w:tc>
          <w:tcPr>
            <w:tcW w:type="dxa" w:w="55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Messaggi con la Fondazione (nuovo capitolo), note della Fondazione e modelli nelle fasi, Ente di Validazione, avviso sulle pratiche non attive, pagamenti visibili, consultazione sulla pagina pubblica con conferma dell'email ed errata corrige, nuove notifiche.</w:t>
            </w:r>
          </w:p>
        </w:tc>
        <w:tc>
          <w:tcPr>
            <w:tcW w:type="dxa" w:w="20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Fondazione Operate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1.5</w:t>
            </w:r>
          </w:p>
        </w:tc>
        <w:tc>
          <w:tcPr>
            <w:tcW w:type="dxa" w:w="1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18/10/2026</w:t>
            </w:r>
          </w:p>
        </w:tc>
        <w:tc>
          <w:tcPr>
            <w:tcW w:type="dxa" w:w="55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Manuale scaricabile anche dalla pagina «I tuoi documenti»; per gli utenti il manuale è disponibile solo in PDF.</w:t>
            </w:r>
          </w:p>
        </w:tc>
        <w:tc>
          <w:tcPr>
            <w:tcW w:type="dxa" w:w="20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Fondazione Operate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1.4</w:t>
            </w:r>
          </w:p>
        </w:tc>
        <w:tc>
          <w:tcPr>
            <w:tcW w:type="dxa" w:w="1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18/10/2026</w:t>
            </w:r>
          </w:p>
        </w:tc>
        <w:tc>
          <w:tcPr>
            <w:tcW w:type="dxa" w:w="55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Recupero della password: nuova email in italiano dal portale (oggetto e pulsante), limite di una richiesta ogni 2 minuti.</w:t>
            </w:r>
          </w:p>
        </w:tc>
        <w:tc>
          <w:tcPr>
            <w:tcW w:type="dxa" w:w="20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Fondazione Operate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1.3</w:t>
            </w:r>
          </w:p>
        </w:tc>
        <w:tc>
          <w:tcPr>
            <w:tcW w:type="dxa" w:w="1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18/10/2026</w:t>
            </w:r>
          </w:p>
        </w:tc>
        <w:tc>
          <w:tcPr>
            <w:tcW w:type="dxa" w:w="55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Pagina «Il mio profilo» (account, cambio password, manuale da scaricare).</w:t>
            </w:r>
          </w:p>
        </w:tc>
        <w:tc>
          <w:tcPr>
            <w:tcW w:type="dxa" w:w="20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Fondazione Operate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1.2</w:t>
            </w:r>
          </w:p>
        </w:tc>
        <w:tc>
          <w:tcPr>
            <w:tcW w:type="dxa" w:w="1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18/10/2026</w:t>
            </w:r>
          </w:p>
        </w:tc>
        <w:tc>
          <w:tcPr>
            <w:tcW w:type="dxa" w:w="55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Scelta della password al primo accesso, cambio password, recupero della password dimenticata; ritorno alla pratica dopo l'accesso da un link email.</w:t>
            </w:r>
          </w:p>
        </w:tc>
        <w:tc>
          <w:tcPr>
            <w:tcW w:type="dxa" w:w="20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Fondazione Operate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1.1</w:t>
            </w:r>
          </w:p>
        </w:tc>
        <w:tc>
          <w:tcPr>
            <w:tcW w:type="dxa" w:w="1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18/10/2026</w:t>
            </w:r>
          </w:p>
        </w:tc>
        <w:tc>
          <w:tcPr>
            <w:tcW w:type="dxa" w:w="55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Voce di menu «Manuale» e pagina di download del manuale (capitolo 2).</w:t>
            </w:r>
          </w:p>
        </w:tc>
        <w:tc>
          <w:tcPr>
            <w:tcW w:type="dxa" w:w="20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Fondazione Operate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1.0</w:t>
            </w:r>
          </w:p>
        </w:tc>
        <w:tc>
          <w:tcPr>
            <w:tcW w:type="dxa" w:w="1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18/10/2026</w:t>
            </w:r>
          </w:p>
        </w:tc>
        <w:tc>
          <w:tcPr>
            <w:tcW w:type="dxa" w:w="55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Prima emissione: accesso, pratiche e fasi, documenti, integrazioni, consultazione pubblica, rapporti di monitoraggio, notifiche, tracciato dati per il calcolo dei crediti.</w:t>
            </w:r>
          </w:p>
        </w:tc>
        <w:tc>
          <w:tcPr>
            <w:tcW w:type="dxa" w:w="20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Fondazione Operate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color w:val="5A5E54"/>
          <w:sz w:val="20"/>
          <w:szCs w:val="20"/>
        </w:rPr>
        <w:t xml:space="preserve">Questo documento descrive il portale alla revisione 2.0 del 18/10/2026. A ogni modifica del portale il manuale viene aggiornato e la revisione incrementata; la versione corrente si scarica dal portale.</w:t>
      </w:r>
    </w:p>
    <w:p>
      <w:r>
        <w:br w:type="page"/>
      </w:r>
    </w:p>
    <w:p>
      <w:pPr>
        <w:pBdr>
          <w:bottom w:val="single" w:color="2F5D3A" w:sz="12" w:space="6"/>
        </w:pBdr>
        <w:spacing w:after="200" w:before="0"/>
      </w:pPr>
      <w:r>
        <w:rPr>
          <w:rFonts w:ascii="Arial" w:cs="Arial" w:eastAsia="Arial" w:hAnsi="Arial"/>
          <w:b/>
          <w:bCs/>
          <w:color w:val="2F5D3A"/>
          <w:sz w:val="30"/>
          <w:szCs w:val="30"/>
        </w:rPr>
        <w:t xml:space="preserve">Sommario</w:t>
      </w:r>
    </w:p>
    <w:p>
      <w:pPr>
        <w:tabs>
          <w:tab w:val="right" w:pos="9638" w:leader="dot"/>
        </w:tabs>
        <w:spacing w:after="130"/>
      </w:pPr>
      <w:hyperlink w:history="1" w:anchor="cap1">
        <w:r>
          <w:rPr>
            <w:rFonts w:ascii="Arial" w:cs="Arial" w:eastAsia="Arial" w:hAnsi="Arial"/>
            <w:color w:val="1B2118"/>
            <w:sz w:val="22"/>
            <w:szCs w:val="22"/>
          </w:rPr>
          <w:t xml:space="preserve">1.  Introduzione</w:t>
        </w:r>
        <w:r>
          <w:rPr>
            <w:rFonts w:ascii="Arial" w:cs="Arial" w:eastAsia="Arial" w:hAnsi="Arial"/>
            <w:color w:val="1B2118"/>
            <w:sz w:val="22"/>
            <w:szCs w:val="22"/>
          </w:rPr>
          <w:tab/>
          <w:t xml:space="preserve">4</w:t>
        </w:r>
      </w:hyperlink>
    </w:p>
    <w:p>
      <w:pPr>
        <w:tabs>
          <w:tab w:val="right" w:pos="9638" w:leader="dot"/>
        </w:tabs>
        <w:spacing w:after="130"/>
      </w:pPr>
      <w:hyperlink w:history="1" w:anchor="cap2">
        <w:r>
          <w:rPr>
            <w:rFonts w:ascii="Arial" w:cs="Arial" w:eastAsia="Arial" w:hAnsi="Arial"/>
            <w:color w:val="1B2118"/>
            <w:sz w:val="22"/>
            <w:szCs w:val="22"/>
          </w:rPr>
          <w:t xml:space="preserve">2.  Primo accesso</w:t>
        </w:r>
        <w:r>
          <w:rPr>
            <w:rFonts w:ascii="Arial" w:cs="Arial" w:eastAsia="Arial" w:hAnsi="Arial"/>
            <w:color w:val="1B2118"/>
            <w:sz w:val="22"/>
            <w:szCs w:val="22"/>
          </w:rPr>
          <w:tab/>
          <w:t xml:space="preserve">5</w:t>
        </w:r>
      </w:hyperlink>
    </w:p>
    <w:p>
      <w:pPr>
        <w:tabs>
          <w:tab w:val="right" w:pos="9638" w:leader="dot"/>
        </w:tabs>
        <w:spacing w:after="130"/>
      </w:pPr>
      <w:hyperlink w:history="1" w:anchor="cap3">
        <w:r>
          <w:rPr>
            <w:rFonts w:ascii="Arial" w:cs="Arial" w:eastAsia="Arial" w:hAnsi="Arial"/>
            <w:color w:val="1B2118"/>
            <w:sz w:val="22"/>
            <w:szCs w:val="22"/>
          </w:rPr>
          <w:t xml:space="preserve">3.  La pagina Le mie pratiche</w:t>
        </w:r>
        <w:r>
          <w:rPr>
            <w:rFonts w:ascii="Arial" w:cs="Arial" w:eastAsia="Arial" w:hAnsi="Arial"/>
            <w:color w:val="1B2118"/>
            <w:sz w:val="22"/>
            <w:szCs w:val="22"/>
          </w:rPr>
          <w:tab/>
          <w:t xml:space="preserve">7</w:t>
        </w:r>
      </w:hyperlink>
    </w:p>
    <w:p>
      <w:pPr>
        <w:tabs>
          <w:tab w:val="right" w:pos="9638" w:leader="dot"/>
        </w:tabs>
        <w:spacing w:after="130"/>
      </w:pPr>
      <w:hyperlink w:history="1" w:anchor="cap4">
        <w:r>
          <w:rPr>
            <w:rFonts w:ascii="Arial" w:cs="Arial" w:eastAsia="Arial" w:hAnsi="Arial"/>
            <w:color w:val="1B2118"/>
            <w:sz w:val="22"/>
            <w:szCs w:val="22"/>
          </w:rPr>
          <w:t xml:space="preserve">4.  Seguire una pratica: fasi e scadenze</w:t>
        </w:r>
        <w:r>
          <w:rPr>
            <w:rFonts w:ascii="Arial" w:cs="Arial" w:eastAsia="Arial" w:hAnsi="Arial"/>
            <w:color w:val="1B2118"/>
            <w:sz w:val="22"/>
            <w:szCs w:val="22"/>
          </w:rPr>
          <w:tab/>
          <w:t xml:space="preserve">9</w:t>
        </w:r>
      </w:hyperlink>
    </w:p>
    <w:p>
      <w:pPr>
        <w:tabs>
          <w:tab w:val="right" w:pos="9638" w:leader="dot"/>
        </w:tabs>
        <w:spacing w:after="130"/>
      </w:pPr>
      <w:hyperlink w:history="1" w:anchor="cap5">
        <w:r>
          <w:rPr>
            <w:rFonts w:ascii="Arial" w:cs="Arial" w:eastAsia="Arial" w:hAnsi="Arial"/>
            <w:color w:val="1B2118"/>
            <w:sz w:val="22"/>
            <w:szCs w:val="22"/>
          </w:rPr>
          <w:t xml:space="preserve">5.  Caricare documenti</w:t>
        </w:r>
        <w:r>
          <w:rPr>
            <w:rFonts w:ascii="Arial" w:cs="Arial" w:eastAsia="Arial" w:hAnsi="Arial"/>
            <w:color w:val="1B2118"/>
            <w:sz w:val="22"/>
            <w:szCs w:val="22"/>
          </w:rPr>
          <w:tab/>
          <w:t xml:space="preserve">11</w:t>
        </w:r>
      </w:hyperlink>
    </w:p>
    <w:p>
      <w:pPr>
        <w:tabs>
          <w:tab w:val="right" w:pos="9638" w:leader="dot"/>
        </w:tabs>
        <w:spacing w:after="130"/>
      </w:pPr>
      <w:hyperlink w:history="1" w:anchor="cap6">
        <w:r>
          <w:rPr>
            <w:rFonts w:ascii="Arial" w:cs="Arial" w:eastAsia="Arial" w:hAnsi="Arial"/>
            <w:color w:val="1B2118"/>
            <w:sz w:val="22"/>
            <w:szCs w:val="22"/>
          </w:rPr>
          <w:t xml:space="preserve">6.  Rispondere a una richiesta di integrazione</w:t>
        </w:r>
        <w:r>
          <w:rPr>
            <w:rFonts w:ascii="Arial" w:cs="Arial" w:eastAsia="Arial" w:hAnsi="Arial"/>
            <w:color w:val="1B2118"/>
            <w:sz w:val="22"/>
            <w:szCs w:val="22"/>
          </w:rPr>
          <w:tab/>
          <w:t xml:space="preserve">12</w:t>
        </w:r>
      </w:hyperlink>
    </w:p>
    <w:p>
      <w:pPr>
        <w:tabs>
          <w:tab w:val="right" w:pos="9638" w:leader="dot"/>
        </w:tabs>
        <w:spacing w:after="130"/>
      </w:pPr>
      <w:hyperlink w:history="1" w:anchor="cap7">
        <w:r>
          <w:rPr>
            <w:rFonts w:ascii="Arial" w:cs="Arial" w:eastAsia="Arial" w:hAnsi="Arial"/>
            <w:color w:val="1B2118"/>
            <w:sz w:val="22"/>
            <w:szCs w:val="22"/>
          </w:rPr>
          <w:t xml:space="preserve">7.  Feedback pubblico</w:t>
        </w:r>
        <w:r>
          <w:rPr>
            <w:rFonts w:ascii="Arial" w:cs="Arial" w:eastAsia="Arial" w:hAnsi="Arial"/>
            <w:color w:val="1B2118"/>
            <w:sz w:val="22"/>
            <w:szCs w:val="22"/>
          </w:rPr>
          <w:tab/>
          <w:t xml:space="preserve">13</w:t>
        </w:r>
      </w:hyperlink>
    </w:p>
    <w:p>
      <w:pPr>
        <w:tabs>
          <w:tab w:val="right" w:pos="9638" w:leader="dot"/>
        </w:tabs>
        <w:spacing w:after="130"/>
      </w:pPr>
      <w:hyperlink w:history="1" w:anchor="cap8">
        <w:r>
          <w:rPr>
            <w:rFonts w:ascii="Arial" w:cs="Arial" w:eastAsia="Arial" w:hAnsi="Arial"/>
            <w:color w:val="1B2118"/>
            <w:sz w:val="22"/>
            <w:szCs w:val="22"/>
          </w:rPr>
          <w:t xml:space="preserve">8.  Messaggi con la Fondazione</w:t>
        </w:r>
        <w:r>
          <w:rPr>
            <w:rFonts w:ascii="Arial" w:cs="Arial" w:eastAsia="Arial" w:hAnsi="Arial"/>
            <w:color w:val="1B2118"/>
            <w:sz w:val="22"/>
            <w:szCs w:val="22"/>
          </w:rPr>
          <w:tab/>
          <w:t xml:space="preserve">14</w:t>
        </w:r>
      </w:hyperlink>
    </w:p>
    <w:p>
      <w:pPr>
        <w:tabs>
          <w:tab w:val="right" w:pos="9638" w:leader="dot"/>
        </w:tabs>
        <w:spacing w:after="130"/>
      </w:pPr>
      <w:hyperlink w:history="1" w:anchor="cap9">
        <w:r>
          <w:rPr>
            <w:rFonts w:ascii="Arial" w:cs="Arial" w:eastAsia="Arial" w:hAnsi="Arial"/>
            <w:color w:val="1B2118"/>
            <w:sz w:val="22"/>
            <w:szCs w:val="22"/>
          </w:rPr>
          <w:t xml:space="preserve">9.  Rapporti di monitoraggio e pagamenti</w:t>
        </w:r>
        <w:r>
          <w:rPr>
            <w:rFonts w:ascii="Arial" w:cs="Arial" w:eastAsia="Arial" w:hAnsi="Arial"/>
            <w:color w:val="1B2118"/>
            <w:sz w:val="22"/>
            <w:szCs w:val="22"/>
          </w:rPr>
          <w:tab/>
          <w:t xml:space="preserve">15</w:t>
        </w:r>
      </w:hyperlink>
    </w:p>
    <w:p>
      <w:pPr>
        <w:tabs>
          <w:tab w:val="right" w:pos="9638" w:leader="dot"/>
        </w:tabs>
        <w:spacing w:after="130"/>
      </w:pPr>
      <w:hyperlink w:history="1" w:anchor="cap10">
        <w:r>
          <w:rPr>
            <w:rFonts w:ascii="Arial" w:cs="Arial" w:eastAsia="Arial" w:hAnsi="Arial"/>
            <w:color w:val="1B2118"/>
            <w:sz w:val="22"/>
            <w:szCs w:val="22"/>
          </w:rPr>
          <w:t xml:space="preserve">10.  Crediti emessi</w:t>
        </w:r>
        <w:r>
          <w:rPr>
            <w:rFonts w:ascii="Arial" w:cs="Arial" w:eastAsia="Arial" w:hAnsi="Arial"/>
            <w:color w:val="1B2118"/>
            <w:sz w:val="22"/>
            <w:szCs w:val="22"/>
          </w:rPr>
          <w:tab/>
          <w:t xml:space="preserve">16</w:t>
        </w:r>
      </w:hyperlink>
    </w:p>
    <w:p>
      <w:pPr>
        <w:tabs>
          <w:tab w:val="right" w:pos="9638" w:leader="dot"/>
        </w:tabs>
        <w:spacing w:after="130"/>
      </w:pPr>
      <w:hyperlink w:history="1" w:anchor="cap11">
        <w:r>
          <w:rPr>
            <w:rFonts w:ascii="Arial" w:cs="Arial" w:eastAsia="Arial" w:hAnsi="Arial"/>
            <w:color w:val="1B2118"/>
            <w:sz w:val="22"/>
            <w:szCs w:val="22"/>
          </w:rPr>
          <w:t xml:space="preserve">11.  I tuoi documenti</w:t>
        </w:r>
        <w:r>
          <w:rPr>
            <w:rFonts w:ascii="Arial" w:cs="Arial" w:eastAsia="Arial" w:hAnsi="Arial"/>
            <w:color w:val="1B2118"/>
            <w:sz w:val="22"/>
            <w:szCs w:val="22"/>
          </w:rPr>
          <w:tab/>
          <w:t xml:space="preserve">17</w:t>
        </w:r>
      </w:hyperlink>
    </w:p>
    <w:p>
      <w:pPr>
        <w:tabs>
          <w:tab w:val="right" w:pos="9638" w:leader="dot"/>
        </w:tabs>
        <w:spacing w:after="130"/>
      </w:pPr>
      <w:hyperlink w:history="1" w:anchor="cap12">
        <w:r>
          <w:rPr>
            <w:rFonts w:ascii="Arial" w:cs="Arial" w:eastAsia="Arial" w:hAnsi="Arial"/>
            <w:color w:val="1B2118"/>
            <w:sz w:val="22"/>
            <w:szCs w:val="22"/>
          </w:rPr>
          <w:t xml:space="preserve">12.  Notifiche ed email</w:t>
        </w:r>
        <w:r>
          <w:rPr>
            <w:rFonts w:ascii="Arial" w:cs="Arial" w:eastAsia="Arial" w:hAnsi="Arial"/>
            <w:color w:val="1B2118"/>
            <w:sz w:val="22"/>
            <w:szCs w:val="22"/>
          </w:rPr>
          <w:tab/>
          <w:t xml:space="preserve">18</w:t>
        </w:r>
      </w:hyperlink>
    </w:p>
    <w:p>
      <w:pPr>
        <w:tabs>
          <w:tab w:val="right" w:pos="9638" w:leader="dot"/>
        </w:tabs>
        <w:spacing w:after="130"/>
      </w:pPr>
      <w:hyperlink w:history="1" w:anchor="cap13">
        <w:r>
          <w:rPr>
            <w:rFonts w:ascii="Arial" w:cs="Arial" w:eastAsia="Arial" w:hAnsi="Arial"/>
            <w:color w:val="1B2118"/>
            <w:sz w:val="22"/>
            <w:szCs w:val="22"/>
          </w:rPr>
          <w:t xml:space="preserve">13.  Dati per il calcolo dei crediti</w:t>
        </w:r>
        <w:r>
          <w:rPr>
            <w:rFonts w:ascii="Arial" w:cs="Arial" w:eastAsia="Arial" w:hAnsi="Arial"/>
            <w:color w:val="1B2118"/>
            <w:sz w:val="22"/>
            <w:szCs w:val="22"/>
          </w:rPr>
          <w:tab/>
          <w:t xml:space="preserve">19</w:t>
        </w:r>
      </w:hyperlink>
    </w:p>
    <w:p>
      <w:pPr>
        <w:tabs>
          <w:tab w:val="right" w:pos="9638" w:leader="dot"/>
        </w:tabs>
        <w:spacing w:after="130"/>
      </w:pPr>
      <w:hyperlink w:history="1" w:anchor="cap14">
        <w:r>
          <w:rPr>
            <w:rFonts w:ascii="Arial" w:cs="Arial" w:eastAsia="Arial" w:hAnsi="Arial"/>
            <w:color w:val="1B2118"/>
            <w:sz w:val="22"/>
            <w:szCs w:val="22"/>
          </w:rPr>
          <w:t xml:space="preserve">14.  Reclami e richieste di chiarimento</w:t>
        </w:r>
        <w:r>
          <w:rPr>
            <w:rFonts w:ascii="Arial" w:cs="Arial" w:eastAsia="Arial" w:hAnsi="Arial"/>
            <w:color w:val="1B2118"/>
            <w:sz w:val="22"/>
            <w:szCs w:val="22"/>
          </w:rPr>
          <w:tab/>
          <w:t xml:space="preserve">20</w:t>
        </w:r>
      </w:hyperlink>
    </w:p>
    <w:p>
      <w:pPr>
        <w:tabs>
          <w:tab w:val="right" w:pos="9638" w:leader="dot"/>
        </w:tabs>
        <w:spacing w:after="130"/>
      </w:pPr>
      <w:hyperlink w:history="1" w:anchor="cap15">
        <w:r>
          <w:rPr>
            <w:rFonts w:ascii="Arial" w:cs="Arial" w:eastAsia="Arial" w:hAnsi="Arial"/>
            <w:color w:val="1B2118"/>
            <w:sz w:val="22"/>
            <w:szCs w:val="22"/>
          </w:rPr>
          <w:t xml:space="preserve">15.  La pagina pubblica del Programma</w:t>
        </w:r>
        <w:r>
          <w:rPr>
            <w:rFonts w:ascii="Arial" w:cs="Arial" w:eastAsia="Arial" w:hAnsi="Arial"/>
            <w:color w:val="1B2118"/>
            <w:sz w:val="22"/>
            <w:szCs w:val="22"/>
          </w:rPr>
          <w:tab/>
          <w:t xml:space="preserve">21</w:t>
        </w:r>
      </w:hyperlink>
    </w:p>
    <w:p>
      <w:pPr>
        <w:tabs>
          <w:tab w:val="right" w:pos="9638" w:leader="dot"/>
        </w:tabs>
        <w:spacing w:after="130"/>
      </w:pPr>
      <w:hyperlink w:history="1" w:anchor="cap16">
        <w:r>
          <w:rPr>
            <w:rFonts w:ascii="Arial" w:cs="Arial" w:eastAsia="Arial" w:hAnsi="Arial"/>
            <w:color w:val="1B2118"/>
            <w:sz w:val="22"/>
            <w:szCs w:val="22"/>
          </w:rPr>
          <w:t xml:space="preserve">16.  Domande frequenti</w:t>
        </w:r>
        <w:r>
          <w:rPr>
            <w:rFonts w:ascii="Arial" w:cs="Arial" w:eastAsia="Arial" w:hAnsi="Arial"/>
            <w:color w:val="1B2118"/>
            <w:sz w:val="22"/>
            <w:szCs w:val="22"/>
          </w:rPr>
          <w:tab/>
          <w:t xml:space="preserve">22</w:t>
        </w:r>
      </w:hyperlink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Heading1"/>
        <w:pageBreakBefore/>
        <w:pBdr>
          <w:bottom w:val="single" w:color="2F5D3A" w:sz="12" w:space="6"/>
        </w:pBdr>
        <w:spacing w:after="240" w:before="0"/>
      </w:pPr>
      <w:bookmarkStart w:name="cap1" w:id="1"/>
      <w:r>
        <w:rPr>
          <w:rFonts w:ascii="Arial" w:cs="Arial" w:eastAsia="Arial" w:hAnsi="Arial"/>
          <w:b/>
          <w:bCs/>
          <w:color w:val="2F5D3A"/>
          <w:sz w:val="34"/>
          <w:szCs w:val="34"/>
        </w:rPr>
        <w:t xml:space="preserve">1. Introduzione</w:t>
      </w:r>
      <w:bookmarkEnd w:id="1"/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Il portale Carbon WastePrint è lo strumento con cui il vostro ente segue, insieme a Fondazione Operate, la partecipazione al Programma Carbon WastePrint®: dall'adesione del Progetto fino alle verifiche, ai Rapporti di Monitoraggio annuali e ai crediti emessi.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Nel portale potete: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vedere in che fase si trova ogni vostra pratica, le relative scadenze e lo stato nel Programma;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caricare i documenti richiesti e scaricare quelli messi a disposizione dalla Fondazione;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rispondere alle richieste di integrazione;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rispondere alle osservazioni ricevute durante il feedback pubblico;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scrivere alla Fondazione nella sezione Messaggi di ogni pratica;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vedere le voci di pagamento e scaricare i modelli di documento;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vedere i crediti emessi dai vostri Rapporti di Monitoraggio;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inviare reclami e richieste di chiarimento;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ricevere notifiche nel portale e per email;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scaricare il tracciato per inviare i dati utili al calcolo dei crediti.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Cosa serve: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un computer o tablet con un browser aggiornato (Chrome, Edge, Firefox, Safari) e le credenziali fornite dalla Fondazione. Indirizzo del portale: </w:t>
      </w:r>
      <w:hyperlink w:history="1" r:id="rIdgo5llyssq4hsgyf5pxhbo">
        <w:r>
          <w:rPr>
            <w:rFonts w:ascii="Arial" w:cs="Arial" w:eastAsia="Arial" w:hAnsi="Arial"/>
            <w:color w:val="2F5D3A"/>
            <w:sz w:val="21"/>
            <w:szCs w:val="21"/>
            <w:u w:val="single"/>
          </w:rPr>
          <w:t xml:space="preserve">portale-cwp.vercel.app</w:t>
        </w:r>
      </w:hyperlink>
      <w:r>
        <w:rPr>
          <w:rFonts w:ascii="Arial" w:cs="Arial" w:eastAsia="Arial" w:hAnsi="Arial"/>
          <w:color w:val="1B2118"/>
          <w:sz w:val="21"/>
          <w:szCs w:val="21"/>
        </w:rPr>
        <w:t xml:space="preserve">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Chi è l'utente: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in questo manuale «utente» è il referente del Comune, dell'ente o del soggetto gestore (nel portale: ruolo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Cliente / Organizzazione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). Nel linguaggio del Programma il vostro ente è il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promotore del progetto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; Fondazione Operate è il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promotore del programma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Un solo account per Organizzazione.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Ogni Organizzazione ha un solo account attivo: quello del rappresentante autorizzato. L'Organizzazione può indicare fino a 2 delegati con il Modulo di delega di rappresentanza: il primo è il rappresentante con l'account, il secondo è un sostituto senza account. Per cambiare rappresentante chiedete alla Fondazione: disattiva l'account attuale e ne crea uno nuovo. Un utente può invece seguire più organizzazioni, ad esempio un delegato di più Comuni.</w:t>
      </w:r>
    </w:p>
    <w:p>
      <w:pPr>
        <w:pStyle w:val="Heading1"/>
        <w:pageBreakBefore/>
        <w:pBdr>
          <w:bottom w:val="single" w:color="2F5D3A" w:sz="12" w:space="6"/>
        </w:pBdr>
        <w:spacing w:after="240" w:before="0"/>
      </w:pPr>
      <w:bookmarkStart w:name="cap2" w:id="1"/>
      <w:r>
        <w:rPr>
          <w:rFonts w:ascii="Arial" w:cs="Arial" w:eastAsia="Arial" w:hAnsi="Arial"/>
          <w:b/>
          <w:bCs/>
          <w:color w:val="2F5D3A"/>
          <w:sz w:val="34"/>
          <w:szCs w:val="34"/>
        </w:rPr>
        <w:t xml:space="preserve">2. Primo accesso</w:t>
      </w:r>
      <w:bookmarkEnd w:id="1"/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Le credenziali (email e password temporanea) vi vengono fornite da Fondazione Operate.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Aprite </w:t>
      </w:r>
      <w:hyperlink w:history="1" r:id="rId8yhk9tk17g2isxxcjlqxw">
        <w:r>
          <w:rPr>
            <w:rFonts w:ascii="Arial" w:cs="Arial" w:eastAsia="Arial" w:hAnsi="Arial"/>
            <w:color w:val="2F5D3A"/>
            <w:sz w:val="21"/>
            <w:szCs w:val="21"/>
            <w:u w:val="single"/>
          </w:rPr>
          <w:t xml:space="preserve">portale-cwp.vercel.app</w:t>
        </w:r>
      </w:hyperlink>
      <w:r>
        <w:rPr>
          <w:rFonts w:ascii="Arial" w:cs="Arial" w:eastAsia="Arial" w:hAnsi="Arial"/>
          <w:color w:val="1B2118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Inserite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Email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Password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Premete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Accedi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 Durante la verifica il pulsante mostra «Accesso in corso…».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Al primo accesso compare la pagina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Scegli la tua password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 scrivete due volte una password personale e premete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Salva la password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 Finché non lo fate il portale non vi lascia proseguire.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Si apre la pagina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Le mie pratiche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</w:t>
      </w:r>
    </w:p>
    <w:p>
      <w:pPr>
        <w:spacing w:after="60"/>
      </w:pP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Regole per la password: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almeno 10 caratteri, con almeno una lettera e un numero, senza il vostro indirizzo email. Usate una password che non adoperate per altri servizi.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In alto trovate il menu (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Le mie pratiche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I tuoi documenti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Formato dati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Reclami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Il Programma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Manuale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), la campanella delle notifiche, l'indicazione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Cliente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il vostro indirizzo email con il collegamento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Il mio profilo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e il pulsante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Esci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per uscire.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65"/>
        <w:gridCol w:w="7573"/>
      </w:tblGrid>
      <w:tr>
        <w:trPr>
          <w:tblHeader/>
        </w:trPr>
        <w:tc>
          <w:tcPr>
            <w:tcW w:type="dxa" w:w="206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Voce del menu</w:t>
            </w:r>
          </w:p>
        </w:tc>
        <w:tc>
          <w:tcPr>
            <w:tcW w:type="dxa" w:w="757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Cosa trovate</w:t>
            </w:r>
          </w:p>
        </w:tc>
      </w:tr>
      <w:tr>
        <w:trPr>
          <w:cantSplit/>
        </w:trPr>
        <w:tc>
          <w:tcPr>
            <w:tcW w:type="dxa" w:w="206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Le mie pratiche</w:t>
            </w:r>
          </w:p>
        </w:tc>
        <w:tc>
          <w:tcPr>
            <w:tcW w:type="dxa" w:w="757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 vostri Progetti e Rapporti (capitolo 3)</w:t>
            </w:r>
          </w:p>
        </w:tc>
      </w:tr>
      <w:tr>
        <w:trPr>
          <w:cantSplit/>
        </w:trPr>
        <w:tc>
          <w:tcPr>
            <w:tcW w:type="dxa" w:w="206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 tuoi documenti</w:t>
            </w:r>
          </w:p>
        </w:tc>
        <w:tc>
          <w:tcPr>
            <w:tcW w:type="dxa" w:w="757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 documenti generali di tutte le pratiche (capitolo 11)</w:t>
            </w:r>
          </w:p>
        </w:tc>
      </w:tr>
      <w:tr>
        <w:trPr>
          <w:cantSplit/>
        </w:trPr>
        <w:tc>
          <w:tcPr>
            <w:tcW w:type="dxa" w:w="206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Formato dati</w:t>
            </w:r>
          </w:p>
        </w:tc>
        <w:tc>
          <w:tcPr>
            <w:tcW w:type="dxa" w:w="757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Il tracciato per i dati del calcolo dei crediti (capitolo 13)</w:t>
            </w:r>
          </w:p>
        </w:tc>
      </w:tr>
      <w:tr>
        <w:trPr>
          <w:cantSplit/>
        </w:trPr>
        <w:tc>
          <w:tcPr>
            <w:tcW w:type="dxa" w:w="206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Reclami</w:t>
            </w:r>
          </w:p>
        </w:tc>
        <w:tc>
          <w:tcPr>
            <w:tcW w:type="dxa" w:w="757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Reclami e richieste di chiarimento (capitolo 14)</w:t>
            </w:r>
          </w:p>
        </w:tc>
      </w:tr>
      <w:tr>
        <w:trPr>
          <w:cantSplit/>
        </w:trPr>
        <w:tc>
          <w:tcPr>
            <w:tcW w:type="dxa" w:w="206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Il Programma</w:t>
            </w:r>
          </w:p>
        </w:tc>
        <w:tc>
          <w:tcPr>
            <w:tcW w:type="dxa" w:w="757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La pagina pubblica del Programma (capitolo 15)</w:t>
            </w:r>
          </w:p>
        </w:tc>
      </w:tr>
      <w:tr>
        <w:trPr>
          <w:cantSplit/>
        </w:trPr>
        <w:tc>
          <w:tcPr>
            <w:tcW w:type="dxa" w:w="206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Manuale</w:t>
            </w:r>
          </w:p>
        </w:tc>
        <w:tc>
          <w:tcPr>
            <w:tcW w:type="dxa" w:w="757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Questo manuale in PDF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34"/>
        <w:gridCol w:w="2142"/>
        <w:gridCol w:w="4362"/>
      </w:tblGrid>
      <w:tr>
        <w:trPr>
          <w:tblHeader/>
        </w:trPr>
        <w:tc>
          <w:tcPr>
            <w:tcW w:type="dxa" w:w="313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Messaggio</w:t>
            </w:r>
          </w:p>
        </w:tc>
        <w:tc>
          <w:tcPr>
            <w:tcW w:type="dxa" w:w="214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Cosa significa</w:t>
            </w:r>
          </w:p>
        </w:tc>
        <w:tc>
          <w:tcPr>
            <w:tcW w:type="dxa" w:w="436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Cosa fare</w:t>
            </w:r>
          </w:p>
        </w:tc>
      </w:tr>
      <w:tr>
        <w:trPr>
          <w:cantSplit/>
        </w:trPr>
        <w:tc>
          <w:tcPr>
            <w:tcW w:type="dxa" w:w="313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Email o password non corretti.</w:t>
            </w:r>
          </w:p>
        </w:tc>
        <w:tc>
          <w:tcPr>
            <w:tcW w:type="dxa" w:w="214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Credenziali sbagliate</w:t>
            </w:r>
          </w:p>
        </w:tc>
        <w:tc>
          <w:tcPr>
            <w:tcW w:type="dxa" w:w="436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Ricontrollate maiuscole e spazi, poi riprovate</w:t>
            </w:r>
          </w:p>
        </w:tc>
      </w:tr>
      <w:tr>
        <w:trPr>
          <w:cantSplit/>
        </w:trPr>
        <w:tc>
          <w:tcPr>
            <w:tcW w:type="dxa" w:w="313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Accesso non riuscito. Riprova.</w:t>
            </w:r>
          </w:p>
        </w:tc>
        <w:tc>
          <w:tcPr>
            <w:tcW w:type="dxa" w:w="214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Problema temporaneo</w:t>
            </w:r>
          </w:p>
        </w:tc>
        <w:tc>
          <w:tcPr>
            <w:tcW w:type="dxa" w:w="436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Riprovate dopo qualche minuto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Il manuale.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La voce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Manuale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del menu, la pagina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I tuoi documenti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e la pagina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Il mio profilo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permettono di aprire e scaricare questo manuale in PDF, sempre nella revisione più recente.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Il mio profilo.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Fate clic sul vostro indirizzo email in alto (sotto c'è scritto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Il mio profilo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): trovate i dati del vostro account, il pulsante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Cambia password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e il manuale da scaricare.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Cambiare la password.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In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Il mio profilo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premete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Cambia password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inserite la password attuale e due volte quella nuova, poi premete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Salva la password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Password dimenticata.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Nella pagina di accesso premete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Password dimenticata?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Inserite la vostra email e premete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Invia il collegamento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Aprite l'email «Portale Carbon WastePrint (CWP) — Richiesta di reimpostazione della password» e premete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Scegli una nuova password →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 si apre la pagina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Nuova password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del portale.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Scrivete due volte la nuova password e premete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Salva la password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</w:t>
      </w:r>
    </w:p>
    <w:p>
      <w:pPr>
        <w:spacing w:after="60"/>
      </w:pP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Il collegamento vale una sola volta e per un tempo limitato; se è scaduto compare «Collegamento non valido» e basta richiederne un altro (al massimo una richiesta ogni 2 minuti). Se non avete chiesto voi il recupero, ignorate l'email: la password resta quella di prima. Se l'email non arriva, controllate la posta indesiderata oppure chiedete a Fondazione Operate una password temporanea.</w:t>
      </w:r>
    </w:p>
    <w:p>
      <w:pPr>
        <w:pStyle w:val="Heading1"/>
        <w:pageBreakBefore/>
        <w:pBdr>
          <w:bottom w:val="single" w:color="2F5D3A" w:sz="12" w:space="6"/>
        </w:pBdr>
        <w:spacing w:after="240" w:before="0"/>
      </w:pPr>
      <w:bookmarkStart w:name="cap3" w:id="1"/>
      <w:r>
        <w:rPr>
          <w:rFonts w:ascii="Arial" w:cs="Arial" w:eastAsia="Arial" w:hAnsi="Arial"/>
          <w:b/>
          <w:bCs/>
          <w:color w:val="2F5D3A"/>
          <w:sz w:val="34"/>
          <w:szCs w:val="34"/>
        </w:rPr>
        <w:t xml:space="preserve">3. La pagina Le mie pratiche</w:t>
      </w:r>
      <w:bookmarkEnd w:id="1"/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La pagina elenca i Progetti della vostra organizzazione (o delle organizzazioni che seguite), dal più recente. I Rapporti di Monitoraggio annuali si trovano dentro ciascun Progetto (capitolo 9).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Ogni riquadro mostra il titolo del progetto, lo stato e il codice della pratica con il nome dell'ente.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93"/>
        <w:gridCol w:w="8145"/>
      </w:tblGrid>
      <w:tr>
        <w:trPr>
          <w:tblHeader/>
        </w:trPr>
        <w:tc>
          <w:tcPr>
            <w:tcW w:type="dxa" w:w="149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Stato</w:t>
            </w:r>
          </w:p>
        </w:tc>
        <w:tc>
          <w:tcPr>
            <w:tcW w:type="dxa" w:w="814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Significato</w:t>
            </w:r>
          </w:p>
        </w:tc>
      </w:tr>
      <w:tr>
        <w:trPr>
          <w:cantSplit/>
        </w:trPr>
        <w:tc>
          <w:tcPr>
            <w:tcW w:type="dxa" w:w="149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Attiva</w:t>
            </w:r>
          </w:p>
        </w:tc>
        <w:tc>
          <w:tcPr>
            <w:tcW w:type="dxa" w:w="814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La pratica procede normalmente</w:t>
            </w:r>
          </w:p>
        </w:tc>
      </w:tr>
      <w:tr>
        <w:trPr>
          <w:cantSplit/>
        </w:trPr>
        <w:tc>
          <w:tcPr>
            <w:tcW w:type="dxa" w:w="149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Sospesa</w:t>
            </w:r>
          </w:p>
        </w:tc>
        <w:tc>
          <w:tcPr>
            <w:tcW w:type="dxa" w:w="814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Temporaneamente ferma: non si possono caricare documenti e non si emettono crediti</w:t>
            </w:r>
          </w:p>
        </w:tc>
      </w:tr>
      <w:tr>
        <w:trPr>
          <w:cantSplit/>
        </w:trPr>
        <w:tc>
          <w:tcPr>
            <w:tcW w:type="dxa" w:w="149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Annullata</w:t>
            </w:r>
          </w:p>
        </w:tc>
        <w:tc>
          <w:tcPr>
            <w:tcW w:type="dxa" w:w="814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La pratica non prosegue</w:t>
            </w:r>
          </w:p>
        </w:tc>
      </w:tr>
      <w:tr>
        <w:trPr>
          <w:cantSplit/>
        </w:trPr>
        <w:tc>
          <w:tcPr>
            <w:tcW w:type="dxa" w:w="149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Chiusa</w:t>
            </w:r>
          </w:p>
        </w:tc>
        <w:tc>
          <w:tcPr>
            <w:tcW w:type="dxa" w:w="814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Percorso concluso</w:t>
            </w:r>
          </w:p>
        </w:tc>
      </w:tr>
      <w:tr>
        <w:trPr>
          <w:cantSplit/>
        </w:trPr>
        <w:tc>
          <w:tcPr>
            <w:tcW w:type="dxa" w:w="149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Ritirato</w:t>
            </w:r>
          </w:p>
        </w:tc>
        <w:tc>
          <w:tcPr>
            <w:tcW w:type="dxa" w:w="814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Solo per i Progetti: il Progetto è uscito dal Programma su richiesta dei promotori (capitolo 4)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Per aprire una pratica fate clic sul suo riquadro: il dettaglio compare sotto l'elenco, nella stessa pagina. All'apertura viene mostrata automaticamente la pratica più recente.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Se non vedete pratiche compare il messaggio «Non risultano ancora pratiche a tuo carico»: la pratica appare quando la Fondazione registra il vostro progetto.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L'intestazione della pratica.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In cima al dettaglio trovate: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l'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ID progetto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(o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ID rapporto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), ad esempio «ID progetto: CWP-2026-0001». È il codice univoco assegnato dalla Fondazione: usatelo in ogni comunicazione;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il nome dell'ente e il titolo del progetto;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lo stato della pratica (tabella sopra);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lo stato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Nel Programma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(tabella sotto).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Se la pratica non è attiva è indicata anche la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Motivazione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 Il pulsante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Scarica documentazione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scarica in un unico file ZIP tutti i documenti della pratica (tutte le versioni), un riepilogo in PDF (Riepilogo.pdf) e i riepiloghi in formato CSV, comprese le osservazioni del feedback pubblico con i loro allegati, le note condivise e i messaggi.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Lo stato nel Programma.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Accanto allo stato della pratica compare «Nel Programma: …», con i nomi usati dalla Guida al Programma. Si aggiorna da solo quando la Fondazione chiude le fasi.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71"/>
        <w:gridCol w:w="6467"/>
      </w:tblGrid>
      <w:tr>
        <w:trPr>
          <w:tblHeader/>
        </w:trPr>
        <w:tc>
          <w:tcPr>
            <w:tcW w:type="dxa" w:w="3171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Nel Programma</w:t>
            </w:r>
          </w:p>
        </w:tc>
        <w:tc>
          <w:tcPr>
            <w:tcW w:type="dxa" w:w="6467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Quando</w:t>
            </w:r>
          </w:p>
        </w:tc>
      </w:tr>
      <w:tr>
        <w:trPr>
          <w:cantSplit/>
        </w:trPr>
        <w:tc>
          <w:tcPr>
            <w:tcW w:type="dxa" w:w="3171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richiesta di registrazione</w:t>
            </w:r>
          </w:p>
        </w:tc>
        <w:tc>
          <w:tcPr>
            <w:tcW w:type="dxa" w:w="6467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Fino alla fine della fase 2 (per il Rapporto: richiesta di registrazione del rapporto)</w:t>
            </w:r>
          </w:p>
        </w:tc>
      </w:tr>
      <w:tr>
        <w:trPr>
          <w:cantSplit/>
        </w:trPr>
        <w:tc>
          <w:tcPr>
            <w:tcW w:type="dxa" w:w="3171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in fase di validazione</w:t>
            </w:r>
          </w:p>
        </w:tc>
        <w:tc>
          <w:tcPr>
            <w:tcW w:type="dxa" w:w="6467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Dopo la fase 2</w:t>
            </w:r>
          </w:p>
        </w:tc>
      </w:tr>
      <w:tr>
        <w:trPr>
          <w:cantSplit/>
        </w:trPr>
        <w:tc>
          <w:tcPr>
            <w:tcW w:type="dxa" w:w="3171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in fase di verifica documentale</w:t>
            </w:r>
          </w:p>
        </w:tc>
        <w:tc>
          <w:tcPr>
            <w:tcW w:type="dxa" w:w="6467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Dopo la fase 5</w:t>
            </w:r>
          </w:p>
        </w:tc>
      </w:tr>
      <w:tr>
        <w:trPr>
          <w:cantSplit/>
        </w:trPr>
        <w:tc>
          <w:tcPr>
            <w:tcW w:type="dxa" w:w="3171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progetto registrato</w:t>
            </w:r>
          </w:p>
        </w:tc>
        <w:tc>
          <w:tcPr>
            <w:tcW w:type="dxa" w:w="6467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Dopo la fase 6 (per il Rapporto: rapporto registrato e crediti registrati)</w:t>
            </w:r>
          </w:p>
        </w:tc>
      </w:tr>
      <w:tr>
        <w:trPr>
          <w:cantSplit/>
        </w:trPr>
        <w:tc>
          <w:tcPr>
            <w:tcW w:type="dxa" w:w="3171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progetto ritirato</w:t>
            </w:r>
          </w:p>
        </w:tc>
        <w:tc>
          <w:tcPr>
            <w:tcW w:type="dxa" w:w="6467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Il Progetto è stato ritirato</w:t>
            </w:r>
          </w:p>
        </w:tc>
      </w:tr>
      <w:tr>
        <w:trPr>
          <w:cantSplit/>
        </w:trPr>
        <w:tc>
          <w:tcPr>
            <w:tcW w:type="dxa" w:w="3171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non registrato (pratica annullata)</w:t>
            </w:r>
          </w:p>
        </w:tc>
        <w:tc>
          <w:tcPr>
            <w:tcW w:type="dxa" w:w="6467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La pratica è stata annullata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I dati del progetto.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Sotto l'intestazione trovate i dati principali, inseriti dalla Fondazione: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50"/>
        <w:gridCol w:w="7088"/>
      </w:tblGrid>
      <w:tr>
        <w:trPr>
          <w:tblHeader/>
        </w:trPr>
        <w:tc>
          <w:tcPr>
            <w:tcW w:type="dxa" w:w="255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708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Cosa indica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Territorio (codici ISTAT)</w:t>
            </w:r>
          </w:p>
        </w:tc>
        <w:tc>
          <w:tcPr>
            <w:tcW w:type="dxa" w:w="708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 Comuni del progetto, con il codice ISTAT di 6 cifre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Co-promotori</w:t>
            </w:r>
          </w:p>
        </w:tc>
        <w:tc>
          <w:tcPr>
            <w:tcW w:type="dxa" w:w="708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Gli altri soggetti promotori del progetto, se ci sono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Periodo di riferimento</w:t>
            </w:r>
          </w:p>
        </w:tc>
        <w:tc>
          <w:tcPr>
            <w:tcW w:type="dxa" w:w="708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10 anni (una volta) oppure 7 anni rinnovabili 3 volte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Popolazione residente</w:t>
            </w:r>
          </w:p>
        </w:tc>
        <w:tc>
          <w:tcPr>
            <w:tcW w:type="dxa" w:w="708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Gli abitanti del territorio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Crediti previsti</w:t>
            </w:r>
          </w:p>
        </w:tc>
        <w:tc>
          <w:tcPr>
            <w:tcW w:type="dxa" w:w="708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Nel periodo, per il Progetto; nell'anno, per il Rapporto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Registrato il</w:t>
            </w:r>
          </w:p>
        </w:tc>
        <w:tc>
          <w:tcPr>
            <w:tcW w:type="dxa" w:w="708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La data di registrazione: è il giorno in cui si chiude la fase 6. Nel Rapporto compare come «Crediti registrati il»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Ogni Comune (codice ISTAT) può far parte di un solo Progetto, se non è annullato o ritirato. Se un dato non è corretto, scrivete alla Fondazione nella sezione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Messaggi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</w:t>
      </w:r>
    </w:p>
    <w:p>
      <w:pPr>
        <w:pStyle w:val="Heading1"/>
        <w:pageBreakBefore/>
        <w:pBdr>
          <w:bottom w:val="single" w:color="2F5D3A" w:sz="12" w:space="6"/>
        </w:pBdr>
        <w:spacing w:after="240" w:before="0"/>
      </w:pPr>
      <w:bookmarkStart w:name="cap4" w:id="1"/>
      <w:r>
        <w:rPr>
          <w:rFonts w:ascii="Arial" w:cs="Arial" w:eastAsia="Arial" w:hAnsi="Arial"/>
          <w:b/>
          <w:bCs/>
          <w:color w:val="2F5D3A"/>
          <w:sz w:val="34"/>
          <w:szCs w:val="34"/>
        </w:rPr>
        <w:t xml:space="preserve">4. Seguire una pratica: fasi e scadenze</w:t>
      </w:r>
      <w:bookmarkEnd w:id="1"/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Ogni Progetto e ogni Rapporto di Monitoraggio attraversano 7 fasi. Le apre e le chiude Fondazione Operate; voi vedete in ogni momento a che punto siete e quanto tempo resta.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46"/>
        <w:gridCol w:w="2180"/>
        <w:gridCol w:w="1010"/>
        <w:gridCol w:w="1999"/>
        <w:gridCol w:w="1010"/>
        <w:gridCol w:w="2593"/>
      </w:tblGrid>
      <w:tr>
        <w:trPr>
          <w:tblHeader/>
        </w:trPr>
        <w:tc>
          <w:tcPr>
            <w:tcW w:type="dxa" w:w="84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18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Progetto</w:t>
            </w:r>
          </w:p>
        </w:tc>
        <w:tc>
          <w:tcPr>
            <w:tcW w:type="dxa" w:w="1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Giorni</w:t>
            </w:r>
          </w:p>
        </w:tc>
        <w:tc>
          <w:tcPr>
            <w:tcW w:type="dxa" w:w="199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Rapporto di Monitoraggio</w:t>
            </w:r>
          </w:p>
        </w:tc>
        <w:tc>
          <w:tcPr>
            <w:tcW w:type="dxa" w:w="1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Giorni</w:t>
            </w:r>
          </w:p>
        </w:tc>
        <w:tc>
          <w:tcPr>
            <w:tcW w:type="dxa" w:w="259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Responsabile</w:t>
            </w:r>
          </w:p>
        </w:tc>
      </w:tr>
      <w:tr>
        <w:trPr>
          <w:cantSplit/>
        </w:trPr>
        <w:tc>
          <w:tcPr>
            <w:tcW w:type="dxa" w:w="84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</w:t>
            </w:r>
          </w:p>
        </w:tc>
        <w:tc>
          <w:tcPr>
            <w:tcW w:type="dxa" w:w="218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Adesione</w:t>
            </w:r>
          </w:p>
        </w:tc>
        <w:tc>
          <w:tcPr>
            <w:tcW w:type="dxa" w:w="1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0</w:t>
            </w:r>
          </w:p>
        </w:tc>
        <w:tc>
          <w:tcPr>
            <w:tcW w:type="dxa" w:w="199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Registrazione del rapporto</w:t>
            </w:r>
          </w:p>
        </w:tc>
        <w:tc>
          <w:tcPr>
            <w:tcW w:type="dxa" w:w="1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0</w:t>
            </w:r>
          </w:p>
        </w:tc>
        <w:tc>
          <w:tcPr>
            <w:tcW w:type="dxa" w:w="259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Promotore del progetto (il vostro ente)</w:t>
            </w:r>
          </w:p>
        </w:tc>
      </w:tr>
      <w:tr>
        <w:trPr>
          <w:cantSplit/>
        </w:trPr>
        <w:tc>
          <w:tcPr>
            <w:tcW w:type="dxa" w:w="84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</w:t>
            </w:r>
          </w:p>
        </w:tc>
        <w:tc>
          <w:tcPr>
            <w:tcW w:type="dxa" w:w="218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Prima verifica documentale</w:t>
            </w:r>
          </w:p>
        </w:tc>
        <w:tc>
          <w:tcPr>
            <w:tcW w:type="dxa" w:w="1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10</w:t>
            </w:r>
          </w:p>
        </w:tc>
        <w:tc>
          <w:tcPr>
            <w:tcW w:type="dxa" w:w="199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Prima verifica documentale</w:t>
            </w:r>
          </w:p>
        </w:tc>
        <w:tc>
          <w:tcPr>
            <w:tcW w:type="dxa" w:w="1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10</w:t>
            </w:r>
          </w:p>
        </w:tc>
        <w:tc>
          <w:tcPr>
            <w:tcW w:type="dxa" w:w="259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Promotore del programma (la Fondazione)</w:t>
            </w:r>
          </w:p>
        </w:tc>
      </w:tr>
      <w:tr>
        <w:trPr>
          <w:cantSplit/>
        </w:trPr>
        <w:tc>
          <w:tcPr>
            <w:tcW w:type="dxa" w:w="84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3</w:t>
            </w:r>
          </w:p>
        </w:tc>
        <w:tc>
          <w:tcPr>
            <w:tcW w:type="dxa" w:w="218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Feedback pubblico</w:t>
            </w:r>
          </w:p>
        </w:tc>
        <w:tc>
          <w:tcPr>
            <w:tcW w:type="dxa" w:w="1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30</w:t>
            </w:r>
          </w:p>
        </w:tc>
        <w:tc>
          <w:tcPr>
            <w:tcW w:type="dxa" w:w="199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Feedback pubblico</w:t>
            </w:r>
          </w:p>
        </w:tc>
        <w:tc>
          <w:tcPr>
            <w:tcW w:type="dxa" w:w="1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20</w:t>
            </w:r>
          </w:p>
        </w:tc>
        <w:tc>
          <w:tcPr>
            <w:tcW w:type="dxa" w:w="259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Promotore del programma</w:t>
            </w:r>
          </w:p>
        </w:tc>
      </w:tr>
      <w:tr>
        <w:trPr>
          <w:cantSplit/>
        </w:trPr>
        <w:tc>
          <w:tcPr>
            <w:tcW w:type="dxa" w:w="84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4</w:t>
            </w:r>
          </w:p>
        </w:tc>
        <w:tc>
          <w:tcPr>
            <w:tcW w:type="dxa" w:w="218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Risposta ai commenti / pubblicazione</w:t>
            </w:r>
          </w:p>
        </w:tc>
        <w:tc>
          <w:tcPr>
            <w:tcW w:type="dxa" w:w="1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20</w:t>
            </w:r>
          </w:p>
        </w:tc>
        <w:tc>
          <w:tcPr>
            <w:tcW w:type="dxa" w:w="199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Risposta ai commenti</w:t>
            </w:r>
          </w:p>
        </w:tc>
        <w:tc>
          <w:tcPr>
            <w:tcW w:type="dxa" w:w="1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15</w:t>
            </w:r>
          </w:p>
        </w:tc>
        <w:tc>
          <w:tcPr>
            <w:tcW w:type="dxa" w:w="259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Promotore del progetto</w:t>
            </w:r>
          </w:p>
        </w:tc>
      </w:tr>
      <w:tr>
        <w:trPr>
          <w:cantSplit/>
        </w:trPr>
        <w:tc>
          <w:tcPr>
            <w:tcW w:type="dxa" w:w="84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5</w:t>
            </w:r>
          </w:p>
        </w:tc>
        <w:tc>
          <w:tcPr>
            <w:tcW w:type="dxa" w:w="218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Validazione e verifica</w:t>
            </w:r>
          </w:p>
        </w:tc>
        <w:tc>
          <w:tcPr>
            <w:tcW w:type="dxa" w:w="1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75</w:t>
            </w:r>
          </w:p>
        </w:tc>
        <w:tc>
          <w:tcPr>
            <w:tcW w:type="dxa" w:w="199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Verifica del rapporto</w:t>
            </w:r>
          </w:p>
        </w:tc>
        <w:tc>
          <w:tcPr>
            <w:tcW w:type="dxa" w:w="1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60</w:t>
            </w:r>
          </w:p>
        </w:tc>
        <w:tc>
          <w:tcPr>
            <w:tcW w:type="dxa" w:w="259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Ente di validazione e verifica</w:t>
            </w:r>
          </w:p>
        </w:tc>
      </w:tr>
      <w:tr>
        <w:trPr>
          <w:cantSplit/>
        </w:trPr>
        <w:tc>
          <w:tcPr>
            <w:tcW w:type="dxa" w:w="84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6</w:t>
            </w:r>
          </w:p>
        </w:tc>
        <w:tc>
          <w:tcPr>
            <w:tcW w:type="dxa" w:w="218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Seconda verifica documentale</w:t>
            </w:r>
          </w:p>
        </w:tc>
        <w:tc>
          <w:tcPr>
            <w:tcW w:type="dxa" w:w="1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15</w:t>
            </w:r>
          </w:p>
        </w:tc>
        <w:tc>
          <w:tcPr>
            <w:tcW w:type="dxa" w:w="199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Seconda verifica documentale</w:t>
            </w:r>
          </w:p>
        </w:tc>
        <w:tc>
          <w:tcPr>
            <w:tcW w:type="dxa" w:w="1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10</w:t>
            </w:r>
          </w:p>
        </w:tc>
        <w:tc>
          <w:tcPr>
            <w:tcW w:type="dxa" w:w="259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Promotore del programma</w:t>
            </w:r>
          </w:p>
        </w:tc>
      </w:tr>
      <w:tr>
        <w:trPr>
          <w:cantSplit/>
        </w:trPr>
        <w:tc>
          <w:tcPr>
            <w:tcW w:type="dxa" w:w="84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7</w:t>
            </w:r>
          </w:p>
        </w:tc>
        <w:tc>
          <w:tcPr>
            <w:tcW w:type="dxa" w:w="218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Chiusura</w:t>
            </w:r>
          </w:p>
        </w:tc>
        <w:tc>
          <w:tcPr>
            <w:tcW w:type="dxa" w:w="1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0</w:t>
            </w:r>
          </w:p>
        </w:tc>
        <w:tc>
          <w:tcPr>
            <w:tcW w:type="dxa" w:w="199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Chiusura</w:t>
            </w:r>
          </w:p>
        </w:tc>
        <w:tc>
          <w:tcPr>
            <w:tcW w:type="dxa" w:w="1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0</w:t>
            </w:r>
          </w:p>
        </w:tc>
        <w:tc>
          <w:tcPr>
            <w:tcW w:type="dxa" w:w="259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Promotore del programma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I giorni sono le durate standard: la Fondazione può modificarle. Fa sempre fede la scadenza mostrata nella fase.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Ogni fase ha uno stato: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1"/>
        <w:gridCol w:w="7097"/>
      </w:tblGrid>
      <w:tr>
        <w:trPr>
          <w:tblHeader/>
        </w:trPr>
        <w:tc>
          <w:tcPr>
            <w:tcW w:type="dxa" w:w="2541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Stato</w:t>
            </w:r>
          </w:p>
        </w:tc>
        <w:tc>
          <w:tcPr>
            <w:tcW w:type="dxa" w:w="7097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Significato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Non iniziata</w:t>
            </w:r>
          </w:p>
        </w:tc>
        <w:tc>
          <w:tcPr>
            <w:tcW w:type="dxa" w:w="7097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La fase non è ancora stata aperta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In corso</w:t>
            </w:r>
          </w:p>
        </w:tc>
        <w:tc>
          <w:tcPr>
            <w:tcW w:type="dxa" w:w="7097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La fase è aperta e ha una scadenza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In attesa di integrazione</w:t>
            </w:r>
          </w:p>
        </w:tc>
        <w:tc>
          <w:tcPr>
            <w:tcW w:type="dxa" w:w="7097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La Fondazione vi ha chiesto un documento o un chiarimento (capitolo 6)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Completata</w:t>
            </w:r>
          </w:p>
        </w:tc>
        <w:tc>
          <w:tcPr>
            <w:tcW w:type="dxa" w:w="7097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La fase è chiusa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La fase aperta ha il bordo verde e il conto alla rovescia: «N gg alla scadenza» (in arancione negli ultimi 3 giorni), «scade oggi» oppure «scaduta da N gg» in rosso. Sotto il nome trovate, quando presenti, il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Responsabile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della fase, la data di apertura, la scadenza e la data di chiusura.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Dentro ogni fase trovate, quando presenti: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le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Richieste di integrazione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(capitolo 6);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le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Note della Fondazione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 indicazioni che la Fondazione vi lascia su quella fase, con data e ora;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i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Modelli da scaricare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 moduli o fac-simile da compilare per quella fase;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i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Documenti richiesti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 l'elenco dei documenti attesi in quella fase, con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✓ presente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oppure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○ manca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i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Documenti della fase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Documenti richiesti dalla Guida al Programma.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Di norma le fasi chiedono questi documenti. L'elenco può cambiare: fa fede quello mostrato nella fase.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9"/>
        <w:gridCol w:w="4414"/>
        <w:gridCol w:w="4415"/>
      </w:tblGrid>
      <w:tr>
        <w:trPr>
          <w:tblHeader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Progetto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Rapporto di Monitoraggio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Modulo di descrizione del progetto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Modulo di descrizione del rapporto di monitoraggio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3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Contratto con l'ente di validazione e verifica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Contratto con l'ente di validazione e verifica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4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Documento di proprietà del progetto; Documento riassuntivo delle risultanze del periodo di feedback pubblico (anche se non ci sono state osservazioni)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Documento riassuntivo delle risultanze del periodo di feedback pubblico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5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Rapporto di validazione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Rapporto di verifica; Dichiarazione relativa all'effettività della generazione dei crediti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Verifica sull'accuratezza e accertamenti.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Nelle due verifiche documentali (fasi 2 e 6) la Fondazione può avviare una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verifica sull'accuratezza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che aggiunge 15 giorni alla scadenza. Dopo può chiedere fino a 3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ulteriori accertamenti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di 10 giorni ciascuno. Ogni volta ricevete una notifica con la nuova scadenza. Nella fase compare la scritta «Verifica sull'accuratezza avviata · accertamenti: N di 3». Se dopo il terzo accertamento le revisioni non bastano, la richiesta non è accettata e si può ripresentare dopo 6 mesi.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Ente di validazione e verifica.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Quando la Fondazione assegna l'Ente di validazione e verifica al vostro Progetto, il suo nome compare nell'intestazione della pratica.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Pratica sospesa, annullata, chiusa o ritirata.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In alto compare un avviso: finché la pratica non torna attiva non si caricano documenti (il pulsante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+ Carica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non c'è) e non si risponde alle integrazioni. Potete sempre consultare tutto e scrivere alla Fondazione nella sezione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Messaggi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 La sospensione ferma anche l'emissione dei crediti: la Fondazione la usa, ad esempio, per un controllo di qualità. Una pratica chiusa, annullata o ritirata riporta la data «Da conservare fino al» (12 anni).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Ritiro e rientro del Progetto.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Un Progetto si ritira dal Programma con una lettera di tutti i promotori del progetto (nome, ID del progetto, motivo). La Fondazione lo registra e il Progetto passa a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Ritirato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 Il Progetto resta visibile sulla pagina pubblica, ma non emette più crediti e non può avere nuovi Rapporti. Per rientrare nel Programma serve una nuova lettera: la Fondazione registra il rientro e il Progetto torna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Attiva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 In entrambi i casi ricevete una notifica.</w:t>
      </w:r>
    </w:p>
    <w:p>
      <w:pPr>
        <w:pStyle w:val="Heading1"/>
        <w:pageBreakBefore/>
        <w:pBdr>
          <w:bottom w:val="single" w:color="2F5D3A" w:sz="12" w:space="6"/>
        </w:pBdr>
        <w:spacing w:after="240" w:before="0"/>
      </w:pPr>
      <w:bookmarkStart w:name="cap5" w:id="1"/>
      <w:r>
        <w:rPr>
          <w:rFonts w:ascii="Arial" w:cs="Arial" w:eastAsia="Arial" w:hAnsi="Arial"/>
          <w:b/>
          <w:bCs/>
          <w:color w:val="2F5D3A"/>
          <w:sz w:val="34"/>
          <w:szCs w:val="34"/>
        </w:rPr>
        <w:t xml:space="preserve">5. Caricare documenti</w:t>
      </w:r>
      <w:bookmarkEnd w:id="1"/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I documenti si caricano in due punti della pratica: in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Documenti della fase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dentro la fase a cui si riferiscono, oppure in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Documenti generali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in fondo alla pratica, per quelli non legati a una fase.</w:t>
      </w:r>
    </w:p>
    <w:p>
      <w:pPr>
        <w:pStyle w:val="ListParagraph"/>
        <w:numPr>
          <w:ilvl w:val="0"/>
          <w:numId w:val="5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Aprite la pratica e individuate il riquadro giusto (fase o generali).</w:t>
      </w:r>
    </w:p>
    <w:p>
      <w:pPr>
        <w:pStyle w:val="ListParagraph"/>
        <w:numPr>
          <w:ilvl w:val="0"/>
          <w:numId w:val="5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Se la fase ha documenti richiesti, scegliete in «Che documento state caricando?» quale state caricando: così la fase segna il documento come presente.</w:t>
      </w:r>
    </w:p>
    <w:p>
      <w:pPr>
        <w:pStyle w:val="ListParagraph"/>
        <w:numPr>
          <w:ilvl w:val="0"/>
          <w:numId w:val="5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Premete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+ Carica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e scegliete il file dal computer.</w:t>
      </w:r>
    </w:p>
    <w:p>
      <w:pPr>
        <w:pStyle w:val="ListParagraph"/>
        <w:numPr>
          <w:ilvl w:val="0"/>
          <w:numId w:val="5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Attendete: il pulsante mostra «Caricamento…». A fine caricamento il documento compare nell'elenco.</w:t>
      </w:r>
    </w:p>
    <w:p>
      <w:pPr>
        <w:spacing w:after="60"/>
      </w:pP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Quando si può caricare.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Nelle fasi aperte (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In corso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o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In attesa di integrazione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) e tra i documenti generali. In una fase completata o non ancora aperta il pulsante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+ Carica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non c'è: se dovete inviare ancora qualcosa, scrivete alla Fondazione nella sezione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Messaggi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Formati accettati: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PDF (anche firmati .p7m), Word, Excel, OpenDocument, RTF, CSV, TXT, JPG, PNG, ZIP.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Dimensione massima: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50 MB per file.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Versioni.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Un documento non viene mai sovrascritto: se caricate un file con lo stesso nome, diventa la nuova versione (v2, v3…) con l'etichetta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corrente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 Le versioni precedenti restano visibili in grigio e si possono scaricare.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Scaricare.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Ogni documento ha il pulsante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Scarica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 il file si apre in una nuova scheda. Le etichette accanto al nome indicano la versione, se è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corrente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la tipologia e se è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pubblico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Chi vede cosa.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I documenti che caricate sono visibili a voi e alla Fondazione, mai pubblici. La Fondazione può mettervi a disposizione altri documenti, anche pubblici: i documenti pubblici compaiono anche sulla pagina pubblica del Programma (capitolo 15). Il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Contratto con l'ente di validazione e verifica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e il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Modulo di descrizione del progetto – versione privata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non sono mai pubblici.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Messaggio</w:t>
            </w:r>
          </w:p>
        </w:tc>
        <w:tc>
          <w:tcPr>
            <w:tcW w:type="dxa" w:w="481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Cosa fare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Formato non ammesso (.xxx)</w:t>
            </w:r>
          </w:p>
        </w:tc>
        <w:tc>
          <w:tcPr>
            <w:tcW w:type="dxa" w:w="481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Salvate il file in uno dei formati accettati, ad esempio PDF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File troppo grande (… MB): il limite è 50 MB</w:t>
            </w:r>
          </w:p>
        </w:tc>
        <w:tc>
          <w:tcPr>
            <w:tcW w:type="dxa" w:w="481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Comprimete il file in ZIP o dividetelo in più parti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Il file è vuoto</w:t>
            </w:r>
          </w:p>
        </w:tc>
        <w:tc>
          <w:tcPr>
            <w:tcW w:type="dxa" w:w="481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Controllate di aver scelto il file giusto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Il contenuto del file non corrisponde a un file .xxx</w:t>
            </w:r>
          </w:p>
        </w:tc>
        <w:tc>
          <w:tcPr>
            <w:tcW w:type="dxa" w:w="481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Il file non è del tipo indicato dal nome: riapritelo e salvatelo di nuovo nel formato corretto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Operazione non consentita (la pratica potrebbe essere sospesa, annullata o chiusa)</w:t>
            </w:r>
          </w:p>
        </w:tc>
        <w:tc>
          <w:tcPr>
            <w:tcW w:type="dxa" w:w="481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Con la pratica non attiva, o nella fase già chiusa, non si caricano documenti: contattate la Fondazione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2F5D3A" w:sz="12" w:space="6"/>
        </w:pBdr>
        <w:spacing w:after="240" w:before="0"/>
      </w:pPr>
      <w:bookmarkStart w:name="cap6" w:id="1"/>
      <w:r>
        <w:rPr>
          <w:rFonts w:ascii="Arial" w:cs="Arial" w:eastAsia="Arial" w:hAnsi="Arial"/>
          <w:b/>
          <w:bCs/>
          <w:color w:val="2F5D3A"/>
          <w:sz w:val="34"/>
          <w:szCs w:val="34"/>
        </w:rPr>
        <w:t xml:space="preserve">6. Rispondere a una richiesta di integrazione</w:t>
      </w:r>
      <w:bookmarkEnd w:id="1"/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Quando la Fondazione ha bisogno di un documento o di un chiarimento apre una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richiesta di integrazione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 ricevete una notifica «Nuova richiesta di integrazione» e la fase passa a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In attesa di integrazione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6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Aprite la pratica e la fase indicata: la richiesta è nel riquadro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Richieste di integrazione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con l'etichetta rossa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In attesa del Cliente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6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Leggete la descrizione.</w:t>
      </w:r>
    </w:p>
    <w:p>
      <w:pPr>
        <w:pStyle w:val="ListParagraph"/>
        <w:numPr>
          <w:ilvl w:val="0"/>
          <w:numId w:val="6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Se volete, scrivete una spiegazione nel campo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Nota per la Fondazione (facoltativa)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6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Premete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Carica integrazione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e scegliete il file. Il documento viene caricato nella fase e la risposta viene registrata in un unico passaggio.</w:t>
      </w:r>
    </w:p>
    <w:p>
      <w:pPr>
        <w:pStyle w:val="ListParagraph"/>
        <w:numPr>
          <w:ilvl w:val="0"/>
          <w:numId w:val="6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L'etichetta diventa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Risposta ricevuta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 Quando la Fondazione la accetta, la richiesta diventa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Chiusa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</w:t>
      </w:r>
    </w:p>
    <w:p>
      <w:pPr>
        <w:spacing w:after="60"/>
      </w:pP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Avete sbagliato file? Finché la richiesta non è chiusa potete premere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Carica di nuovo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e inviarne un altro.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Quando la fase è chiusa compare la scritta «La fase è chiusa: non è più possibile integrare». Se la pratica è sospesa, annullata, chiusa o ritirata, i pulsanti di risposta non compaiono: contattate la Fondazione.</w:t>
      </w:r>
    </w:p>
    <w:p>
      <w:pPr>
        <w:pStyle w:val="Heading1"/>
        <w:pageBreakBefore/>
        <w:pBdr>
          <w:bottom w:val="single" w:color="2F5D3A" w:sz="12" w:space="6"/>
        </w:pBdr>
        <w:spacing w:after="240" w:before="0"/>
      </w:pPr>
      <w:bookmarkStart w:name="cap7" w:id="1"/>
      <w:r>
        <w:rPr>
          <w:rFonts w:ascii="Arial" w:cs="Arial" w:eastAsia="Arial" w:hAnsi="Arial"/>
          <w:b/>
          <w:bCs/>
          <w:color w:val="2F5D3A"/>
          <w:sz w:val="34"/>
          <w:szCs w:val="34"/>
        </w:rPr>
        <w:t xml:space="preserve">7. Feedback pubblico</w:t>
      </w:r>
      <w:bookmarkEnd w:id="1"/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Nella fase 3 la Fondazione apre il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feedback pubblico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 per un periodo stabilito chiunque può leggere la documentazione e inviare osservazioni. Il periodo dura 30 giorni per il Progetto e 20 giorni per ogni Rapporto di Monitoraggio. All'apertura ricevete la notifica «Aperto il periodo di feedback pubblico». Il riquadro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Feedback pubblico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si trova nel dettaglio della pratica e mostra il periodo, i giorni rimanenti e il documento pubblicato.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Dove si partecipa.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Il feedback pubblico si svolge sulla pagina pubblica del portale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Feedback pubblico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</w:t>
      </w:r>
      <w:hyperlink w:history="1" r:id="rIdym7xkffprl__ums-ug96a">
        <w:r>
          <w:rPr>
            <w:rFonts w:ascii="Arial" w:cs="Arial" w:eastAsia="Arial" w:hAnsi="Arial"/>
            <w:color w:val="2F5D3A"/>
            <w:sz w:val="21"/>
            <w:szCs w:val="21"/>
            <w:u w:val="single"/>
          </w:rPr>
          <w:t xml:space="preserve">portale-cwp.vercel.app/consultazioni</w:t>
        </w:r>
      </w:hyperlink>
      <w:r>
        <w:rPr>
          <w:rFonts w:ascii="Arial" w:cs="Arial" w:eastAsia="Arial" w:hAnsi="Arial"/>
          <w:color w:val="1B2118"/>
          <w:sz w:val="21"/>
          <w:szCs w:val="21"/>
        </w:rPr>
        <w:t xml:space="preserve">), raggiungibile senza credenziali anche dal link nella pagina di accesso. Chiunque può leggere il documento e inviare un'osservazione: per farla arrivare deve confermare il proprio indirizzo email con il collegamento che riceve. Il link alla pagina pubblica del vostro Progetto o Rapporto compare nel riquadro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Feedback pubblico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 potete diffonderlo ai cittadini.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Osservazioni.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La Fondazione modera le osservazioni: voi vedete solo quelle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Pubblicate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o già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Risposte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con il numero (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Osservazione n. 3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), firmate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Partecipante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oppure con il nome, se l'autore ha scelto di pubblicarlo. Se un'osservazione ha un allegato compare il collegamento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Allegato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 Quando la Fondazione pubblica una nuova osservazione ricevete la notifica «Nuova osservazione a cui rispondere».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Errata corrige.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Se il documento pubblicato contiene un errore, la Fondazione pubblica un'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errata corrige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(con l'eventuale documento corretto) e ricevete la notifica. In alcuni casi la Fondazione può far ripartire il periodo, con la stessa durata (30 giorni per il Progetto, 20 per il Rapporto): la nuova data di chiusura compare nell'errata corrige.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Rispondere a un'osservazione:</w:t>
      </w:r>
    </w:p>
    <w:p>
      <w:pPr>
        <w:pStyle w:val="ListParagraph"/>
        <w:numPr>
          <w:ilvl w:val="0"/>
          <w:numId w:val="7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Premete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Rispondi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sotto l'osservazione.</w:t>
      </w:r>
    </w:p>
    <w:p>
      <w:pPr>
        <w:pStyle w:val="ListParagraph"/>
        <w:numPr>
          <w:ilvl w:val="0"/>
          <w:numId w:val="7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Scrivete la risposta nel campo «Scrivi la risposta all'osservazione…».</w:t>
      </w:r>
    </w:p>
    <w:p>
      <w:pPr>
        <w:pStyle w:val="ListParagraph"/>
        <w:numPr>
          <w:ilvl w:val="0"/>
          <w:numId w:val="7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Premete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Salva risposta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 L'osservazione diventa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Risposto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e la risposta compare sotto il testo.</w:t>
      </w:r>
    </w:p>
    <w:p>
      <w:pPr>
        <w:spacing w:after="60"/>
      </w:pP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Per correggere una risposta premete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Modifica risposta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 Si può rispondere anche dopo la chiusura del feedback pubblico, durante la fase 4. Nella fase 4 si carica anche il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Documento riassuntivo delle risultanze del periodo di feedback pubblico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anche se non ci sono state osservazioni.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Se volete inviare anche voi un'osservazione, usate la pagina pubblica come tutti i partecipanti.</w:t>
      </w:r>
    </w:p>
    <w:p>
      <w:pPr>
        <w:pStyle w:val="Heading1"/>
        <w:pageBreakBefore/>
        <w:pBdr>
          <w:bottom w:val="single" w:color="2F5D3A" w:sz="12" w:space="6"/>
        </w:pBdr>
        <w:spacing w:after="240" w:before="0"/>
      </w:pPr>
      <w:bookmarkStart w:name="cap8" w:id="1"/>
      <w:r>
        <w:rPr>
          <w:rFonts w:ascii="Arial" w:cs="Arial" w:eastAsia="Arial" w:hAnsi="Arial"/>
          <w:b/>
          <w:bCs/>
          <w:color w:val="2F5D3A"/>
          <w:sz w:val="34"/>
          <w:szCs w:val="34"/>
        </w:rPr>
        <w:t xml:space="preserve">8. Messaggi con la Fondazione</w:t>
      </w:r>
      <w:bookmarkEnd w:id="1"/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In ogni pratica, sotto le fasi, la sezione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Messaggi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è una conversazione tra il vostro ente e Fondazione Operate su quella pratica.</w:t>
      </w:r>
    </w:p>
    <w:p>
      <w:pPr>
        <w:pStyle w:val="ListParagraph"/>
        <w:numPr>
          <w:ilvl w:val="0"/>
          <w:numId w:val="8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Scrivete il testo nel campo «Scrivi un messaggio…».</w:t>
      </w:r>
    </w:p>
    <w:p>
      <w:pPr>
        <w:pStyle w:val="ListParagraph"/>
        <w:numPr>
          <w:ilvl w:val="0"/>
          <w:numId w:val="8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Premete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Invia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</w:t>
      </w:r>
    </w:p>
    <w:p>
      <w:pPr>
        <w:spacing w:after="60"/>
      </w:pP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I vostri messaggi compaiono a destra; quelli della Fondazione, firmati «Fondazione Operate», a sinistra, con data e ora. A ogni messaggio l'altra parte riceve una notifica nel portale e un'email. I messaggi non si possono modificare né cancellare. Sulle pratiche annullate non si può più scrivere.</w:t>
      </w:r>
    </w:p>
    <w:p>
      <w:pPr>
        <w:pStyle w:val="Heading1"/>
        <w:pageBreakBefore/>
        <w:pBdr>
          <w:bottom w:val="single" w:color="2F5D3A" w:sz="12" w:space="6"/>
        </w:pBdr>
        <w:spacing w:after="240" w:before="0"/>
      </w:pPr>
      <w:bookmarkStart w:name="cap9" w:id="1"/>
      <w:r>
        <w:rPr>
          <w:rFonts w:ascii="Arial" w:cs="Arial" w:eastAsia="Arial" w:hAnsi="Arial"/>
          <w:b/>
          <w:bCs/>
          <w:color w:val="2F5D3A"/>
          <w:sz w:val="34"/>
          <w:szCs w:val="34"/>
        </w:rPr>
        <w:t xml:space="preserve">9. Rapporti di monitoraggio e pagamenti</w:t>
      </w:r>
      <w:bookmarkEnd w:id="1"/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Ogni anno si presenta un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Rapporto di Monitoraggio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 Il numero massimo dipende dal periodo di riferimento del Progetto: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04"/>
        <w:gridCol w:w="4234"/>
      </w:tblGrid>
      <w:tr>
        <w:trPr>
          <w:tblHeader/>
        </w:trPr>
        <w:tc>
          <w:tcPr>
            <w:tcW w:type="dxa" w:w="540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Periodo di riferimento</w:t>
            </w:r>
          </w:p>
        </w:tc>
        <w:tc>
          <w:tcPr>
            <w:tcW w:type="dxa" w:w="423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Rapporti al massimo</w:t>
            </w:r>
          </w:p>
        </w:tc>
      </w:tr>
      <w:tr>
        <w:trPr>
          <w:cantSplit/>
        </w:trPr>
        <w:tc>
          <w:tcPr>
            <w:tcW w:type="dxa" w:w="540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10 anni (una volta)</w:t>
            </w:r>
          </w:p>
        </w:tc>
        <w:tc>
          <w:tcPr>
            <w:tcW w:type="dxa" w:w="423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540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7 anni rinnovabili 3 volte</w:t>
            </w:r>
          </w:p>
        </w:tc>
        <w:tc>
          <w:tcPr>
            <w:tcW w:type="dxa" w:w="423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21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Ogni Rapporto è una pratica a sé, con i suoi documenti e le stesse 7 fasi del Progetto, compreso il feedback pubblico di 20 giorni (tabella del capitolo 4). Lo crea la Fondazione; la fase 1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Registrazione del rapporto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è già in corso quando il Rapporto nasce. Un Progetto ritirato o annullato non può avere nuovi Rapporti.</w:t>
      </w:r>
    </w:p>
    <w:p>
      <w:pPr>
        <w:pStyle w:val="ListParagraph"/>
        <w:numPr>
          <w:ilvl w:val="0"/>
          <w:numId w:val="9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Aprite il Progetto: in basso trovate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Rapporti di Monitoraggio (N/10)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oppure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(N/21)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9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Fate clic su un Rapporto («Anno N · codice») per aprirlo.</w:t>
      </w:r>
    </w:p>
    <w:p>
      <w:pPr>
        <w:pStyle w:val="ListParagraph"/>
        <w:numPr>
          <w:ilvl w:val="0"/>
          <w:numId w:val="9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Dentro il Rapporto lavorate come in un Progetto: fasi, documenti, integrazioni, feedback pubblico.</w:t>
      </w:r>
    </w:p>
    <w:p>
      <w:pPr>
        <w:pStyle w:val="ListParagraph"/>
        <w:numPr>
          <w:ilvl w:val="0"/>
          <w:numId w:val="9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Per tornare al Progetto premete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← Torna al Progetto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</w:t>
      </w:r>
    </w:p>
    <w:p>
      <w:pPr>
        <w:spacing w:after="60"/>
      </w:pP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Il codice del Rapporto è quello del Progetto con l'anno, ad esempio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CWP-2026-0001-RM1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Pagamenti.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In ogni pratica la sezione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Pagamenti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mostra le voci previste dalla Fondazione con importo, scadenza e stato: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Da pagare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Scaduto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o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Pagato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con la data in cui la Fondazione ha registrato il pagamento. Accanto a ogni voce è indicata la voce dello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Schema tariffario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del Programma: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Tariffa di iscrizione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Tariffa di registrazione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Emissione dei crediti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o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Vendita dei crediti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 In alto trovate il riepilogo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Totale · pagato · da pagare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 La sezione è in sola lettura: i pagamenti si effettuano fuori dal portale, secondo le indicazioni della Fondazione, che poi li registra. Quando la Fondazione aggiunge una voce ricevete una notifica. Fatture e documenti amministrativi, quando caricati dalla Fondazione, si trovano in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I tuoi documenti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Fatture scadute.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Se una voce è scaduta e non è stata pagata, le attività successive sono sospese: la Fondazione non può aprire nuove fasi finché il pagamento non viene registrato. Nel riquadro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Pagamenti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compare un avviso rosso. La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Tariffa di iscrizione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va saldata prima della fase 5 (validazione o verifica).</w:t>
      </w:r>
    </w:p>
    <w:p>
      <w:pPr>
        <w:pStyle w:val="Heading1"/>
        <w:pageBreakBefore/>
        <w:pBdr>
          <w:bottom w:val="single" w:color="2F5D3A" w:sz="12" w:space="6"/>
        </w:pBdr>
        <w:spacing w:after="240" w:before="0"/>
      </w:pPr>
      <w:bookmarkStart w:name="cap10" w:id="1"/>
      <w:r>
        <w:rPr>
          <w:rFonts w:ascii="Arial" w:cs="Arial" w:eastAsia="Arial" w:hAnsi="Arial"/>
          <w:b/>
          <w:bCs/>
          <w:color w:val="2F5D3A"/>
          <w:sz w:val="34"/>
          <w:szCs w:val="34"/>
        </w:rPr>
        <w:t xml:space="preserve">10. Crediti emessi</w:t>
      </w:r>
      <w:bookmarkEnd w:id="1"/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Nel dettaglio di ogni Rapporto di Monitoraggio il riquadro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Crediti emessi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mostra i crediti di carbonio emessi per quel Rapporto. Il riquadro è in sola lettura.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I crediti si emettono solo dopo la registrazione del Rapporto, cioè quando la fase 6 è completata. Prima compare la scritta «I crediti si emettono dopo la registrazione del Rapporto (seconda verifica documentale completata)». Non si emettono crediti se il Rapporto o il Progetto è sospeso, annullato o ritirato.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Ogni emissione è un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lotto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 Per ogni lotto vedete: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il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codice del lotto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 il codice del Rapporto con L1, L2…, ad esempio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CWP-2026-0001-RM1-L1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il numero di crediti e la data di emissione;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gli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ID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dei crediti, «da … a …»: ogni credito ha un ID univoco, ad esempio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CWP-2026-0001-RM1-L1-000001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il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registro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su cui il lotto è caricato e da quale data;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lo stato: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da caricare sul registro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attivi N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(disponibili alla vendita),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ritirati M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(cancellati dopo la vendita).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Sotto il lotto compaiono le eventuali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vendite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 data, numero di crediti, beneficiario, obiettivo di compensazione e ID. Accanto c'è «Ritirati: cancellazione tombale del …» oppure «In attesa della dichiarazione di cancellazione del registro».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Quando la Fondazione emette un lotto ricevete la notifica «Crediti emessi». Le tariffe di emissione e di vendita compaiono nella sezione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Pagamenti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del Rapporto. I crediti emessi sono visibili anche sulla pagina pubblica del Programma (capitolo 15).</w:t>
      </w:r>
    </w:p>
    <w:p>
      <w:pPr>
        <w:pStyle w:val="Heading1"/>
        <w:pageBreakBefore/>
        <w:pBdr>
          <w:bottom w:val="single" w:color="2F5D3A" w:sz="12" w:space="6"/>
        </w:pBdr>
        <w:spacing w:after="240" w:before="0"/>
      </w:pPr>
      <w:bookmarkStart w:name="cap11" w:id="1"/>
      <w:r>
        <w:rPr>
          <w:rFonts w:ascii="Arial" w:cs="Arial" w:eastAsia="Arial" w:hAnsi="Arial"/>
          <w:b/>
          <w:bCs/>
          <w:color w:val="2F5D3A"/>
          <w:sz w:val="34"/>
          <w:szCs w:val="34"/>
        </w:rPr>
        <w:t xml:space="preserve">11. I tuoi documenti</w:t>
      </w:r>
      <w:bookmarkEnd w:id="1"/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La pagina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I tuoi documenti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(menu in alto) raccoglie in un solo posto i documenti generali di tutte le vostre pratiche, Progetti e Rapporti: contratto, allegati, documentazione amministrativa e così via. I documenti delle singole fasi restano dentro le fasi.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I documenti sono raggruppati per tipologia, con i nomi ufficiali del Programma (elenco sotto). I file caricati da voi senza tipologia finiscono in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Senza tipologia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Per ogni documento vedete nome, versione, codice della pratica, ente e data, e il pulsante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Scarica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Di norma vedete solo la versione corrente. Per vedere anche le precedenti spuntate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Mostra anche le versioni precedenti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Tipologie di documento.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Modulo di descrizione del progetto; Modulo di descrizione del progetto – versione privata; Documento di proprietà del progetto; Contratto con l'ente di validazione e verifica; Documento riassuntivo delle risultanze del periodo di feedback pubblico; Rapporto di validazione; Modulo di descrizione del rapporto di monitoraggio; Rapporto di verifica; Dichiarazione relativa all'effettività della generazione dei crediti; Modulo di delega di rappresentanza; Modulo di adesione a un progetto; Modulo di recesso da un progetto; Richiesta di ritiro o di rientro del progetto; Prova di attività del progetto; Comunicazione di vendita dei crediti; Dichiarazione di cancellazione tombale dei crediti; Documentazione amministrativa; Rapporto di calcolo dei crediti; Integrazione; Altro. I documenti caricati prima con altre tipologie compaiono in fondo all'elenco.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Modelli da scaricare.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Se la Fondazione ha pubblicato modelli generali (moduli, fac-simile), li trovate in questa pagina con il pulsante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Scarica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 I modelli che riguardano una fase precisa compaiono invece dentro quella fase, nella pratica.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In fondo alla pagina, nel riquadro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Manuale del portale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aprite e scaricate questo manuale in PDF.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Da questa pagina non si caricano documenti: per caricare usate la pratica (capitolo 5).</w:t>
      </w:r>
    </w:p>
    <w:p>
      <w:pPr>
        <w:pStyle w:val="Heading1"/>
        <w:pageBreakBefore/>
        <w:pBdr>
          <w:bottom w:val="single" w:color="2F5D3A" w:sz="12" w:space="6"/>
        </w:pBdr>
        <w:spacing w:after="240" w:before="0"/>
      </w:pPr>
      <w:bookmarkStart w:name="cap12" w:id="1"/>
      <w:r>
        <w:rPr>
          <w:rFonts w:ascii="Arial" w:cs="Arial" w:eastAsia="Arial" w:hAnsi="Arial"/>
          <w:b/>
          <w:bCs/>
          <w:color w:val="2F5D3A"/>
          <w:sz w:val="34"/>
          <w:szCs w:val="34"/>
        </w:rPr>
        <w:t xml:space="preserve">12. Notifiche ed email</w:t>
      </w:r>
      <w:bookmarkEnd w:id="1"/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Il portale vi avvisa degli eventi delle vostre pratiche con la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campanella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in alto e con un'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email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all'indirizzo con cui accedete.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Il numero rosso sulla campanella indica le notifiche non lette.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Fate clic sulla campanella per vedere l'elenco. Fate clic su una notifica per aprire direttamente la pratica: la notifica diventa letta.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Segna tutte come lette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azzera il contatore.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Ogni email ha il pulsante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Apri nel portale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che porta alla pratica.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40"/>
        <w:gridCol w:w="4998"/>
      </w:tblGrid>
      <w:tr>
        <w:trPr>
          <w:tblHeader/>
        </w:trPr>
        <w:tc>
          <w:tcPr>
            <w:tcW w:type="dxa" w:w="464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Notifica</w:t>
            </w:r>
          </w:p>
        </w:tc>
        <w:tc>
          <w:tcPr>
            <w:tcW w:type="dxa" w:w="499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Quando arriva</w:t>
            </w:r>
          </w:p>
        </w:tc>
      </w:tr>
      <w:tr>
        <w:trPr>
          <w:cantSplit/>
        </w:trPr>
        <w:tc>
          <w:tcPr>
            <w:tcW w:type="dxa" w:w="464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Aperta la fase «…» — scadenza …</w:t>
            </w:r>
          </w:p>
        </w:tc>
        <w:tc>
          <w:tcPr>
            <w:tcW w:type="dxa" w:w="499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La Fondazione apre una fase</w:t>
            </w:r>
          </w:p>
        </w:tc>
      </w:tr>
      <w:tr>
        <w:trPr>
          <w:cantSplit/>
        </w:trPr>
        <w:tc>
          <w:tcPr>
            <w:tcW w:type="dxa" w:w="464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Completata la fase «…»</w:t>
            </w:r>
          </w:p>
        </w:tc>
        <w:tc>
          <w:tcPr>
            <w:tcW w:type="dxa" w:w="499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La Fondazione chiude una fase</w:t>
            </w:r>
          </w:p>
        </w:tc>
      </w:tr>
      <w:tr>
        <w:trPr>
          <w:cantSplit/>
        </w:trPr>
        <w:tc>
          <w:tcPr>
            <w:tcW w:type="dxa" w:w="464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Avviata la verifica sull'accuratezza nella fase «…» — nuova scadenza …</w:t>
            </w:r>
          </w:p>
        </w:tc>
        <w:tc>
          <w:tcPr>
            <w:tcW w:type="dxa" w:w="499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La Fondazione avvia la verifica sull'accuratezza (fasi 2 e 6)</w:t>
            </w:r>
          </w:p>
        </w:tc>
      </w:tr>
      <w:tr>
        <w:trPr>
          <w:cantSplit/>
        </w:trPr>
        <w:tc>
          <w:tcPr>
            <w:tcW w:type="dxa" w:w="464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Ulteriore accertamento (n. …) nella fase «…» — nuova scadenza …</w:t>
            </w:r>
          </w:p>
        </w:tc>
        <w:tc>
          <w:tcPr>
            <w:tcW w:type="dxa" w:w="499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La Fondazione chiede un ulteriore accertamento</w:t>
            </w:r>
          </w:p>
        </w:tc>
      </w:tr>
      <w:tr>
        <w:trPr>
          <w:cantSplit/>
        </w:trPr>
        <w:tc>
          <w:tcPr>
            <w:tcW w:type="dxa" w:w="464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Nuova richiesta di integrazione</w:t>
            </w:r>
          </w:p>
        </w:tc>
        <w:tc>
          <w:tcPr>
            <w:tcW w:type="dxa" w:w="499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Vi viene chiesto un documento o un chiarimento</w:t>
            </w:r>
          </w:p>
        </w:tc>
      </w:tr>
      <w:tr>
        <w:trPr>
          <w:cantSplit/>
        </w:trPr>
        <w:tc>
          <w:tcPr>
            <w:tcW w:type="dxa" w:w="464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Nuovo documento disponibile</w:t>
            </w:r>
          </w:p>
        </w:tc>
        <w:tc>
          <w:tcPr>
            <w:tcW w:type="dxa" w:w="499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La Fondazione carica un documento visibile a voi</w:t>
            </w:r>
          </w:p>
        </w:tc>
      </w:tr>
      <w:tr>
        <w:trPr>
          <w:cantSplit/>
        </w:trPr>
        <w:tc>
          <w:tcPr>
            <w:tcW w:type="dxa" w:w="464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Aperto il periodo di feedback pubblico — fino al …</w:t>
            </w:r>
          </w:p>
        </w:tc>
        <w:tc>
          <w:tcPr>
            <w:tcW w:type="dxa" w:w="499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Inizia il feedback pubblico sul vostro Progetto o Rapporto</w:t>
            </w:r>
          </w:p>
        </w:tc>
      </w:tr>
      <w:tr>
        <w:trPr>
          <w:cantSplit/>
        </w:trPr>
        <w:tc>
          <w:tcPr>
            <w:tcW w:type="dxa" w:w="464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Nuova osservazione a cui rispondere</w:t>
            </w:r>
          </w:p>
        </w:tc>
        <w:tc>
          <w:tcPr>
            <w:tcW w:type="dxa" w:w="499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La Fondazione pubblica un'osservazione del feedback pubblico</w:t>
            </w:r>
          </w:p>
        </w:tc>
      </w:tr>
      <w:tr>
        <w:trPr>
          <w:cantSplit/>
        </w:trPr>
        <w:tc>
          <w:tcPr>
            <w:tcW w:type="dxa" w:w="464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Errata corrige pubblicata nel feedback pubblico</w:t>
            </w:r>
          </w:p>
        </w:tc>
        <w:tc>
          <w:tcPr>
            <w:tcW w:type="dxa" w:w="499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La Fondazione corregge il documento pubblicato</w:t>
            </w:r>
          </w:p>
        </w:tc>
      </w:tr>
      <w:tr>
        <w:trPr>
          <w:cantSplit/>
        </w:trPr>
        <w:tc>
          <w:tcPr>
            <w:tcW w:type="dxa" w:w="464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Scadenza vicina: «fase» (data)</w:t>
            </w:r>
          </w:p>
        </w:tc>
        <w:tc>
          <w:tcPr>
            <w:tcW w:type="dxa" w:w="499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Mancano 3 giorni o meno alla scadenza di una fase</w:t>
            </w:r>
          </w:p>
        </w:tc>
      </w:tr>
      <w:tr>
        <w:trPr>
          <w:cantSplit/>
        </w:trPr>
        <w:tc>
          <w:tcPr>
            <w:tcW w:type="dxa" w:w="464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Fase scaduta: «fase»</w:t>
            </w:r>
          </w:p>
        </w:tc>
        <w:tc>
          <w:tcPr>
            <w:tcW w:type="dxa" w:w="499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La scadenza è passata</w:t>
            </w:r>
          </w:p>
        </w:tc>
      </w:tr>
      <w:tr>
        <w:trPr>
          <w:cantSplit/>
        </w:trPr>
        <w:tc>
          <w:tcPr>
            <w:tcW w:type="dxa" w:w="464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Pratica sospesa, riattivata, annullata o chiusa</w:t>
            </w:r>
          </w:p>
        </w:tc>
        <w:tc>
          <w:tcPr>
            <w:tcW w:type="dxa" w:w="499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Cambia lo stato della pratica, con la motivazione</w:t>
            </w:r>
          </w:p>
        </w:tc>
      </w:tr>
      <w:tr>
        <w:trPr>
          <w:cantSplit/>
        </w:trPr>
        <w:tc>
          <w:tcPr>
            <w:tcW w:type="dxa" w:w="464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Progetto ritirato dal Programma / Progetto rientrato nel Programma</w:t>
            </w:r>
          </w:p>
        </w:tc>
        <w:tc>
          <w:tcPr>
            <w:tcW w:type="dxa" w:w="499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La Fondazione registra il ritiro o il rientro del Progetto</w:t>
            </w:r>
          </w:p>
        </w:tc>
      </w:tr>
      <w:tr>
        <w:trPr>
          <w:cantSplit/>
        </w:trPr>
        <w:tc>
          <w:tcPr>
            <w:tcW w:type="dxa" w:w="464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Nuovo messaggio dalla Fondazione</w:t>
            </w:r>
          </w:p>
        </w:tc>
        <w:tc>
          <w:tcPr>
            <w:tcW w:type="dxa" w:w="499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La Fondazione vi scrive nella sezione Messaggi</w:t>
            </w:r>
          </w:p>
        </w:tc>
      </w:tr>
      <w:tr>
        <w:trPr>
          <w:cantSplit/>
        </w:trPr>
        <w:tc>
          <w:tcPr>
            <w:tcW w:type="dxa" w:w="464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Nuova nota della Fondazione</w:t>
            </w:r>
          </w:p>
        </w:tc>
        <w:tc>
          <w:tcPr>
            <w:tcW w:type="dxa" w:w="499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La Fondazione lascia una nota su una fase</w:t>
            </w:r>
          </w:p>
        </w:tc>
      </w:tr>
      <w:tr>
        <w:trPr>
          <w:cantSplit/>
        </w:trPr>
        <w:tc>
          <w:tcPr>
            <w:tcW w:type="dxa" w:w="464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Nuova voce di pagamento</w:t>
            </w:r>
          </w:p>
        </w:tc>
        <w:tc>
          <w:tcPr>
            <w:tcW w:type="dxa" w:w="499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La Fondazione registra una voce di pagamento</w:t>
            </w:r>
          </w:p>
        </w:tc>
      </w:tr>
      <w:tr>
        <w:trPr>
          <w:cantSplit/>
        </w:trPr>
        <w:tc>
          <w:tcPr>
            <w:tcW w:type="dxa" w:w="464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Crediti emessi: N (codice del lotto)</w:t>
            </w:r>
          </w:p>
        </w:tc>
        <w:tc>
          <w:tcPr>
            <w:tcW w:type="dxa" w:w="499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La Fondazione emette crediti per un vostro Rapporto</w:t>
            </w:r>
          </w:p>
        </w:tc>
      </w:tr>
      <w:tr>
        <w:trPr>
          <w:cantSplit/>
        </w:trPr>
        <w:tc>
          <w:tcPr>
            <w:tcW w:type="dxa" w:w="464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Risposta a REC-… / CHI-…</w:t>
            </w:r>
          </w:p>
        </w:tc>
        <w:tc>
          <w:tcPr>
            <w:tcW w:type="dxa" w:w="499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La Fondazione risponde a un vostro reclamo o richiesta di chiarimento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Le email partono da un indirizzo automatico: non rispondete all'email, scrivete alla Fondazione nella sezione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Messaggi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della pratica.</w:t>
      </w:r>
    </w:p>
    <w:p>
      <w:pPr>
        <w:pStyle w:val="Heading1"/>
        <w:pageBreakBefore/>
        <w:pBdr>
          <w:bottom w:val="single" w:color="2F5D3A" w:sz="12" w:space="6"/>
        </w:pBdr>
        <w:spacing w:after="240" w:before="0"/>
      </w:pPr>
      <w:bookmarkStart w:name="cap13" w:id="1"/>
      <w:r>
        <w:rPr>
          <w:rFonts w:ascii="Arial" w:cs="Arial" w:eastAsia="Arial" w:hAnsi="Arial"/>
          <w:b/>
          <w:bCs/>
          <w:color w:val="2F5D3A"/>
          <w:sz w:val="34"/>
          <w:szCs w:val="34"/>
        </w:rPr>
        <w:t xml:space="preserve">13. Dati per il calcolo dei crediti</w:t>
      </w:r>
      <w:bookmarkEnd w:id="1"/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I dati per il calcolo dei crediti si inviano con un unico modello Excel, il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Tracciato dati CWP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uguale per tutti gli enti. Il modello si scarica dalla pagina pubblica </w:t>
      </w:r>
      <w:hyperlink w:history="1" r:id="rId5rdvshb2vwcopvzpyzmue">
        <w:r>
          <w:rPr>
            <w:rFonts w:ascii="Arial" w:cs="Arial" w:eastAsia="Arial" w:hAnsi="Arial"/>
            <w:color w:val="2F5D3A"/>
            <w:sz w:val="21"/>
            <w:szCs w:val="21"/>
            <w:u w:val="single"/>
          </w:rPr>
          <w:t xml:space="preserve">Formato dei dati</w:t>
        </w:r>
      </w:hyperlink>
      <w:r>
        <w:rPr>
          <w:rFonts w:ascii="Arial" w:cs="Arial" w:eastAsia="Arial" w:hAnsi="Arial"/>
          <w:color w:val="1B2118"/>
          <w:sz w:val="21"/>
          <w:szCs w:val="21"/>
        </w:rPr>
        <w:t xml:space="preserve">, raggiungibile anche dal link nella pagina di accesso e dalla voce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Formato dati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del menu.</w:t>
      </w:r>
    </w:p>
    <w:p>
      <w:pPr>
        <w:pStyle w:val="ListParagraph"/>
        <w:numPr>
          <w:ilvl w:val="0"/>
          <w:numId w:val="10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Scaricate il file con il pulsante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Scarica il tracciato dati (Excel)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0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Leggete il foglio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Istruzioni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 per ogni foglio c'è la descrizione delle colonne e una riga di esempio.</w:t>
      </w:r>
    </w:p>
    <w:p>
      <w:pPr>
        <w:pStyle w:val="ListParagraph"/>
        <w:numPr>
          <w:ilvl w:val="0"/>
          <w:numId w:val="10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Compilate le celle gialle del foglio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1_Anagrafica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0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Compilate i fogli da 2 a 7 partendo dalla riga 2, senza modificare le intestazioni. Nelle colonne con il menu a tendina scegliete i codici del foglio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Codici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0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Per i dati delle utenze compilate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uno solo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tra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5_Conferimenti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(totali dell'anno per utenza) 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6_Letture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(singoli svuotamenti, se il vostro sistema esporta questi).</w:t>
      </w:r>
    </w:p>
    <w:p>
      <w:pPr>
        <w:pStyle w:val="ListParagraph"/>
        <w:numPr>
          <w:ilvl w:val="0"/>
          <w:numId w:val="10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Caricate il file nella vostra pratica, tra i documenti, come descritto al capitolo 5. La Fondazione lo legge direttamente dal portale: non serve inviarlo per email.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35"/>
        <w:gridCol w:w="4294"/>
        <w:gridCol w:w="2209"/>
      </w:tblGrid>
      <w:tr>
        <w:trPr>
          <w:tblHeader/>
        </w:trPr>
        <w:tc>
          <w:tcPr>
            <w:tcW w:type="dxa" w:w="313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Foglio</w:t>
            </w:r>
          </w:p>
        </w:tc>
        <w:tc>
          <w:tcPr>
            <w:tcW w:type="dxa" w:w="429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Dati</w:t>
            </w:r>
          </w:p>
        </w:tc>
        <w:tc>
          <w:tcPr>
            <w:tcW w:type="dxa" w:w="22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Chi li fornisce di solito</w:t>
            </w:r>
          </w:p>
        </w:tc>
      </w:tr>
      <w:tr>
        <w:trPr>
          <w:cantSplit/>
        </w:trPr>
        <w:tc>
          <w:tcPr>
            <w:tcW w:type="dxa" w:w="313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1_Anagrafica</w:t>
            </w:r>
          </w:p>
        </w:tc>
        <w:tc>
          <w:tcPr>
            <w:tcW w:type="dxa" w:w="429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Ente, anno, gestore, tariffa puntuale, ripartizione PEF</w:t>
            </w:r>
          </w:p>
        </w:tc>
        <w:tc>
          <w:tcPr>
            <w:tcW w:type="dxa" w:w="22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Comune</w:t>
            </w:r>
          </w:p>
        </w:tc>
      </w:tr>
      <w:tr>
        <w:trPr>
          <w:cantSplit/>
        </w:trPr>
        <w:tc>
          <w:tcPr>
            <w:tcW w:type="dxa" w:w="313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2_Rifiuti</w:t>
            </w:r>
          </w:p>
        </w:tc>
        <w:tc>
          <w:tcPr>
            <w:tcW w:type="dxa" w:w="429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Tonnellate per codice EER (Catasto ISPRA, MUD, O.R.So.)</w:t>
            </w:r>
          </w:p>
        </w:tc>
        <w:tc>
          <w:tcPr>
            <w:tcW w:type="dxa" w:w="22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Comune o gestore</w:t>
            </w:r>
          </w:p>
        </w:tc>
      </w:tr>
      <w:tr>
        <w:trPr>
          <w:cantSplit/>
        </w:trPr>
        <w:tc>
          <w:tcPr>
            <w:tcW w:type="dxa" w:w="313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3_Classi_domestiche</w:t>
            </w:r>
          </w:p>
        </w:tc>
        <w:tc>
          <w:tcPr>
            <w:tcW w:type="dxa" w:w="429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Classi, numero di utenze, coefficiente Kb</w:t>
            </w:r>
          </w:p>
        </w:tc>
        <w:tc>
          <w:tcPr>
            <w:tcW w:type="dxa" w:w="22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Comune (delibera TARI)</w:t>
            </w:r>
          </w:p>
        </w:tc>
      </w:tr>
      <w:tr>
        <w:trPr>
          <w:cantSplit/>
        </w:trPr>
        <w:tc>
          <w:tcPr>
            <w:tcW w:type="dxa" w:w="313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4_Classi_non_domestiche</w:t>
            </w:r>
          </w:p>
        </w:tc>
        <w:tc>
          <w:tcPr>
            <w:tcW w:type="dxa" w:w="429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Categorie, numero, superficie, coefficiente Kd</w:t>
            </w:r>
          </w:p>
        </w:tc>
        <w:tc>
          <w:tcPr>
            <w:tcW w:type="dxa" w:w="22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Comune (delibera TARI)</w:t>
            </w:r>
          </w:p>
        </w:tc>
      </w:tr>
      <w:tr>
        <w:trPr>
          <w:cantSplit/>
        </w:trPr>
        <w:tc>
          <w:tcPr>
            <w:tcW w:type="dxa" w:w="313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5_Conferimenti</w:t>
            </w:r>
          </w:p>
        </w:tc>
        <w:tc>
          <w:tcPr>
            <w:tcW w:type="dxa" w:w="429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Totali annui per utenza e tipo di rifiuto</w:t>
            </w:r>
          </w:p>
        </w:tc>
        <w:tc>
          <w:tcPr>
            <w:tcW w:type="dxa" w:w="22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Gestore</w:t>
            </w:r>
          </w:p>
        </w:tc>
      </w:tr>
      <w:tr>
        <w:trPr>
          <w:cantSplit/>
        </w:trPr>
        <w:tc>
          <w:tcPr>
            <w:tcW w:type="dxa" w:w="313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6_Letture</w:t>
            </w:r>
          </w:p>
        </w:tc>
        <w:tc>
          <w:tcPr>
            <w:tcW w:type="dxa" w:w="429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In alternativa al 5: le singole letture</w:t>
            </w:r>
          </w:p>
        </w:tc>
        <w:tc>
          <w:tcPr>
            <w:tcW w:type="dxa" w:w="22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Gestore</w:t>
            </w:r>
          </w:p>
        </w:tc>
      </w:tr>
      <w:tr>
        <w:trPr>
          <w:cantSplit/>
        </w:trPr>
        <w:tc>
          <w:tcPr>
            <w:tcW w:type="dxa" w:w="313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7_Riuso</w:t>
            </w:r>
          </w:p>
        </w:tc>
        <w:tc>
          <w:tcPr>
            <w:tcW w:type="dxa" w:w="429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Beni portati al centro del riuso</w:t>
            </w:r>
          </w:p>
        </w:tc>
        <w:tc>
          <w:tcPr>
            <w:tcW w:type="dxa" w:w="22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Gestore o centro del riuso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Protezione dei dati personali.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Il file non deve contenere nomi, indirizzi, codici fiscali, partite IVA, email o telefoni delle utenze: il portale lo controlla e, se li trova, la Fondazione non può usarlo e vi chiederà un file corretto. Ogni utenza si indica con un codice anonimo, sempre lo stesso negli anni. La tabella che collega codici e persone resta al Comune o al gestore.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File molto grandi.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Oltre 50 MB o oltre 1 milione di righe: salvate ogni foglio come file CSV con le stesse intestazioni (ad esempio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6_Letture.csv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), raccoglieteli in un archivio ZIP e caricate lo ZIP.</w:t>
      </w:r>
    </w:p>
    <w:p>
      <w:pPr>
        <w:pStyle w:val="Heading1"/>
        <w:pageBreakBefore/>
        <w:pBdr>
          <w:bottom w:val="single" w:color="2F5D3A" w:sz="12" w:space="6"/>
        </w:pBdr>
        <w:spacing w:after="240" w:before="0"/>
      </w:pPr>
      <w:bookmarkStart w:name="cap14" w:id="1"/>
      <w:r>
        <w:rPr>
          <w:rFonts w:ascii="Arial" w:cs="Arial" w:eastAsia="Arial" w:hAnsi="Arial"/>
          <w:b/>
          <w:bCs/>
          <w:color w:val="2F5D3A"/>
          <w:sz w:val="34"/>
          <w:szCs w:val="34"/>
        </w:rPr>
        <w:t xml:space="preserve">14. Reclami e richieste di chiarimento</w:t>
      </w:r>
      <w:bookmarkEnd w:id="1"/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La voce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Reclami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del menu apre la pagina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Reclami e richieste di chiarimento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secondo la Politica di reclamo del Programma. Potete scrivere in qualsiasi momento: ricevete una conferma e poi una risposta scritta. Qui si trattano soprattutto l'interpretazione delle regole e dei criteri del Programma. Per una questione con un ente di validazione e verifica o con un registro, rivolgetevi prima a loro.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Inviare un reclamo o una richiesta:</w:t>
      </w:r>
    </w:p>
    <w:p>
      <w:pPr>
        <w:pStyle w:val="ListParagraph"/>
        <w:numPr>
          <w:ilvl w:val="0"/>
          <w:numId w:val="11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Nel riquadro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Nuovo invio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scegliete il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Tipo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Richiesta di chiarimento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oppure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Reclamo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1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Se riguarda un vostro Progetto, sceglietelo in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Progetto (facoltativo)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1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Scrivete l'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Oggetto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e i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Dettagli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(almeno 10 caratteri).</w:t>
      </w:r>
    </w:p>
    <w:p>
      <w:pPr>
        <w:pStyle w:val="ListParagraph"/>
        <w:numPr>
          <w:ilvl w:val="0"/>
          <w:numId w:val="11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Compilate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Dichiarazione di eventuali conflitti di interesse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(ad esempio «nessuno»).</w:t>
      </w:r>
    </w:p>
    <w:p>
      <w:pPr>
        <w:pStyle w:val="ListParagraph"/>
        <w:numPr>
          <w:ilvl w:val="0"/>
          <w:numId w:val="11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Premete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Invia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 Compare il codice assegnato: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CHI-AAAA-NNN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per le richieste di chiarimento,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REC-AAAA-NNN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per i reclami.</w:t>
      </w:r>
    </w:p>
    <w:p>
      <w:pPr>
        <w:spacing w:after="60"/>
      </w:pP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Nel riquadro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I miei invii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trovate ogni invio con codice, oggetto, data e stato: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ricevuto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in esame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risposto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o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chiuso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 Quando arriva la risposta compare sotto l'invio, con la data, e ricevete la notifica «Risposta a …». Le spese per la gestione di un reclamo sono a carico di chi lo presenta, che ne viene informato; non si pagano se l'azione contestata viene annullata. Gli eventuali costi compaiono sotto l'invio.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68"/>
        <w:gridCol w:w="4770"/>
      </w:tblGrid>
      <w:tr>
        <w:trPr>
          <w:tblHeader/>
        </w:trPr>
        <w:tc>
          <w:tcPr>
            <w:tcW w:type="dxa" w:w="486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Messaggio</w:t>
            </w:r>
          </w:p>
        </w:tc>
        <w:tc>
          <w:tcPr>
            <w:tcW w:type="dxa" w:w="477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Cosa fare</w:t>
            </w:r>
          </w:p>
        </w:tc>
      </w:tr>
      <w:tr>
        <w:trPr>
          <w:cantSplit/>
        </w:trPr>
        <w:tc>
          <w:tcPr>
            <w:tcW w:type="dxa" w:w="486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Indica l'oggetto.</w:t>
            </w:r>
          </w:p>
        </w:tc>
        <w:tc>
          <w:tcPr>
            <w:tcW w:type="dxa" w:w="477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Scrivete un oggetto di almeno 3 caratteri</w:t>
            </w:r>
          </w:p>
        </w:tc>
      </w:tr>
      <w:tr>
        <w:trPr>
          <w:cantSplit/>
        </w:trPr>
        <w:tc>
          <w:tcPr>
            <w:tcW w:type="dxa" w:w="486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Descrivi la questione (almeno 10 caratteri).</w:t>
            </w:r>
          </w:p>
        </w:tc>
        <w:tc>
          <w:tcPr>
            <w:tcW w:type="dxa" w:w="477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Aggiungete più dettagli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Si può presentare un reclamo anche per iscritto alla PEC indicata nella pagina pubblica del Programma (capitolo 15).</w:t>
      </w:r>
    </w:p>
    <w:p>
      <w:pPr>
        <w:pStyle w:val="Heading1"/>
        <w:pageBreakBefore/>
        <w:pBdr>
          <w:bottom w:val="single" w:color="2F5D3A" w:sz="12" w:space="6"/>
        </w:pBdr>
        <w:spacing w:after="240" w:before="0"/>
      </w:pPr>
      <w:bookmarkStart w:name="cap15" w:id="1"/>
      <w:r>
        <w:rPr>
          <w:rFonts w:ascii="Arial" w:cs="Arial" w:eastAsia="Arial" w:hAnsi="Arial"/>
          <w:b/>
          <w:bCs/>
          <w:color w:val="2F5D3A"/>
          <w:sz w:val="34"/>
          <w:szCs w:val="34"/>
        </w:rPr>
        <w:t xml:space="preserve">15. La pagina pubblica del Programma</w:t>
      </w:r>
      <w:bookmarkEnd w:id="1"/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La pagina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Il Programma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</w:t>
      </w:r>
      <w:hyperlink w:history="1" r:id="rIdcqly5xakrcvsa2qp5tezy">
        <w:r>
          <w:rPr>
            <w:rFonts w:ascii="Arial" w:cs="Arial" w:eastAsia="Arial" w:hAnsi="Arial"/>
            <w:color w:val="2F5D3A"/>
            <w:sz w:val="21"/>
            <w:szCs w:val="21"/>
            <w:u w:val="single"/>
          </w:rPr>
          <w:t xml:space="preserve">portale-cwp.vercel.app/programma</w:t>
        </w:r>
      </w:hyperlink>
      <w:r>
        <w:rPr>
          <w:rFonts w:ascii="Arial" w:cs="Arial" w:eastAsia="Arial" w:hAnsi="Arial"/>
          <w:color w:val="1B2118"/>
          <w:sz w:val="21"/>
          <w:szCs w:val="21"/>
        </w:rPr>
        <w:t xml:space="preserve">) è pubblica: chiunque la apre senza credenziali. Si raggiunge dalla voce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Il Programma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del menu, dal link nella pagina di accesso e dall'intestazione delle pagine pubbliche.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La pagina contiene: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Il Programma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 soggetto promotore del programma, PEC, email, sito ufficiale e il collegamento ai periodi di feedback pubblico aperti;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gli elenchi degli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Enti di validazione e verifica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dei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Registri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e delle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Metodologie approvate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i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Documenti del Programma e modulistica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da scaricare;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i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Progetti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dal momento in cui sono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in fase di validazione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anche quelli ritirati. Per ogni Progetto: ID, promotore, titolo e stato nel Programma. Con un clic si aprono gli altri promotori, il territorio (codici ISTAT), il periodo di riferimento, la data di registrazione, i documenti pubblici e i Rapporti di Monitoraggio con stato, documenti e crediti emessi (lotti con ID da … a …, registro, attivi e ritirati);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come presentare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reclami e richieste di chiarimento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Anche il vostro Progetto compare qui da quando è in fase di validazione. Sono pubblicati solo i documenti pubblici: il Contratto con l'ente e la versione privata del Modulo di descrizione del progetto non lo sono mai.</w:t>
      </w:r>
    </w:p>
    <w:p>
      <w:pPr>
        <w:pStyle w:val="Heading1"/>
        <w:pageBreakBefore/>
        <w:pBdr>
          <w:bottom w:val="single" w:color="2F5D3A" w:sz="12" w:space="6"/>
        </w:pBdr>
        <w:spacing w:after="240" w:before="0"/>
      </w:pPr>
      <w:bookmarkStart w:name="cap16" w:id="1"/>
      <w:r>
        <w:rPr>
          <w:rFonts w:ascii="Arial" w:cs="Arial" w:eastAsia="Arial" w:hAnsi="Arial"/>
          <w:b/>
          <w:bCs/>
          <w:color w:val="2F5D3A"/>
          <w:sz w:val="34"/>
          <w:szCs w:val="34"/>
        </w:rPr>
        <w:t xml:space="preserve">16. Domande frequenti</w:t>
      </w:r>
      <w:bookmarkEnd w:id="1"/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Ho dimenticato la password.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Usate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Password dimenticata?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nella pagina di accesso (capitolo 2). In alternativa Fondazione Operate può assegnarvi una password temporanea, che al primo accesso vi verrà chiesto di sostituire.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Non vedo la mia pratica.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La pratica compare quando la Fondazione registra il Progetto e lo collega alla vostra organizzazione. Se seguite più enti, controllate di essere stati associati a tutti.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Il caricamento non riesce.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Leggete il messaggio sotto il riquadro e consultate la tabella del capitolo 5. Se la pratica è sospesa, annullata, chiusa o ritirata non si possono caricare documenti.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Ho caricato il file sbagliato.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Caricate il file corretto con lo stesso nome: diventa la versione corrente. I documenti non si cancellano, così resta traccia di tutte le versioni.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La pratica è ferma e la fase successiva non si apre.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Controllate la sezione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Pagamenti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 con una voce scaduta e non pagata le attività sono sospese fino al saldo (capitolo 9).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Un collega deve avere l'account al posto mio.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Ogni Organizzazione ha un solo account attivo, quello del rappresentante autorizzato. Chiedete alla Fondazione di disattivare il vostro account e di crearne uno nuovo per il collega (capitolo 1).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Non ricevo le email.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Controllate la cartella della posta indesiderata. Le notifiche restano comunque disponibili nella campanella del portale.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Il link dell'email apre la pagina di accesso.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Accedete con le vostre credenziali: subito dopo si apre la pratica indicata nell'email.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Come scrivo alla Fondazione?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Usate la sezione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Messaggi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della pratica (capitolo 8). Per reclami e richieste di chiarimento sul Programma usate la pagina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Reclami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(capitolo 14). Restano validi anche i canali abituali della Fondazione (email e telefono).</w:t>
      </w:r>
    </w:p>
    <w:sectPr>
      <w:headerReference w:type="default" r:id="rId9"/>
      <w:footerReference w:type="default" r:id="rId10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4C5" w:sz="4" w:space="4"/>
      </w:pBdr>
      <w:tabs>
        <w:tab w:val="right" w:pos="9638"/>
      </w:tabs>
    </w:pPr>
    <w:r>
      <w:rPr>
        <w:rFonts w:ascii="Arial" w:cs="Arial" w:eastAsia="Arial" w:hAnsi="Arial"/>
        <w:color w:val="5A5E54"/>
        <w:sz w:val="16"/>
        <w:szCs w:val="16"/>
      </w:rPr>
      <w:t xml:space="preserve">Fondazione Operate · Programma Carbon WastePrint®</w:t>
    </w:r>
    <w:r>
      <w:rPr>
        <w:rFonts w:ascii="Arial" w:cs="Arial" w:eastAsia="Arial" w:hAnsi="Arial"/>
        <w:color w:val="5A5E54"/>
        <w:sz w:val="16"/>
        <w:szCs w:val="16"/>
      </w:rPr>
      <w:tab/>
      <w:t xml:space="preserve">Pagina </w:t>
      <w:fldChar w:fldCharType="begin"/>
      <w:instrText xml:space="preserve">PAGE</w:instrText>
      <w:fldChar w:fldCharType="separate"/>
      <w:fldChar w:fldCharType="end"/>
      <w:t xml:space="preserve"> di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4C5" w:sz="4" w:space="4"/>
      </w:pBdr>
      <w:tabs>
        <w:tab w:val="right" w:pos="9638"/>
      </w:tabs>
    </w:pPr>
    <w:r>
      <w:rPr>
        <w:rFonts w:ascii="Arial" w:cs="Arial" w:eastAsia="Arial" w:hAnsi="Arial"/>
        <w:color w:val="5A5E54"/>
        <w:sz w:val="16"/>
        <w:szCs w:val="16"/>
      </w:rPr>
      <w:t xml:space="preserve">Fondazione Operate · Programma Carbon WastePrint®</w:t>
    </w:r>
    <w:r>
      <w:rPr>
        <w:rFonts w:ascii="Arial" w:cs="Arial" w:eastAsia="Arial" w:hAnsi="Arial"/>
        <w:color w:val="5A5E54"/>
        <w:sz w:val="16"/>
        <w:szCs w:val="16"/>
      </w:rPr>
      <w:tab/>
      <w:t xml:space="preserve">Pagina </w:t>
      <w:fldChar w:fldCharType="begin"/>
      <w:instrText xml:space="preserve">PAGE</w:instrText>
      <w:fldChar w:fldCharType="separate"/>
      <w:fldChar w:fldCharType="end"/>
      <w:t xml:space="preserve"> di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4C5" w:sz="4" w:space="4"/>
      </w:pBdr>
      <w:tabs>
        <w:tab w:val="right" w:pos="9638"/>
      </w:tabs>
    </w:pPr>
    <w:r>
      <w:drawing>
        <wp:inline distT="0" distB="0" distL="0" distR="0">
          <wp:extent cx="55245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245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5A5E54"/>
        <w:sz w:val="16"/>
        <w:szCs w:val="16"/>
      </w:rPr>
      <w:tab/>
      <w:t xml:space="preserve">Manuale Utente · Rev. 2.0 · 18/10/2026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4C5" w:sz="4" w:space="4"/>
      </w:pBdr>
      <w:tabs>
        <w:tab w:val="right" w:pos="9638"/>
      </w:tabs>
    </w:pPr>
    <w:r>
      <w:drawing>
        <wp:inline distT="0" distB="0" distL="0" distR="0">
          <wp:extent cx="55245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245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5A5E54"/>
        <w:sz w:val="16"/>
        <w:szCs w:val="16"/>
      </w:rPr>
      <w:tab/>
      <w:t xml:space="preserve">Manuale Utente · Rev. 2.0 · 18/10/2026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2F5D3A"/>
      </w:rPr>
    </w:lvl>
    <w:lvl w:ilvl="1" w15:tentative="1">
      <w:start w:val="1"/>
      <w:numFmt w:val="bullet"/>
      <w:lvlText w:val="–"/>
      <w:lvlJc w:val="left"/>
      <w:pPr>
        <w:ind w:left="1000" w:hanging="270"/>
      </w:pPr>
      <w:rPr>
        <w:color w:val="2F5D3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2F5D3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11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2F5D3A"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F5D3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go5llyssq4hsgyf5pxhbo" Type="http://schemas.openxmlformats.org/officeDocument/2006/relationships/hyperlink" Target="https://portale-cwp.vercel.app" TargetMode="External"/><Relationship Id="rId8yhk9tk17g2isxxcjlqxw" Type="http://schemas.openxmlformats.org/officeDocument/2006/relationships/hyperlink" Target="https://portale-cwp.vercel.app" TargetMode="External"/><Relationship Id="rIdym7xkffprl__ums-ug96a" Type="http://schemas.openxmlformats.org/officeDocument/2006/relationships/hyperlink" Target="https://portale-cwp.vercel.app/consultazioni" TargetMode="External"/><Relationship Id="rId5rdvshb2vwcopvzpyzmue" Type="http://schemas.openxmlformats.org/officeDocument/2006/relationships/hyperlink" Target="https://portale-cwp.vercel.app/formato-dati" TargetMode="External"/><Relationship Id="rIdcqly5xakrcvsa2qp5tezy" Type="http://schemas.openxmlformats.org/officeDocument/2006/relationships/hyperlink" Target="https://portale-cwp.vercel.app/programma" TargetMode="External"/><Relationship Id="rId11" Type="http://schemas.openxmlformats.org/officeDocument/2006/relationships/image" Target="media/5fa51a4a845a79cc491bb93b462e0bf45a7da716.png"/><Relationship Id="rId12" Type="http://schemas.openxmlformats.org/officeDocument/2006/relationships/image" Target="media/b53ac51634209f540a62598d4ba8e3f505358dba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fa51a4a845a79cc491bb93b462e0bf45a7da716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5fa51a4a845a79cc491bb93b462e0bf45a7da71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Manuale Utente — Portale Carbon WastePrint (Rev. 2.0)</dc:title>
  <dc:creator>Fondazione Operate</dc:creator>
  <cp:lastModifiedBy>Un-named</cp:lastModifiedBy>
  <cp:revision>1</cp:revision>
  <dcterms:created xsi:type="dcterms:W3CDTF">2026-10-18T19:33:32.473Z</dcterms:created>
  <dcterms:modified xsi:type="dcterms:W3CDTF">2026-10-18T19:33:32.473Z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