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1.6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14</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15</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16</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17</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18</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19</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ed Enti di Validazione</w:t>
        </w:r>
        <w:r>
          <w:rPr>
            <w:rFonts w:ascii="Arial" w:cs="Arial" w:eastAsia="Arial" w:hAnsi="Arial"/>
            <w:color w:val="1B2118"/>
            <w:sz w:val="22"/>
            <w:szCs w:val="22"/>
          </w:rPr>
          <w:tab/>
          <w:t xml:space="preserve">20</w:t>
        </w:r>
      </w:hyperlink>
    </w:p>
    <w:p>
      <w:pPr>
        <w:tabs>
          <w:tab w:val="right" w:pos="9638" w:leader="dot"/>
        </w:tabs>
        <w:spacing w:after="130"/>
      </w:pPr>
      <w:hyperlink w:history="1" w:anchor="cap16">
        <w:r>
          <w:rPr>
            <w:rFonts w:ascii="Arial" w:cs="Arial" w:eastAsia="Arial" w:hAnsi="Arial"/>
            <w:color w:val="1B2118"/>
            <w:sz w:val="22"/>
            <w:szCs w:val="22"/>
          </w:rPr>
          <w:t xml:space="preserve">16.  Impostazioni: fasi, documenti richiesti e modelli</w:t>
        </w:r>
        <w:r>
          <w:rPr>
            <w:rFonts w:ascii="Arial" w:cs="Arial" w:eastAsia="Arial" w:hAnsi="Arial"/>
            <w:color w:val="1B2118"/>
            <w:sz w:val="22"/>
            <w:szCs w:val="22"/>
          </w:rPr>
          <w:tab/>
          <w:t xml:space="preserve">21</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23</w:t>
        </w:r>
      </w:hyperlink>
    </w:p>
    <w:p>
      <w:pPr>
        <w:tabs>
          <w:tab w:val="right" w:pos="9638" w:leader="dot"/>
        </w:tabs>
        <w:spacing w:after="130"/>
      </w:pPr>
      <w:hyperlink w:history="1" w:anchor="cap18">
        <w:r>
          <w:rPr>
            <w:rFonts w:ascii="Arial" w:cs="Arial" w:eastAsia="Arial" w:hAnsi="Arial"/>
            <w:color w:val="1B2118"/>
            <w:sz w:val="22"/>
            <w:szCs w:val="22"/>
          </w:rPr>
          <w:t xml:space="preserve">18.  Documentazione e manuali</w:t>
        </w:r>
        <w:r>
          <w:rPr>
            <w:rFonts w:ascii="Arial" w:cs="Arial" w:eastAsia="Arial" w:hAnsi="Arial"/>
            <w:color w:val="1B2118"/>
            <w:sz w:val="22"/>
            <w:szCs w:val="22"/>
          </w:rPr>
          <w:tab/>
          <w:t xml:space="preserve">28</w:t>
        </w:r>
      </w:hyperlink>
    </w:p>
    <w:p>
      <w:pPr>
        <w:tabs>
          <w:tab w:val="right" w:pos="9638" w:leader="dot"/>
        </w:tabs>
        <w:spacing w:after="130"/>
      </w:pPr>
      <w:hyperlink w:history="1" w:anchor="cap19">
        <w:r>
          <w:rPr>
            <w:rFonts w:ascii="Arial" w:cs="Arial" w:eastAsia="Arial" w:hAnsi="Arial"/>
            <w:color w:val="1B2118"/>
            <w:sz w:val="22"/>
            <w:szCs w:val="22"/>
          </w:rPr>
          <w:t xml:space="preserve">19.  Manutenzione ed emergenze</w:t>
        </w:r>
        <w:r>
          <w:rPr>
            <w:rFonts w:ascii="Arial" w:cs="Arial" w:eastAsia="Arial" w:hAnsi="Arial"/>
            <w:color w:val="1B2118"/>
            <w:sz w:val="22"/>
            <w:szCs w:val="22"/>
          </w:rPr>
          <w:tab/>
          <w:t xml:space="preserve">29</w:t>
        </w:r>
      </w:hyperlink>
    </w:p>
    <w:p>
      <w:pPr>
        <w:tabs>
          <w:tab w:val="right" w:pos="9638" w:leader="dot"/>
        </w:tabs>
        <w:spacing w:after="130"/>
      </w:pPr>
      <w:hyperlink w:history="1" w:anchor="cap20">
        <w:r>
          <w:rPr>
            <w:rFonts w:ascii="Arial" w:cs="Arial" w:eastAsia="Arial" w:hAnsi="Arial"/>
            <w:color w:val="1B2118"/>
            <w:sz w:val="22"/>
            <w:szCs w:val="22"/>
          </w:rPr>
          <w:t xml:space="preserve">20.  Funzioni in arrivo</w:t>
        </w:r>
        <w:r>
          <w:rPr>
            <w:rFonts w:ascii="Arial" w:cs="Arial" w:eastAsia="Arial" w:hAnsi="Arial"/>
            <w:color w:val="1B2118"/>
            <w:sz w:val="22"/>
            <w:szCs w:val="22"/>
          </w:rPr>
          <w:tab/>
          <w:t xml:space="preserve">30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9"/>
        <w:gridCol w:w="2539"/>
        <w:gridCol w:w="2010"/>
      </w:tblGrid>
      <w:tr>
        <w:trPr>
          <w:tblHeader/>
        </w:trPr>
        <w:tc>
          <w:tcPr>
            <w:tcW w:type="dxa" w:w="50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ed Enti di Validazione)</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 documenti richiesti, modelli)</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10 anni (requisiti §12).</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63xqhbo-v_oxnxemw5vgs">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in qualsiasi momento mentre il Progetto è attivo. Ogni Rapporto ha documenti e pagamenti propri e un percorso di </w:t>
      </w:r>
      <w:r>
        <w:rPr>
          <w:rFonts w:ascii="Arial" w:cs="Arial" w:eastAsia="Arial" w:hAnsi="Arial"/>
          <w:b/>
          <w:bCs/>
          <w:color w:val="1B2118"/>
          <w:sz w:val="21"/>
          <w:szCs w:val="21"/>
        </w:rPr>
        <w:t xml:space="preserve">4 fasi</w:t>
      </w:r>
      <w:r>
        <w:rPr>
          <w:rFonts w:ascii="Arial" w:cs="Arial" w:eastAsia="Arial" w:hAnsi="Arial"/>
          <w:color w:val="1B2118"/>
          <w:sz w:val="21"/>
          <w:szCs w:val="21"/>
        </w:rPr>
        <w:t xml:space="preserve">, senza consultazione pubblica: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44"/>
        <w:gridCol w:w="4794"/>
      </w:tblGrid>
      <w:tr>
        <w:trPr>
          <w:tblHeader/>
        </w:trPr>
        <w:tc>
          <w:tcPr>
            <w:tcW w:type="dxa" w:w="4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47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r>
      <w:tr>
        <w:trPr>
          <w:cantSplit/>
        </w:trPr>
        <w:tc>
          <w:tcPr>
            <w:tcW w:type="dxa" w:w="4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Caricamento del rapporto</w:t>
            </w:r>
          </w:p>
        </w:tc>
        <w:tc>
          <w:tcPr>
            <w:tcW w:type="dxa" w:w="47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r>
      <w:tr>
        <w:trPr>
          <w:cantSplit/>
        </w:trPr>
        <w:tc>
          <w:tcPr>
            <w:tcW w:type="dxa" w:w="4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Verifica documentale</w:t>
            </w:r>
          </w:p>
        </w:tc>
        <w:tc>
          <w:tcPr>
            <w:tcW w:type="dxa" w:w="47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r>
      <w:tr>
        <w:trPr>
          <w:cantSplit/>
        </w:trPr>
        <w:tc>
          <w:tcPr>
            <w:tcW w:type="dxa" w:w="4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Validazione e verifica</w:t>
            </w:r>
          </w:p>
        </w:tc>
        <w:tc>
          <w:tcPr>
            <w:tcW w:type="dxa" w:w="47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r>
      <w:tr>
        <w:trPr>
          <w:cantSplit/>
        </w:trPr>
        <w:tc>
          <w:tcPr>
            <w:tcW w:type="dxa" w:w="4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Chiusura</w:t>
            </w:r>
          </w:p>
        </w:tc>
        <w:tc>
          <w:tcPr>
            <w:tcW w:type="dxa" w:w="47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Conservazione per 10 anni.</w:t>
      </w:r>
      <w:r>
        <w:rPr>
          <w:rFonts w:ascii="Arial" w:cs="Arial" w:eastAsia="Arial" w:hAnsi="Arial"/>
          <w:color w:val="1B2118"/>
          <w:sz w:val="21"/>
          <w:szCs w:val="21"/>
        </w:rPr>
        <w:t xml:space="preserve"> Nulla si cancella dal portale: pratiche, fasi, documenti, consultazioni, pagamenti e anagrafiche restano. Quando una pratica viene chiusa o annullata,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(10 anni dopo); se la pratica viene riattivata la data sparisce.</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consultazione pubblica attiva (vedi «Consultazione pubblica»);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 nel fascicolo esportato finisce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aperta a tutti senza credenziali e collegata anche dalla pagina di accesso.</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della pratica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(date in ora italiana), il Comune riceve la notifica e la consultazione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la consultazione è attiva: non se ne possono cambiare visibilità, tipologia o fase. Per sostituirlo si usa l'errata corrige. C'è una sola consultazione attiva alla volta per Progetto.</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consultazione contiene un errore:</w:t>
      </w:r>
    </w:p>
    <w:p>
      <w:pPr>
        <w:pStyle w:val="ListParagraph"/>
        <w:numPr>
          <w:ilvl w:val="0"/>
          <w:numId w:val="10"/>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0"/>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30 giorni da oggi</w:t>
      </w:r>
      <w:r>
        <w:rPr>
          <w:rFonts w:ascii="Arial" w:cs="Arial" w:eastAsia="Arial" w:hAnsi="Arial"/>
          <w:color w:val="1B2118"/>
          <w:sz w:val="21"/>
          <w:szCs w:val="21"/>
        </w:rPr>
        <w:t xml:space="preserve">: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una consultazione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2"/>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consultazioni,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rapporto dell'Ente di Validazione (tipologia </w:t>
            </w:r>
            <w:r>
              <w:rPr>
                <w:rFonts w:ascii="Arial" w:cs="Arial" w:eastAsia="Arial" w:hAnsi="Arial"/>
                <w:i/>
                <w:iCs/>
                <w:color w:val="1B2118"/>
                <w:sz w:val="18"/>
                <w:szCs w:val="18"/>
              </w:rPr>
              <w:t xml:space="preserve">Rapporto dell'Ente di Validazione</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5096"/>
      </w:tblGrid>
      <w:tr>
        <w:trPr>
          <w:tblHeader/>
        </w:trPr>
        <w:tc>
          <w:tcPr>
            <w:tcW w:type="dxa" w:w="45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 o esce un'errata corrige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l'utente non viene creato e compare il motivo: correggete e riprovate.</w:t>
      </w:r>
    </w:p>
    <w:p>
      <w:pPr>
        <w:pStyle w:val="ListParagraph"/>
        <w:numPr>
          <w:ilvl w:val="0"/>
          <w:numId w:val="13"/>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4"/>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4"/>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4"/>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ed Enti di Validazione</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le sue pratiche.</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che validano i Progetti (ad esempio RINA). Gli enti non accedono al portale. Sotto ogni ente compaiono le pratiche a cui è assegnato.</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 fasi, documenti richiesti e modelli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quattro sezioni: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color w:val="1B2118"/>
          <w:sz w:val="21"/>
          <w:szCs w:val="21"/>
        </w:rPr>
        <w:t xml:space="preserve">Le durate iniziali del Rapporto sono nel capitolo «Pratiche».</w:t>
      </w:r>
    </w:p>
    <w:p>
      <w:pPr>
        <w:spacing w:after="140" w:line="300"/>
      </w:pPr>
      <w:r>
        <w:rPr>
          <w:rFonts w:ascii="Arial" w:cs="Arial" w:eastAsia="Arial" w:hAnsi="Arial"/>
          <w:b/>
          <w:bCs/>
          <w:color w:val="1B2118"/>
          <w:sz w:val="21"/>
          <w:szCs w:val="21"/>
        </w:rPr>
        <w:t xml:space="preserve">Modificare una durata</w:t>
      </w:r>
    </w:p>
    <w:p>
      <w:pPr>
        <w:pStyle w:val="ListParagraph"/>
        <w:numPr>
          <w:ilvl w:val="0"/>
          <w:numId w:val="17"/>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18"/>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19"/>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0"/>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1"/>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2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spacing w:after="140" w:line="300"/>
      </w:pPr>
      <w:r>
        <w:rPr>
          <w:rFonts w:ascii="Arial" w:cs="Arial" w:eastAsia="Arial" w:hAnsi="Arial"/>
          <w:b/>
          <w:bCs/>
          <w:color w:val="1B2118"/>
          <w:sz w:val="21"/>
          <w:szCs w:val="21"/>
        </w:rPr>
        <w:t xml:space="preserve">Da completare.</w:t>
      </w:r>
      <w:r>
        <w:rPr>
          <w:rFonts w:ascii="Arial" w:cs="Arial" w:eastAsia="Arial" w:hAnsi="Arial"/>
          <w:color w:val="1B2118"/>
          <w:sz w:val="21"/>
          <w:szCs w:val="21"/>
        </w:rPr>
        <w:t xml:space="preserve"> Le regole dello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 della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per emissione, trasferimento e annullamento dei crediti verranno aggiunte al registro quando i documenti saranno disponibili.</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regole del registro previste dallo Standard CWP (emissione, trasferimento, annullamento dei crediti).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1.6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1.6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63xqhbo-v_oxnxemw5vgs"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1.6)</dc:title>
  <dc:creator>Fondazione Operate</dc:creator>
  <cp:lastModifiedBy>Un-named</cp:lastModifiedBy>
  <cp:revision>1</cp:revision>
  <dcterms:created xsi:type="dcterms:W3CDTF">2026-10-18T18:51:45.833Z</dcterms:created>
  <dcterms:modified xsi:type="dcterms:W3CDTF">2026-10-18T18:51:45.833Z</dcterms:modified>
</cp:coreProperties>
</file>

<file path=docProps/custom.xml><?xml version="1.0" encoding="utf-8"?>
<Properties xmlns="http://schemas.openxmlformats.org/officeDocument/2006/custom-properties" xmlns:vt="http://schemas.openxmlformats.org/officeDocument/2006/docPropsVTypes"/>
</file>