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2.1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17</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18</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25</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w:t>
      </w:r>
    </w:p>
    <w:p>
      <w:pPr>
        <w:spacing w:after="140" w:line="300"/>
      </w:pPr>
      <w:r>
        <w:rPr>
          <w:rFonts w:ascii="Arial" w:cs="Arial" w:eastAsia="Arial" w:hAnsi="Arial"/>
          <w:b/>
          <w:bCs/>
          <w:color w:val="1B2118"/>
          <w:sz w:val="21"/>
          <w:szCs w:val="21"/>
        </w:rPr>
        <w:t xml:space="preserve">Conservazione (script 21)</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+ 10 anni.</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527"/>
        <w:gridCol w:w="3101"/>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5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1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5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1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5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1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(data di «oggi» in ora italiana dal 18/10; numero delle osservazioni dallo script 21, ripubblicata il 18/10):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87"/>
        <w:gridCol w:w="1716"/>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ed Enti di Validazione, con le pratiche collegate</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(Progetto e Rapporto), documenti richiesti per fase, modelli di documento</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ed Enti di Validazione censiti da Operatori e Admin, con le pratiche collegate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(7 fasi) e Rapporti di Monitoraggio annuali (4 fasi, senza consultazione),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note di fase interne o condivise; documenti richiesti per fase (indicatore); il Comune carica solo nelle fasi aperte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documento pubblicato e bloccato, osservazioni numerate con email confermata e allegato, moderazione con motivazione facoltativa,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e mostrato allo staff; visibili al Comune in sola lettura</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10 anni; la procedura di cancellazione a fine periodo la definirà la Fondazione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jkwkxiu3n63eb4neunwx">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zar6rsdgidwbt4ns0tds4">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mb9kz6lxq6pkaskhwkvo">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jwzilhtpuqfuig-au9z6o">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Dalla rilettura dei documenti ufficiali del Programma (v1.2 del 04/09/2025), punti in cui il portale differisce e va deciso se allinearlo:</w:t>
      </w:r>
    </w:p>
    <w:p>
      <w:pPr>
        <w:spacing w:after="140" w:line="300"/>
      </w:pPr>
      <w:r>
        <w:rPr>
          <w:rFonts w:ascii="Arial" w:cs="Arial" w:eastAsia="Arial" w:hAnsi="Arial"/>
          <w:color w:val="1B2118"/>
          <w:sz w:val="21"/>
          <w:szCs w:val="21"/>
        </w:rPr>
        <w:t xml:space="preserve">1.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la Guida 6.3.1 prevede lo stesso procedimento del Progetto, con feedback pubblico di 20 giorni, adeguamento in 15, verifica dell'ente in 60 e verifica documentale in 10; il portale ha 4 fasi senza feedback (decisione del 18/10) e 75 giorni per l'ente (durata modificabile dall'Admin). 2. </w:t>
      </w:r>
      <w:r>
        <w:rPr>
          <w:rFonts w:ascii="Arial" w:cs="Arial" w:eastAsia="Arial" w:hAnsi="Arial"/>
          <w:b/>
          <w:bCs/>
          <w:color w:val="1B2118"/>
          <w:sz w:val="21"/>
          <w:szCs w:val="21"/>
        </w:rPr>
        <w:t xml:space="preserve">Accesso al feedback pubblico</w:t>
      </w:r>
      <w:r>
        <w:rPr>
          <w:rFonts w:ascii="Arial" w:cs="Arial" w:eastAsia="Arial" w:hAnsi="Arial"/>
          <w:color w:val="1B2118"/>
          <w:sz w:val="21"/>
          <w:szCs w:val="21"/>
        </w:rPr>
        <w:t xml:space="preserve">: la Guida 3.9 indica SPID, CIE o CNS; il portale usa l'email confermata (decisione D). 3. </w:t>
      </w:r>
      <w:r>
        <w:rPr>
          <w:rFonts w:ascii="Arial" w:cs="Arial" w:eastAsia="Arial" w:hAnsi="Arial"/>
          <w:b/>
          <w:bCs/>
          <w:color w:val="1B2118"/>
          <w:sz w:val="21"/>
          <w:szCs w:val="21"/>
        </w:rPr>
        <w:t xml:space="preserve">Conservazione</w:t>
      </w:r>
      <w:r>
        <w:rPr>
          <w:rFonts w:ascii="Arial" w:cs="Arial" w:eastAsia="Arial" w:hAnsi="Arial"/>
          <w:color w:val="1B2118"/>
          <w:sz w:val="21"/>
          <w:szCs w:val="21"/>
        </w:rPr>
        <w:t xml:space="preserve">: la Guida (6.2.1, 6.5.1) indica 12 anni per il soggetto promotore del programma; il portale ne calcola 10 dalla chiusura. Lo Standard 4.14 chiede al promotore del progetto almeno 2 anni dopo la fine del progetto, i registri 5 anni dopo la vendita. 4. </w:t>
      </w: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la Guida 7.2 prevede fino a 2 delegati e un solo account del rappresentante autorizzato; il portale ammette più utenze. 5. </w:t>
      </w:r>
      <w:r>
        <w:rPr>
          <w:rFonts w:ascii="Arial" w:cs="Arial" w:eastAsia="Arial" w:hAnsi="Arial"/>
          <w:b/>
          <w:bCs/>
          <w:color w:val="1B2118"/>
          <w:sz w:val="21"/>
          <w:szCs w:val="21"/>
        </w:rPr>
        <w:t xml:space="preserve">Numero di Rapporti</w:t>
      </w:r>
      <w:r>
        <w:rPr>
          <w:rFonts w:ascii="Arial" w:cs="Arial" w:eastAsia="Arial" w:hAnsi="Arial"/>
          <w:color w:val="1B2118"/>
          <w:sz w:val="21"/>
          <w:szCs w:val="21"/>
        </w:rPr>
        <w:t xml:space="preserve">: il portale ne ammette 10 (requisiti §2); lo Standard 4.3.8 prevede un periodo di 10 anni oppure di 7 anni rinnovabile 3 volte. 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oggi lo Studio Associato Wastelab; all'avvio della piattaforma online incarica un soggetto giuridico (Guida 3.1). 7. </w:t>
      </w:r>
      <w:r>
        <w:rPr>
          <w:rFonts w:ascii="Arial" w:cs="Arial" w:eastAsia="Arial" w:hAnsi="Arial"/>
          <w:b/>
          <w:bCs/>
          <w:color w:val="1B2118"/>
          <w:sz w:val="21"/>
          <w:szCs w:val="21"/>
        </w:rPr>
        <w:t xml:space="preserve">Funzioni previste dai documenti e non ancora nel portale</w:t>
      </w:r>
      <w:r>
        <w:rPr>
          <w:rFonts w:ascii="Arial" w:cs="Arial" w:eastAsia="Arial" w:hAnsi="Arial"/>
          <w:color w:val="1B2118"/>
          <w:sz w:val="21"/>
          <w:szCs w:val="21"/>
        </w:rPr>
        <w:t xml:space="preserve">: parte pubblica della piattaforma (elenchi di enti, registri e metodologie, rapporti di validazione e verifica, Politica di reclamo, modulistica: Guida 3.7); stati e ID univoci di progetti e crediti e collegamento al registro esterno (Standard 6); reclami e chiarimenti (Politica di reclamo, via PEC); tariffe dello Schema tariffario e sospensione fino al saldo; ritiro e rientro; avviso dopo 2 anni senza Rapporti (Guida 6.4.1); un solo progetto per territorio (codice ISTAT, Standard 4.6); controlli della Gestione qualità dei dati; tipologie ufficiali dei documenti (Standard 4.2). Confermata invece dalla Tabella 3 della Guida la mappatura delle fasi del Progetto (10, 30, 20, 75, 15 giorni).</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91 file, 20.947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in consultazione per 30 giorni e inviare osservazioni, che Fondazione Operate modera e a cui il Comune risponde (la moderazione avviene nel back-office, componente Consultazione).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8"/>
        <w:gridCol w:w="939"/>
        <w:gridCol w:w="5121"/>
      </w:tblGrid>
      <w:tr>
        <w:trPr>
          <w:tblHeader/>
        </w:trPr>
        <w:tc>
          <w:tcPr>
            <w:tcW w:type="dxa" w:w="35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422</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«Consultazione pubblica» di un Progetto (fase 3, requisiti §6). Lo staff apre la consultazione pubblicando un documento per 30 giorni, modera le osservazioni, pubblica errata corrige e la chiude. Il Comune legge le…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fasi (7 per il Progetto, 4 per il Rapporto).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260</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e titolo; alla creazione vengono generate le 7 fasi, con la fase 1…</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226</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fino a 10, uno per anno, in sequenza. Ognuno è una pratica autonoma (tipo «rapporto») con le sue 4 fasi (Caricamento del rapporto, Verifica documentale,…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Crediti CWP. Elenca i calcoli ex post confermati con il numero di registro assegnato dal database alla conferma (CWP-REG-AAAA-NNNN). Un calcolo corretto con una…</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le 4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8"/>
        <w:gridCol w:w="974"/>
        <w:gridCol w:w="5316"/>
      </w:tblGrid>
      <w:tr>
        <w:trPr>
          <w:tblHeader/>
        </w:trPr>
        <w:tc>
          <w:tcPr>
            <w:tcW w:type="dxa" w:w="33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3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2.1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2.1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jkwkxiu3n63eb4neunwx" Type="http://schemas.openxmlformats.org/officeDocument/2006/relationships/hyperlink" Target="https://claude.ai/artifact/L9duSXhNfKejbz6RKXDQQv" TargetMode="External"/><Relationship Id="rIdzar6rsdgidwbt4ns0tds4" Type="http://schemas.openxmlformats.org/officeDocument/2006/relationships/hyperlink" Target="https://claude.ai/code/artifact/e2dd2bd5-8042-4744-8d5a-54d34dc50153" TargetMode="External"/><Relationship Id="rIdimb9kz6lxq6pkaskhwkvo" Type="http://schemas.openxmlformats.org/officeDocument/2006/relationships/hyperlink" Target="https://claude.ai/code/artifact/cc36ab09-61e6-4dad-aaf0-4082ea0a46da" TargetMode="External"/><Relationship Id="rIdjwzilhtpuqfuig-au9z6o"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2.1)</dc:title>
  <dc:creator>Fondazione Operate</dc:creator>
  <cp:lastModifiedBy>Un-named</cp:lastModifiedBy>
  <cp:revision>1</cp:revision>
  <dcterms:created xsi:type="dcterms:W3CDTF">2026-10-18T18:52:11.227Z</dcterms:created>
  <dcterms:modified xsi:type="dcterms:W3CDTF">2026-10-18T18:52:11.227Z</dcterms:modified>
</cp:coreProperties>
</file>

<file path=docProps/custom.xml><?xml version="1.0" encoding="utf-8"?>
<Properties xmlns="http://schemas.openxmlformats.org/officeDocument/2006/custom-properties" xmlns:vt="http://schemas.openxmlformats.org/officeDocument/2006/docPropsVTypes"/>
</file>